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ASHINGTON</w:t>
      </w:r>
      <w:r>
        <w:rPr>
          <w:rFonts w:ascii="Arial" w:cs="Arial" w:eastAsia="Arial" w:hAnsi="Arial"/>
          <w:sz w:val="18"/>
          <w:szCs w:val="18"/>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12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240" w:right="3480" w:hanging="4124"/>
        <w:spacing w:after="0" w:line="402" w:lineRule="auto"/>
        <w:tabs>
          <w:tab w:leader="none" w:pos="54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September 30, 2020</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tabs>
          <w:tab w:leader="none" w:pos="6480" w:val="left"/>
          <w:tab w:leader="none" w:pos="70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3826510</wp:posOffset>
            </wp:positionH>
            <wp:positionV relativeFrom="paragraph">
              <wp:posOffset>-1270</wp:posOffset>
            </wp:positionV>
            <wp:extent cx="66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120" w:right="2840" w:hanging="4004"/>
        <w:spacing w:after="0" w:line="402" w:lineRule="auto"/>
        <w:tabs>
          <w:tab w:leader="none" w:pos="554"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45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AMDOCS LIMITED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Island of Guernsey</w:t>
      </w:r>
    </w:p>
    <w:p>
      <w:pPr>
        <w:jc w:val="center"/>
        <w:ind w:right="-179"/>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79"/>
        <w:spacing w:after="0" w:line="221" w:lineRule="auto"/>
        <w:rPr>
          <w:sz w:val="20"/>
          <w:szCs w:val="20"/>
          <w:color w:val="auto"/>
        </w:rPr>
      </w:pPr>
      <w:r>
        <w:rPr>
          <w:rFonts w:ascii="Arial" w:cs="Arial" w:eastAsia="Arial" w:hAnsi="Arial"/>
          <w:sz w:val="14"/>
          <w:szCs w:val="14"/>
          <w:b w:val="1"/>
          <w:bCs w:val="1"/>
          <w:color w:val="auto"/>
        </w:rPr>
        <w:t>Hirzel House, Smith Street,</w:t>
      </w:r>
    </w:p>
    <w:p>
      <w:pPr>
        <w:jc w:val="center"/>
        <w:ind w:right="-179"/>
        <w:spacing w:after="0" w:line="222" w:lineRule="auto"/>
        <w:rPr>
          <w:sz w:val="20"/>
          <w:szCs w:val="20"/>
          <w:color w:val="auto"/>
        </w:rPr>
      </w:pPr>
      <w:r>
        <w:rPr>
          <w:rFonts w:ascii="Arial" w:cs="Arial" w:eastAsia="Arial" w:hAnsi="Arial"/>
          <w:sz w:val="14"/>
          <w:szCs w:val="14"/>
          <w:b w:val="1"/>
          <w:bCs w:val="1"/>
          <w:color w:val="auto"/>
        </w:rPr>
        <w:t>St. Peter Port, Guernsey, GY1 2NG</w:t>
      </w:r>
    </w:p>
    <w:p>
      <w:pPr>
        <w:jc w:val="center"/>
        <w:ind w:right="-179"/>
        <w:spacing w:after="0" w:line="221" w:lineRule="auto"/>
        <w:rPr>
          <w:sz w:val="20"/>
          <w:szCs w:val="20"/>
          <w:color w:val="auto"/>
        </w:rPr>
      </w:pPr>
      <w:r>
        <w:rPr>
          <w:rFonts w:ascii="Arial" w:cs="Arial" w:eastAsia="Arial" w:hAnsi="Arial"/>
          <w:sz w:val="14"/>
          <w:szCs w:val="14"/>
          <w:b w:val="1"/>
          <w:bCs w:val="1"/>
          <w:color w:val="auto"/>
        </w:rPr>
        <w:t>Amdocs, Inc.</w:t>
      </w:r>
    </w:p>
    <w:p>
      <w:pPr>
        <w:jc w:val="center"/>
        <w:ind w:right="-17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Matthew E. Smith</w:t>
      </w:r>
    </w:p>
    <w:p>
      <w:pPr>
        <w:jc w:val="center"/>
        <w:ind w:right="-17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179"/>
        <w:spacing w:after="0" w:line="221"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314-212-8328</w:t>
      </w:r>
    </w:p>
    <w:p>
      <w:pPr>
        <w:jc w:val="center"/>
        <w:ind w:right="-179"/>
        <w:spacing w:after="0" w:line="221" w:lineRule="auto"/>
        <w:rPr>
          <w:sz w:val="20"/>
          <w:szCs w:val="20"/>
          <w:color w:val="auto"/>
        </w:rPr>
      </w:pPr>
      <w:r>
        <w:rPr>
          <w:rFonts w:ascii="Arial" w:cs="Arial" w:eastAsia="Arial" w:hAnsi="Arial"/>
          <w:sz w:val="14"/>
          <w:szCs w:val="14"/>
          <w:b w:val="1"/>
          <w:bCs w:val="1"/>
          <w:color w:val="auto"/>
        </w:rPr>
        <w:t>Email: dox_info@amdocs.com</w:t>
      </w:r>
    </w:p>
    <w:p>
      <w:pPr>
        <w:jc w:val="center"/>
        <w:ind w:right="-17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960" w:type="dxa"/>
        <w:tblCellMar>
          <w:top w:w="0" w:type="dxa"/>
          <w:left w:w="0" w:type="dxa"/>
          <w:bottom w:w="0" w:type="dxa"/>
          <w:right w:w="0" w:type="dxa"/>
        </w:tblCellMar>
      </w:tblPr>
      <w:tr>
        <w:trPr>
          <w:trHeight w:val="153"/>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5"/>
              </w:rPr>
              <w:t>Ordinary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Title of Each Class</w:t>
            </w:r>
          </w:p>
        </w:tc>
        <w:tc>
          <w:tcPr>
            <w:tcW w:w="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2100" w:type="dxa"/>
            <w:vAlign w:val="bottom"/>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180"/>
        </w:trPr>
        <w:tc>
          <w:tcPr>
            <w:tcW w:w="520" w:type="dxa"/>
            <w:vAlign w:val="bottom"/>
            <w:vMerge w:val="continue"/>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Shares, par value £0.01</w:t>
            </w:r>
          </w:p>
        </w:tc>
        <w:tc>
          <w:tcPr>
            <w:tcW w:w="2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DOX</w:t>
            </w:r>
          </w:p>
        </w:tc>
        <w:tc>
          <w:tcPr>
            <w:tcW w:w="21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Securities registered or to be registered pursuant to Section 12(g) of the Act:</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8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1"/>
              </w:rPr>
              <w:t>None</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136525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ectPr>
          <w:pgSz w:w="11900" w:h="16838" w:orient="portrait"/>
          <w:cols w:equalWidth="0" w:num="1">
            <w:col w:w="11060"/>
          </w:cols>
          <w:pgMar w:left="320" w:top="419" w:right="519" w:bottom="0" w:gutter="0" w:footer="0" w:header="0"/>
        </w:sectPr>
      </w:pPr>
    </w:p>
    <w:p>
      <w:pPr>
        <w:spacing w:after="0" w:line="22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131,535,692</w:t>
      </w:r>
    </w:p>
    <w:p>
      <w:pPr>
        <w:spacing w:after="0" w:line="48" w:lineRule="exact"/>
        <w:rPr>
          <w:sz w:val="24"/>
          <w:szCs w:val="24"/>
          <w:color w:val="auto"/>
        </w:rPr>
      </w:pPr>
    </w:p>
    <w:p>
      <w:pPr>
        <w:sectPr>
          <w:pgSz w:w="11900" w:h="16838" w:orient="portrait"/>
          <w:cols w:equalWidth="0" w:num="2">
            <w:col w:w="7380" w:space="720"/>
            <w:col w:w="2960"/>
          </w:cols>
          <w:pgMar w:left="320" w:top="419" w:right="519" w:bottom="0" w:gutter="0" w:footer="0" w:header="0"/>
          <w:type w:val="continuous"/>
        </w:sectPr>
      </w:pPr>
    </w:p>
    <w:p>
      <w:pPr>
        <w:ind w:left="2520"/>
        <w:spacing w:after="0"/>
        <w:rPr>
          <w:sz w:val="20"/>
          <w:szCs w:val="20"/>
          <w:color w:val="auto"/>
        </w:rPr>
      </w:pPr>
      <w:r>
        <w:rPr>
          <w:rFonts w:ascii="Arial" w:cs="Arial" w:eastAsia="Arial" w:hAnsi="Arial"/>
          <w:sz w:val="10"/>
          <w:szCs w:val="10"/>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(Number of shares)</w:t>
      </w:r>
    </w:p>
    <w:p>
      <w:pPr>
        <w:spacing w:after="0" w:line="80" w:lineRule="exact"/>
        <w:rPr>
          <w:sz w:val="24"/>
          <w:szCs w:val="24"/>
          <w:color w:val="auto"/>
        </w:rPr>
      </w:pPr>
    </w:p>
    <w:p>
      <w:pPr>
        <w:sectPr>
          <w:pgSz w:w="11900" w:h="16838" w:orient="portrait"/>
          <w:cols w:equalWidth="0" w:num="2">
            <w:col w:w="7220" w:space="720"/>
            <w:col w:w="3120"/>
          </w:cols>
          <w:pgMar w:left="320" w:top="419" w:right="519" w:bottom="0" w:gutter="0" w:footer="0" w:header="0"/>
          <w:type w:val="continuous"/>
        </w:sectPr>
      </w:pPr>
    </w:p>
    <w:p>
      <w:pPr>
        <w:spacing w:after="0" w:line="28"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5">
            <w:col w:w="7320" w:space="120"/>
            <w:col w:w="220" w:space="60"/>
            <w:col w:w="140" w:space="140"/>
            <w:col w:w="180" w:space="80"/>
            <w:col w:w="2800"/>
          </w:cols>
          <w:pgMar w:left="320" w:top="419" w:right="519" w:bottom="0" w:gutter="0" w:footer="0" w:header="0"/>
          <w:type w:val="continuous"/>
        </w:sect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6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120" w:firstLine="440"/>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left="120" w:right="50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52" w:lineRule="exact"/>
        <w:rPr>
          <w:sz w:val="24"/>
          <w:szCs w:val="24"/>
          <w:color w:val="auto"/>
        </w:rPr>
      </w:pPr>
    </w:p>
    <w:p>
      <w:pPr>
        <w:ind w:left="1760"/>
        <w:spacing w:after="0" w:line="161" w:lineRule="exact"/>
        <w:tabs>
          <w:tab w:leader="none" w:pos="3880" w:val="left"/>
          <w:tab w:leader="none" w:pos="5660" w:val="left"/>
          <w:tab w:leader="none" w:pos="77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ind w:left="120" w:right="34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560" w:type="dxa"/>
        <w:tblCellMar>
          <w:top w:w="0" w:type="dxa"/>
          <w:left w:w="0" w:type="dxa"/>
          <w:bottom w:w="0" w:type="dxa"/>
          <w:right w:w="0" w:type="dxa"/>
        </w:tblCellMar>
      </w:tblPr>
      <w:tr>
        <w:trPr>
          <w:trHeight w:val="168"/>
        </w:trPr>
        <w:tc>
          <w:tcPr>
            <w:tcW w:w="2580" w:type="dxa"/>
            <w:vAlign w:val="bottom"/>
          </w:tcPr>
          <w:p>
            <w:pPr>
              <w:ind w:left="56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6080" w:type="dxa"/>
            <w:vAlign w:val="bottom"/>
          </w:tcPr>
          <w:p>
            <w:pPr>
              <w:ind w:left="1160"/>
              <w:spacing w:after="0"/>
              <w:rPr>
                <w:sz w:val="20"/>
                <w:szCs w:val="20"/>
                <w:color w:val="auto"/>
              </w:rPr>
            </w:pPr>
            <w:r>
              <w:rPr>
                <w:rFonts w:ascii="Arial" w:cs="Arial" w:eastAsia="Arial" w:hAnsi="Arial"/>
                <w:sz w:val="14"/>
                <w:szCs w:val="14"/>
                <w:color w:val="auto"/>
              </w:rPr>
              <w:t>International Financial Reporting Standards as issued</w:t>
            </w:r>
          </w:p>
        </w:tc>
        <w:tc>
          <w:tcPr>
            <w:tcW w:w="960" w:type="dxa"/>
            <w:vAlign w:val="bottom"/>
          </w:tcPr>
          <w:p>
            <w:pPr>
              <w:ind w:left="420"/>
              <w:spacing w:after="0" w:line="161" w:lineRule="exact"/>
              <w:rPr>
                <w:sz w:val="20"/>
                <w:szCs w:val="20"/>
                <w:color w:val="auto"/>
              </w:rPr>
            </w:pPr>
            <w:r>
              <w:rPr>
                <w:rFonts w:ascii="Arial" w:cs="Arial" w:eastAsia="Arial" w:hAnsi="Arial"/>
                <w:sz w:val="14"/>
                <w:szCs w:val="14"/>
                <w:color w:val="auto"/>
                <w:w w:val="98"/>
              </w:rPr>
              <w:t xml:space="preserve">Other </w:t>
            </w:r>
            <w:r>
              <w:rPr>
                <w:rFonts w:ascii="MS PGothic" w:cs="MS PGothic" w:eastAsia="MS PGothic" w:hAnsi="MS PGothic"/>
                <w:sz w:val="14"/>
                <w:szCs w:val="14"/>
                <w:color w:val="auto"/>
                <w:w w:val="98"/>
              </w:rPr>
              <w:t>☐</w:t>
            </w:r>
          </w:p>
        </w:tc>
      </w:tr>
      <w:tr>
        <w:trPr>
          <w:trHeight w:val="226"/>
        </w:trPr>
        <w:tc>
          <w:tcPr>
            <w:tcW w:w="2580" w:type="dxa"/>
            <w:vAlign w:val="bottom"/>
          </w:tcPr>
          <w:p>
            <w:pPr>
              <w:spacing w:after="0"/>
              <w:rPr>
                <w:sz w:val="19"/>
                <w:szCs w:val="19"/>
                <w:color w:val="auto"/>
              </w:rPr>
            </w:pPr>
          </w:p>
        </w:tc>
        <w:tc>
          <w:tcPr>
            <w:tcW w:w="6080" w:type="dxa"/>
            <w:vAlign w:val="bottom"/>
          </w:tcPr>
          <w:p>
            <w:pPr>
              <w:ind w:left="1160"/>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960" w:type="dxa"/>
            <w:vAlign w:val="bottom"/>
          </w:tcPr>
          <w:p>
            <w:pPr>
              <w:spacing w:after="0"/>
              <w:rPr>
                <w:sz w:val="19"/>
                <w:szCs w:val="19"/>
                <w:color w:val="auto"/>
              </w:rPr>
            </w:pPr>
          </w:p>
        </w:tc>
      </w:tr>
      <w:tr>
        <w:trPr>
          <w:trHeight w:val="278"/>
        </w:trPr>
        <w:tc>
          <w:tcPr>
            <w:tcW w:w="8660" w:type="dxa"/>
            <w:vAlign w:val="bottom"/>
            <w:gridSpan w:val="2"/>
          </w:tcPr>
          <w:p>
            <w:pPr>
              <w:spacing w:after="0" w:line="161" w:lineRule="exact"/>
              <w:rPr>
                <w:sz w:val="20"/>
                <w:szCs w:val="20"/>
                <w:color w:val="auto"/>
              </w:rPr>
            </w:pPr>
            <w:r>
              <w:rPr>
                <w:rFonts w:ascii="Arial" w:cs="Arial" w:eastAsia="Arial" w:hAnsi="Arial"/>
                <w:sz w:val="14"/>
                <w:szCs w:val="14"/>
                <w:color w:val="auto"/>
                <w:w w:val="94"/>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9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ectPr>
          <w:pgSz w:w="11900" w:h="16838" w:orient="portrait"/>
          <w:cols w:equalWidth="0" w:num="1">
            <w:col w:w="11060"/>
          </w:cols>
          <w:pgMar w:left="320" w:top="419" w:right="519" w:bottom="0" w:gutter="0" w:footer="0" w:header="0"/>
          <w:type w:val="continuous"/>
        </w:sectPr>
      </w:pPr>
    </w:p>
    <w:bookmarkStart w:id="1" w:name="page2"/>
    <w:bookmarkEnd w:id="1"/>
    <w:p>
      <w:pPr>
        <w:ind w:left="424" w:hanging="424"/>
        <w:spacing w:after="0" w:line="251"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148,042,693 shares held in treasury. Does not include 5,845,993 ordinary shares reserved for issuance upon exercise of stock options and vesting of restricted stock units granted under our stock option plan or by companies we have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4"/>
          </w:cols>
          <w:pgMar w:left="436" w:top="121" w:right="8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6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932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360" w:type="dxa"/>
            <w:vAlign w:val="bottom"/>
            <w:vMerge w:val="continue"/>
          </w:tcPr>
          <w:p>
            <w:pPr>
              <w:spacing w:after="0"/>
              <w:rPr>
                <w:sz w:val="19"/>
                <w:szCs w:val="19"/>
                <w:color w:val="auto"/>
              </w:rPr>
            </w:pPr>
          </w:p>
        </w:tc>
        <w:tc>
          <w:tcPr>
            <w:tcW w:w="93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360" w:type="dxa"/>
            <w:vAlign w:val="bottom"/>
          </w:tcPr>
          <w:p>
            <w:pPr>
              <w:ind w:left="360"/>
              <w:spacing w:after="0"/>
              <w:rPr>
                <w:sz w:val="20"/>
                <w:szCs w:val="20"/>
                <w:color w:val="auto"/>
              </w:rPr>
            </w:pPr>
            <w:r>
              <w:rPr>
                <w:rFonts w:ascii="Arial" w:cs="Arial" w:eastAsia="Arial" w:hAnsi="Arial"/>
                <w:sz w:val="18"/>
                <w:szCs w:val="18"/>
                <w:color w:val="auto"/>
              </w:rPr>
              <w:t>Item 1.</w:t>
            </w:r>
          </w:p>
        </w:tc>
        <w:tc>
          <w:tcPr>
            <w:tcW w:w="932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Identity of Directors, Senior Management and Advisers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2.</w:t>
            </w:r>
          </w:p>
        </w:tc>
        <w:tc>
          <w:tcPr>
            <w:tcW w:w="932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Offer Statistics and Expected Timetable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3.</w:t>
            </w:r>
          </w:p>
        </w:tc>
        <w:tc>
          <w:tcPr>
            <w:tcW w:w="932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Key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4.</w:t>
            </w:r>
          </w:p>
        </w:tc>
        <w:tc>
          <w:tcPr>
            <w:tcW w:w="9320" w:type="dxa"/>
            <w:vAlign w:val="bottom"/>
          </w:tcPr>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Information on the Company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4A.</w:t>
            </w:r>
          </w:p>
        </w:tc>
        <w:tc>
          <w:tcPr>
            <w:tcW w:w="9320" w:type="dxa"/>
            <w:vAlign w:val="bottom"/>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Unresolved Staff Comments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5.</w:t>
            </w:r>
          </w:p>
        </w:tc>
        <w:tc>
          <w:tcPr>
            <w:tcW w:w="9320" w:type="dxa"/>
            <w:vAlign w:val="bottom"/>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Operating and Financial Review and Prospects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6.</w:t>
            </w:r>
          </w:p>
        </w:tc>
        <w:tc>
          <w:tcPr>
            <w:tcW w:w="9320" w:type="dxa"/>
            <w:vAlign w:val="bottom"/>
          </w:tcPr>
          <w:p>
            <w:pPr>
              <w:ind w:left="2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Directors, Senior Management and Employees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7.</w:t>
            </w:r>
          </w:p>
        </w:tc>
        <w:tc>
          <w:tcPr>
            <w:tcW w:w="9320" w:type="dxa"/>
            <w:vAlign w:val="bottom"/>
          </w:tcPr>
          <w:p>
            <w:pPr>
              <w:ind w:left="2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Major Shareholders and Related Party Transactions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8.</w:t>
            </w:r>
          </w:p>
        </w:tc>
        <w:tc>
          <w:tcPr>
            <w:tcW w:w="9320" w:type="dxa"/>
            <w:vAlign w:val="bottom"/>
          </w:tcPr>
          <w:p>
            <w:pPr>
              <w:ind w:left="2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9.</w:t>
            </w:r>
          </w:p>
        </w:tc>
        <w:tc>
          <w:tcPr>
            <w:tcW w:w="9320" w:type="dxa"/>
            <w:vAlign w:val="bottom"/>
          </w:tcPr>
          <w:p>
            <w:pPr>
              <w:ind w:left="2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The Offer and Listing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10.</w:t>
            </w:r>
          </w:p>
        </w:tc>
        <w:tc>
          <w:tcPr>
            <w:tcW w:w="9320" w:type="dxa"/>
            <w:vAlign w:val="bottom"/>
          </w:tcPr>
          <w:p>
            <w:pPr>
              <w:ind w:left="2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Additional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11.</w:t>
            </w:r>
          </w:p>
        </w:tc>
        <w:tc>
          <w:tcPr>
            <w:tcW w:w="9320" w:type="dxa"/>
            <w:vAlign w:val="bottom"/>
          </w:tcPr>
          <w:p>
            <w:pPr>
              <w:ind w:left="2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Quantitative and Qualitative Disclosures About Market Risk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rPr>
              <w:t>Item 12.</w:t>
            </w:r>
          </w:p>
        </w:tc>
        <w:tc>
          <w:tcPr>
            <w:tcW w:w="9320" w:type="dxa"/>
            <w:vAlign w:val="bottom"/>
          </w:tcPr>
          <w:p>
            <w:pPr>
              <w:ind w:left="2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Description of Securities Other Than Equity Securities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32"/>
        </w:trPr>
        <w:tc>
          <w:tcPr>
            <w:tcW w:w="13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PART II</w:t>
              </w:r>
            </w:hyperlink>
          </w:p>
        </w:tc>
        <w:tc>
          <w:tcPr>
            <w:tcW w:w="93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Item 13.</w:t>
            </w:r>
          </w:p>
        </w:tc>
        <w:tc>
          <w:tcPr>
            <w:tcW w:w="9320" w:type="dxa"/>
            <w:vAlign w:val="bottom"/>
          </w:tcPr>
          <w:p>
            <w:pPr>
              <w:ind w:left="2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Defaults, Dividend Arrearages and Delinquencies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14.</w:t>
            </w:r>
          </w:p>
        </w:tc>
        <w:tc>
          <w:tcPr>
            <w:tcW w:w="9320" w:type="dxa"/>
            <w:vAlign w:val="bottom"/>
          </w:tcPr>
          <w:p>
            <w:pPr>
              <w:ind w:left="2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Material Modifications to the Rights of Security Holders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15.</w:t>
            </w:r>
          </w:p>
        </w:tc>
        <w:tc>
          <w:tcPr>
            <w:tcW w:w="9320" w:type="dxa"/>
            <w:vAlign w:val="bottom"/>
          </w:tcPr>
          <w:p>
            <w:pPr>
              <w:ind w:left="2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16A.</w:t>
            </w:r>
          </w:p>
        </w:tc>
        <w:tc>
          <w:tcPr>
            <w:tcW w:w="9320" w:type="dxa"/>
            <w:vAlign w:val="bottom"/>
          </w:tcPr>
          <w:p>
            <w:pPr>
              <w:ind w:left="2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Audit Committee Financial Expert</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16B.</w:t>
            </w:r>
          </w:p>
        </w:tc>
        <w:tc>
          <w:tcPr>
            <w:tcW w:w="9320" w:type="dxa"/>
            <w:vAlign w:val="bottom"/>
          </w:tcPr>
          <w:p>
            <w:pPr>
              <w:ind w:left="2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Code of Ethics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16C.</w:t>
            </w:r>
          </w:p>
        </w:tc>
        <w:tc>
          <w:tcPr>
            <w:tcW w:w="9320" w:type="dxa"/>
            <w:vAlign w:val="bottom"/>
          </w:tcPr>
          <w:p>
            <w:pPr>
              <w:ind w:left="2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Principal Accountant Fees and Services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16D.</w:t>
            </w:r>
          </w:p>
        </w:tc>
        <w:tc>
          <w:tcPr>
            <w:tcW w:w="9320" w:type="dxa"/>
            <w:vAlign w:val="bottom"/>
          </w:tcPr>
          <w:p>
            <w:pPr>
              <w:ind w:left="2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Exemption from the Listing Standards for Audit Committees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16E.</w:t>
            </w:r>
          </w:p>
        </w:tc>
        <w:tc>
          <w:tcPr>
            <w:tcW w:w="9320" w:type="dxa"/>
            <w:vAlign w:val="bottom"/>
          </w:tcPr>
          <w:p>
            <w:pPr>
              <w:ind w:left="2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Purchases of Equity Securities by the Issuer and Affiliated Purchasers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16F.</w:t>
            </w:r>
          </w:p>
        </w:tc>
        <w:tc>
          <w:tcPr>
            <w:tcW w:w="9320" w:type="dxa"/>
            <w:vAlign w:val="bottom"/>
          </w:tcPr>
          <w:p>
            <w:pPr>
              <w:ind w:left="2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Change In Registrant’s Certifying Accountant</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16G.</w:t>
            </w:r>
          </w:p>
        </w:tc>
        <w:tc>
          <w:tcPr>
            <w:tcW w:w="9320" w:type="dxa"/>
            <w:vAlign w:val="bottom"/>
          </w:tcPr>
          <w:p>
            <w:pPr>
              <w:ind w:left="2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rPr>
              <w:t>Item 16H.</w:t>
            </w:r>
          </w:p>
        </w:tc>
        <w:tc>
          <w:tcPr>
            <w:tcW w:w="9320" w:type="dxa"/>
            <w:vAlign w:val="bottom"/>
          </w:tcPr>
          <w:p>
            <w:pPr>
              <w:ind w:left="2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Mine Safety Disclosure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2"/>
        </w:trPr>
        <w:tc>
          <w:tcPr>
            <w:tcW w:w="13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PART III</w:t>
              </w:r>
            </w:hyperlink>
          </w:p>
        </w:tc>
        <w:tc>
          <w:tcPr>
            <w:tcW w:w="93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1360" w:type="dxa"/>
            <w:vAlign w:val="bottom"/>
          </w:tcPr>
          <w:p>
            <w:pPr>
              <w:ind w:left="360"/>
              <w:spacing w:after="0"/>
              <w:rPr>
                <w:sz w:val="20"/>
                <w:szCs w:val="20"/>
                <w:color w:val="auto"/>
              </w:rPr>
            </w:pPr>
            <w:r>
              <w:rPr>
                <w:rFonts w:ascii="Arial" w:cs="Arial" w:eastAsia="Arial" w:hAnsi="Arial"/>
                <w:sz w:val="18"/>
                <w:szCs w:val="18"/>
                <w:color w:val="auto"/>
              </w:rPr>
              <w:t>Item 17.</w:t>
            </w:r>
          </w:p>
        </w:tc>
        <w:tc>
          <w:tcPr>
            <w:tcW w:w="9320" w:type="dxa"/>
            <w:vAlign w:val="bottom"/>
          </w:tcPr>
          <w:p>
            <w:pPr>
              <w:ind w:left="2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Item 18.</w:t>
            </w:r>
          </w:p>
        </w:tc>
        <w:tc>
          <w:tcPr>
            <w:tcW w:w="9320" w:type="dxa"/>
            <w:vAlign w:val="bottom"/>
          </w:tcPr>
          <w:p>
            <w:pPr>
              <w:ind w:left="2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rPr>
              <w:t>Item 19.</w:t>
            </w:r>
          </w:p>
        </w:tc>
        <w:tc>
          <w:tcPr>
            <w:tcW w:w="9320" w:type="dxa"/>
            <w:vAlign w:val="bottom"/>
          </w:tcPr>
          <w:p>
            <w:pPr>
              <w:ind w:left="2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2020 as “fiscal 2020.”</w:t>
      </w:r>
    </w:p>
    <w:p>
      <w:pPr>
        <w:spacing w:after="0" w:line="138"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w:t>
      </w:r>
      <w:r>
        <w:rPr>
          <w:rFonts w:ascii="Arial" w:cs="Arial" w:eastAsia="Arial" w:hAnsi="Arial"/>
          <w:sz w:val="25"/>
          <w:szCs w:val="25"/>
          <w:color w:val="auto"/>
          <w:vertAlign w:val="superscript"/>
        </w:rPr>
        <w:t>™</w:t>
      </w:r>
      <w:r>
        <w:rPr>
          <w:rFonts w:ascii="Arial" w:cs="Arial" w:eastAsia="Arial" w:hAnsi="Arial"/>
          <w:sz w:val="18"/>
          <w:szCs w:val="18"/>
          <w:color w:val="auto"/>
        </w:rPr>
        <w:t>, CES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New World of Customer Experience</w:t>
      </w:r>
      <w:r>
        <w:rPr>
          <w:rFonts w:ascii="Arial" w:cs="Arial" w:eastAsia="Arial" w:hAnsi="Arial"/>
          <w:sz w:val="25"/>
          <w:szCs w:val="25"/>
          <w:color w:val="auto"/>
          <w:vertAlign w:val="superscript"/>
        </w:rPr>
        <w:t>™</w:t>
      </w:r>
      <w:r>
        <w:rPr>
          <w:rFonts w:ascii="Arial" w:cs="Arial" w:eastAsia="Arial" w:hAnsi="Arial"/>
          <w:sz w:val="18"/>
          <w:szCs w:val="18"/>
          <w:color w:val="auto"/>
        </w:rPr>
        <w:t>, among others.</w:t>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8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2020 is derived from our consolidated financial statements, which have been audited by Ernst &amp; Young LLP, our independent registered public accounting firm. You should read the information presented below in conjunction with those statements.</w:t>
      </w:r>
    </w:p>
    <w:p>
      <w:pPr>
        <w:spacing w:after="0" w:line="13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$ 4,169,039</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$ 4,086,669</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  3,974,837</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  3,867,155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  3,718,229</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594,758</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569,746</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428,307</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517,333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483,141</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497,840</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479,446</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354,396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436,826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409,331</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3.49</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2.49</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3.71</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3.47</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2.47</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2.96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1.2675</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1.105</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0.970</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0.855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0.755</w:t>
            </w:r>
          </w:p>
        </w:tc>
        <w:tc>
          <w:tcPr>
            <w:tcW w:w="60" w:type="dxa"/>
            <w:vAlign w:val="bottom"/>
            <w:shd w:val="clear" w:color="auto" w:fill="CCEEFF"/>
          </w:tcPr>
          <w:p>
            <w:pPr>
              <w:spacing w:after="0"/>
              <w:rPr>
                <w:sz w:val="18"/>
                <w:szCs w:val="18"/>
                <w:color w:val="auto"/>
              </w:rPr>
            </w:pPr>
          </w:p>
        </w:tc>
      </w:tr>
      <w:tr>
        <w:trPr>
          <w:trHeight w:val="392"/>
        </w:trPr>
        <w:tc>
          <w:tcPr>
            <w:tcW w:w="498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1"/>
              </w:rPr>
              <w:t>Cash, cash equivalents and short-term interest-bearing investments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  983,940</w:t>
            </w:r>
          </w:p>
        </w:tc>
        <w:tc>
          <w:tcPr>
            <w:tcW w:w="1180" w:type="dxa"/>
            <w:vAlign w:val="bottom"/>
          </w:tcPr>
          <w:p>
            <w:pPr>
              <w:jc w:val="right"/>
              <w:spacing w:after="0"/>
              <w:rPr>
                <w:sz w:val="20"/>
                <w:szCs w:val="20"/>
                <w:color w:val="auto"/>
              </w:rPr>
            </w:pPr>
            <w:r>
              <w:rPr>
                <w:rFonts w:ascii="Arial" w:cs="Arial" w:eastAsia="Arial" w:hAnsi="Arial"/>
                <w:sz w:val="18"/>
                <w:szCs w:val="18"/>
                <w:color w:val="auto"/>
              </w:rPr>
              <w:t>$  471,632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  519,216</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  979,608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$1,095,723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6,341,621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5,292,826</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5,347,815</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5,279,380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5,331,355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Short-term and Long-term obligations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750,000</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3,665,155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3,542,466</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3,492,042</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3,574,070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3,453,561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30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fourth quarter of fiscal 2012, we instituted a discretionary quarterly cash dividend program. In February 2016, January 2017, January 2018, January 2019 and January 2020, our shareholders approved increases in the rate of the quarterly cash dividend to $0.195 per share, $0.22 per share, $0.25, $0.285 and $0.3275, respectively. In November 2020, our Board of Directors approved, subject to shareholder approval at the January 2021 annual general shareholders meeting, an increase in the rate of the quarterly cash dividend to $0.36 per share.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6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Ordinary Shares</w:t>
            </w: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2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1560" w:type="dxa"/>
            <w:vAlign w:val="bottom"/>
            <w:tcBorders>
              <w:bottom w:val="single" w:sz="8" w:color="auto"/>
            </w:tcBorders>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6"/>
                <w:szCs w:val="6"/>
                <w:color w:val="auto"/>
              </w:rPr>
            </w:pPr>
          </w:p>
        </w:tc>
        <w:tc>
          <w:tcPr>
            <w:tcW w:w="980" w:type="dxa"/>
            <w:vAlign w:val="bottom"/>
            <w:gridSpan w:val="2"/>
            <w:vMerge w:val="restart"/>
          </w:tcPr>
          <w:p>
            <w:pPr>
              <w:jc w:val="right"/>
              <w:ind w:right="281"/>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Balance as of September 30, 2017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144,391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$ 4,410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3,458,887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(4,365,124)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 stock options exercised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Repurchase of shares(1)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(6,337)</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(419,228)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restricted stock, net of forfeitures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Equity-based compensation expense related to employees</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140,177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$ 4,436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3,587,625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(4,784,352)</w:t>
            </w:r>
          </w:p>
        </w:tc>
        <w:tc>
          <w:tcPr>
            <w:tcW w:w="0" w:type="dxa"/>
            <w:vAlign w:val="bottom"/>
          </w:tcPr>
          <w:p>
            <w:pPr>
              <w:spacing w:after="0"/>
              <w:rPr>
                <w:sz w:val="1"/>
                <w:szCs w:val="1"/>
                <w:color w:val="auto"/>
              </w:rPr>
            </w:pPr>
          </w:p>
        </w:tc>
      </w:tr>
      <w:tr>
        <w:trPr>
          <w:trHeight w:val="223"/>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Employee stock options exercised</w:t>
            </w: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79"/>
              </w:rPr>
              <w:t>874</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41,487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Repurchase of shares(1)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(398,057)</w:t>
            </w:r>
          </w:p>
        </w:tc>
        <w:tc>
          <w:tcPr>
            <w:tcW w:w="0" w:type="dxa"/>
            <w:vAlign w:val="bottom"/>
          </w:tcPr>
          <w:p>
            <w:pPr>
              <w:spacing w:after="0"/>
              <w:rPr>
                <w:sz w:val="1"/>
                <w:szCs w:val="1"/>
                <w:color w:val="auto"/>
              </w:rPr>
            </w:pPr>
          </w:p>
        </w:tc>
      </w:tr>
      <w:tr>
        <w:trPr>
          <w:trHeight w:val="216"/>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Issuance of restricted stock, net of forfeitures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 related to employees</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Balance as of September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134,773</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$ 4,452</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3,667,662</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(5,182,409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 stock options exercised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97,819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Repurchase of shares(1)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(5,668)</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(360,912)</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restricted stock, net of forfeitures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gridSpan w:val="2"/>
          </w:tcPr>
          <w:p>
            <w:pPr>
              <w:ind w:left="360"/>
              <w:spacing w:after="0"/>
              <w:rPr>
                <w:sz w:val="20"/>
                <w:szCs w:val="20"/>
                <w:color w:val="auto"/>
              </w:rPr>
            </w:pPr>
            <w:r>
              <w:rPr>
                <w:rFonts w:ascii="Arial" w:cs="Arial" w:eastAsia="Arial" w:hAnsi="Arial"/>
                <w:sz w:val="18"/>
                <w:szCs w:val="18"/>
                <w:color w:val="auto"/>
              </w:rPr>
              <w:t>Equity-based compensation expense related to employees</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131,535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$ 4,483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3,807,915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(5,543,321)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89"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time to time, our Board of Directors can adopt share repurchase plans authorizing the repurchase of our outstanding ordinary shares. On November 8, 2017, our Board of Directors adopted a share repurchase plan for the repurchase of up to an additional $800.0 million of our outstanding ordinary shares with no expiration date. On November 12, 2019, our Board of Directors adopted another share repurchase plan authorizing the repurchase of up to an additional $800.0 million of our outstanding ordinary shares with no expiration date. In May 2020, we completed the repurchase of the remaining authorized amount of ordinary shares under the November 2017 plan and initiated repurchases of our outstanding ordinary shares pursuant to the November 2019 plan. In fiscal year 2020, we repurchased approximately 5.7 million ordinary shares at an average price of $63.66 per share (excluding broker and transaction fees). The November 2019 plan permits us to purchase our ordinary shares in the open market or through privately negotiated transactions at times and prices that we consider appropriate. As of September 30, 2020, we had remaining authority to repurchase up to $678.3 million of our outstanding ordinary shares under the November 2019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continue to negatively impact the global economy in a significant manner for an extended period of time, and also could materially adversely affect our business and operating results.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11, 2020 the World Health Organization characterized the outbreak as a “pandemic.” This outbreak of COVID-19 has resulted in a widespread health crisis that has and may continue to adversely affect the economies and financial markets worldwide. The COVID-19 pandemic could materially adversely impact our business, results of operations and financial results, depending on numerous evolving factors that we may not be able to accurately predict, including: the duration and severity of the pandemic; governmental, business and individuals’ actions that have been and continue to be taken in response to the pandemic; the impact of COVID-19 on economic activity and actions taken in response; the effect on our clients and client demand for our services and products; our ability to sell and provide our services and products, including as a result of travel restrictions and working directives; the effect of COVID-19 on our employees’ health and their effectiveness; the ability of our clients to pay for our services and products; and any closures of our and our clients’ offices and facilities. Negative economic conditions may cause customers generally to reduce their spending, delay or cancel projects, choose to focus on in-house development efforts or seek to lower their costs by renegotiating or terminating existing agreements. Any of these events could cause or contribute to the risks and uncertainties enumerated below, and could materially adversely affect our business, financial condition, results of operations and/or stock price.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8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560"/>
        <w:spacing w:after="0" w:line="273"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may be unable to compete successfully with existing or new competitors, particularly as we expand into new market segments. Our failure to adapt to changing market conditions, new market segments such as 5G and the cloud,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 We believe that our ability to compete with other vendors as well as with in-house IT and network departments of communications companies, depends on a number of factors, including:</w:t>
      </w:r>
    </w:p>
    <w:p>
      <w:pPr>
        <w:spacing w:after="0" w:line="9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Additionally, our competitors are increasingly able to offer services related to their software, platform and other solutions that require integration with their other existing services. These more integrated services may represent more attractive alternatives to clients than some of our software products and services.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90" w:lineRule="exact"/>
        <w:rPr>
          <w:sz w:val="20"/>
          <w:szCs w:val="20"/>
          <w:color w:val="auto"/>
        </w:rPr>
      </w:pPr>
    </w:p>
    <w:p>
      <w:pPr>
        <w:jc w:val="both"/>
        <w:ind w:left="340" w:right="800"/>
        <w:spacing w:after="0" w:line="375" w:lineRule="auto"/>
        <w:rPr>
          <w:sz w:val="20"/>
          <w:szCs w:val="20"/>
          <w:color w:val="auto"/>
        </w:rPr>
      </w:pPr>
      <w:r>
        <w:rPr>
          <w:rFonts w:ascii="Arial" w:cs="Arial" w:eastAsia="Arial" w:hAnsi="Arial"/>
          <w:sz w:val="15"/>
          <w:szCs w:val="15"/>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that our future success will depend, to a significant extent, upon our ability to enhance our existing products and services, to introduce new products, services and features to meet the requirements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customers, and to adopt to and leverage new technologies and methodologies such as 5G, cloud, microservices-based architecture, DevOps,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72"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69" w:lineRule="exact"/>
        <w:rPr>
          <w:sz w:val="20"/>
          <w:szCs w:val="20"/>
          <w:color w:val="auto"/>
        </w:rPr>
      </w:pPr>
    </w:p>
    <w:p>
      <w:pPr>
        <w:jc w:val="both"/>
        <w:ind w:left="340" w:right="140"/>
        <w:spacing w:after="0" w:line="263"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and it may materially affect our business and result in potential legal liability.</w:t>
      </w:r>
    </w:p>
    <w:p>
      <w:pPr>
        <w:spacing w:after="0" w:line="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others. Cybersecurity threats are constantly expanding and evolving, thereby increasing the difficulty of detecting and defending against them. For example, we might not discover a security breach or a loss of information for a significant amount of time after the breach, and might not be able to anticipate attacks or implement sufficient mitigating measures. Such cybersecurity incidents could include, but are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Our exposure to cyber security and data privacy breach incidents may increase due to a large number of employees working remotely. Any of the foregoing occurrences could create system disruptions and cause shutdowns or denials of service or compromise data, including personal or confidential information, of us, our partners or our customers.</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which could adversely affect our business, results of operation and financial condition.</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subject to laws, directives, and regulations relating to the collection, use, retention, disclosure, security and transfer of personal data. These laws, directives, and regulations, and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Complying with the GDPR and similar emerging and changing privacy and data protection requirements may cause us to incur substantial costs or require us to change our business practices. Additionally, new local privacy laws have been enacted recently as part of an overall trend, including in the Philippines and Brazil. In the United States, there have been proposals for federal privacy legislation and state-level privacy laws have also recently been enacted, including the California Consumer Privacy Act.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 In addition, Guernsey has introduced legislation similar in form to the GDPR, the Data Protection (Bailiwick of Guernsey) Law, 2017 (as amended) which will apply globally in a similar fashion as the GDPR to our activities conducted from and within Guernsey.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6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26% and 23% of our revenue in fiscal years 2020 and 2019, respectively. In fiscal year 2020 our next largest customer accounted for 12% of our revenue. We cannot assure you that our revenues from AT&amp;T or any of our significant customers will remain the same or grow in future years. Aggregate revenue derived from the multiple business arrangements we have with the ten largest of our significant customers accounted for approximately 65% of our revenue in fiscal year 2020 and in fiscal year 2019.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For example, on April 1, 2020, T-Mobile and Sprint completed their previously announced merger transaction and, as part of that transaction, on July 1, 2020, the combined company divested certain assets to DISH Network Corporation, including Sprint’s Boost Mobile pre-paid wireless services business. We cannot currently predict all possible outcomes of these changes, any other activities resulting from the T-Mobile and Sprint completed merger, or similar customer consolidation activities, will have on our business. Revenue from individual customers may fluctuate from time to time based on the commencement, scope and completion of projects or other engagements, the timing and magnitude of which may be affected by market or other conditions.</w:t>
      </w:r>
    </w:p>
    <w:p>
      <w:pPr>
        <w:spacing w:after="0" w:line="17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265" w:lineRule="exact"/>
        <w:rPr>
          <w:sz w:val="20"/>
          <w:szCs w:val="20"/>
          <w:color w:val="auto"/>
        </w:rPr>
      </w:pPr>
    </w:p>
    <w:p>
      <w:pPr>
        <w:ind w:left="340" w:right="40"/>
        <w:spacing w:after="0" w:line="375" w:lineRule="auto"/>
        <w:rPr>
          <w:sz w:val="20"/>
          <w:szCs w:val="20"/>
          <w:color w:val="auto"/>
        </w:rPr>
      </w:pPr>
      <w:r>
        <w:rPr>
          <w:rFonts w:ascii="Arial" w:cs="Arial" w:eastAsia="Arial" w:hAnsi="Arial"/>
          <w:sz w:val="15"/>
          <w:szCs w:val="15"/>
          <w:b w:val="1"/>
          <w:bCs w:val="1"/>
          <w:i w:val="1"/>
          <w:iCs w:val="1"/>
          <w:color w:val="auto"/>
        </w:rPr>
        <w:t>We seek to acquire companies or technologies, enter into new strategic partnerships and alliances and cannot assure you that these activities will enhance our products and services or strengthen our competitive position, and they may adversely affect our results of operations.</w:t>
      </w:r>
    </w:p>
    <w:p>
      <w:pPr>
        <w:spacing w:after="0" w:line="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It is a part of our business strategy to pursue acquisitions and other initiatives, including new strategic partnerships and alliances, in order to offer new products or services or otherwise enhance our market position or strategic strengths. Consistent with this strategy, in recent years we have completed numerous acquisitions and partnerships and we are actively evaluating potential new opportunities, some of which could be significant, stand alone or in the aggregate. In the future, we intend to continue expanding our portfolio of products, services and technologies that we believe will advance our business strategy through acquisitions and strategic partnerships. However, we may not be able to identify suitable future candidates, consummate them on favorable terms or complete otherwise favorable acquisitions or partnerships because of antitrust, regulatory or other concerns. In addition, the ongoing COVID-19 pandemic and the related potential for a prolonged downturn in the economy may impact our ability to grow acquired entities, which could result in reduction of their valuations. We cannot assure you that the acquisitions we have completed, strategic partnerships or alliances that we established, or any future acquisitions, partnerships or alliances that we may make, will enhance our products and services or strengthen our competitive position. Due to the multiple risks and difficulties associated with such activities, there can be no assurance that we will be successful in achieving our expected strategic, operating, and financial goals for any such acquisition partnerships or alliances.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8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expose us to potential identified or unknown security vulnerabilities, divert management from day-to-day responsibilities, increase our expenses and harm our results of operations or financial condition.</w:t>
      </w:r>
    </w:p>
    <w:p>
      <w:pPr>
        <w:spacing w:after="0" w:line="286" w:lineRule="exact"/>
        <w:rPr>
          <w:sz w:val="20"/>
          <w:szCs w:val="20"/>
          <w:color w:val="auto"/>
        </w:rPr>
      </w:pPr>
    </w:p>
    <w:p>
      <w:pPr>
        <w:ind w:left="340" w:right="60"/>
        <w:spacing w:after="0" w:line="273"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business operations depend in large part on our ability to attract, train, motivate and retain highly skilled information technology professionals, software programmers and communications engineers on a worldwide basis, particularly as we expand into new market segments such as 5G and the cloud.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78"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a national union and a group of our employees had attempted in the past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57"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size, timing and pace of progress of significant customer projects license and service fees, and sales of partners software and hardware,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political conditions, including the continuous effect of the COVID-19 pandemic.</w:t>
      </w:r>
    </w:p>
    <w:p>
      <w:pPr>
        <w:spacing w:after="0" w:line="22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6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8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cash, cash equivalents and short-term interest-bearing investments totaled $984 million, as of September 30, 2020. Our short-term investments consist primarily of bank deposits, money market funds and corporate bonds.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8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hyper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manner of the United Kingdom exiting the European Union, as and when it occurs.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28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we continue our efforts to expand our business internationally, including in emerging markets such as those in Latin America, Africa,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8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of the COVID-19 pandemic, foreign exchange rates fluctuation may continue to present challenges in future periods should significant increases in volatility in foreign exchange markets occur. Due to volatility in foreign exchange rates during the height of the financial crisis in fiscal 2008, for example,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Of the development centers we maintain worldwide, two of our largest development centers are located in Israel and India. In Israel, the centers are located in several different sites, and approximately 20% of our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Terrorist activity in India and Pakistan has contributed to tensions between those countries and our operations in India may be adversely affected by future political and other events in the region.</w:t>
      </w:r>
    </w:p>
    <w:p>
      <w:pPr>
        <w:spacing w:after="0" w:line="30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or enforce our intellectual property rights, our business may be harmed.</w:t>
      </w:r>
    </w:p>
    <w:p>
      <w:pPr>
        <w:spacing w:after="0" w:line="6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Intellectual property laws are complex and subject to change and existing trade secret, copyright, trademark and patent laws offer only limited protection. For example, there is uncertainty concerning the scope of patent and other intellectual property protection, including for software and business methods. Even where we obtain intellectual property protection, the steps we have taken to protect our proprietary rights may be inadequate. If so, we might not be able to prevent others from using what we regard as our technology to compete with us. In addition, the laws of some foreign countries do not protect our proprietary technology or allow enforcement of confidentiality covenants to the same extent as the laws of the United States.</w:t>
      </w:r>
    </w:p>
    <w:p>
      <w:pPr>
        <w:spacing w:after="0" w:line="16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If we have to resort to legal proceedings to enforce our intellectual property rights, the proceedings could be burdensome, protracted and expensive and could involve a high degree of risk, including the risk of counterclaims that allege that we infringe, misappropriate or otherwise violate the intellectual property of another party, regardless of whether we are successful in such proceedings.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also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18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If anyone asserts a claim against us or one of our indemnitees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w:t>
      </w:r>
    </w:p>
    <w:p>
      <w:pPr>
        <w:spacing w:after="0" w:line="27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76" w:lineRule="exact"/>
        <w:rPr>
          <w:sz w:val="20"/>
          <w:szCs w:val="20"/>
          <w:color w:val="auto"/>
        </w:rPr>
      </w:pPr>
    </w:p>
    <w:p>
      <w:pPr>
        <w:jc w:val="both"/>
        <w:ind w:left="340" w:right="16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There can be no assurance that our effective tax rate of 14.7% for the year ended September 30, 2020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example, there is growing pressure in many jurisdictions and from multinational organizations such as the Organization for Economic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Cooperation and Development (OECD) and the EU to amend existing international taxation rules in order to align the tax regimes with current global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practices. Specifically, in October 2015, the OECD published its final package of measures for reform of the international tax rules as a product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its Base Erosion and Profit Shifting (BEPS) initiative, which was endorsed by the G20 finance ministers. Many of the initiatives in the BEPS package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required and resulted in specific amendments to the domestic tax legislation of various jurisdictions and to existing tax treaties. We continuously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monitor these developments. Although many of the BEPS measures have already been implemented or are currently being implemented globally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(including, in certain cases, through adoption of the OECD’s ‘multilateral convention’ to effect changes to tax treaties which entered into force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July 1, 2018 and through the European Union’s ‘Anti Tax Avoidance’ Directives), it is still difficult in some cases to assess to what extent these changes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impact our tax liabilities in the jurisdictions in which we conduct our business or to what extent they may impact the way in which we conduct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business or our effective tax rate due to the unpredictability and interdependency of these potential changes. Further, in January 2019 the OECD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announced further work in continuation of the BEPS project, focusing on two ‘pillars’. The first ‘pillar’ attempts to reach an international consensus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allocation of international taxing rights in light of the challenges posed by the digitization of the economy. The second ‘pillar’ will focus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remaining BEPS issues. Given these developments, it is generally expected that tax authorities in various jurisdictions in which we operate might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their audit activity and might seek to challenge some of the tax positions we have adopted. It is difficult to assess if and to what extent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challenges, if raised, might impact our effective tax rate. In addition, following the screening by the EU Code of Conduct Group on Business Taxation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(“COCG”) of third country jurisdictions to assess their compliance for tax purposes, Guernsey was found to be a co-operative jurisdiction. However,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COCG has requested that Guernsey, along with a number of other jurisdictions, take further steps to ensure that its tax system does not facilitate offshore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structures which attract profits without real economic activity. Legislation introducing economic substance requirements for companies in the Crown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Dependencies was approved by the respective parliaments in December 2018. The legislation applies to all companies resident for tax purposes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Crown Dependencies and is effective for accounting periods commencing on or after January 1, 2019. The regulations require companies to demonstrate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they have sufficient substance in Guernsey via a series of requirements, or tests. Amdocs is monitoring the developments closely to ensure that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is compliant with the various requirements.</w:t>
      </w:r>
    </w:p>
    <w:p>
      <w:pPr>
        <w:spacing w:after="0" w:line="21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Further, the U.S. Tax Cuts and Jobs Act of 2017 (the Tax Act) significantly changed how corporations are taxed in the United States. The application of the Tax Act is subject to certain uncertainties. The Tax Act includes certain provisions that may increase our overall tax liabilities. Certain provisions of the Tax Act have applied to us from fiscal year 2018, while other provisions of the Tax Act have become applicable to us from our fiscal year 2019. We have implemented certain steps to optimize our global tax structure, but there can be no assurance that our global tax liabilities would not increase as a result of the Tax Act. In addition, due to the uncertainty involved in applying certain provisions of the Tax Act to our group, we made reasonable estimates for the effects on our financial statements. The U.S. Treasury Department, the Internal Revenue Service and other standards-setting bodies may issue guidance on how the provisions of the Tax Act will be applied that is different from our interpretation. The Tax Act requires complex computations not previously required or produced, and significant judgments and assumptions in the interpretation of the law were made in producing our provisional estimates. In addition, on March 27, 2020, the Coronavirus Aid, Relief, and Economic Security Act (the CARES Act) was enacted in response to the recent outbreak of COVID-19. The CARES Act, among other things, includes provisions relating to refundable payroll tax credits, the ability to utilize and carryback certain net operating losses, alternative minimum tax refunds and modifications to rules regarding the deductibility of net interest expense. As we continue our analyses of these legislative changes and interpret any additional guidance, we may adjust the provisional amounts we have recorded, and those adjustments may materially impact our provision for income taxes in the period in which the adjustments are made.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are risks associated with our outstanding and future indebtedness.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September 30, 2020, we had an aggregate of $750 million of outstanding indebtedness and we may incur additional indebtedness in the future.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changes by any rating agency to our outlook or credit rating could negatively affect the value of both our debt and equity securities and increase the interest amounts we pay on certain outstanding or future debt. These risks could adversely affect our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 including the continuous effect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in the communications, media or software industries, including industry consolidation,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estimates of our performance or recommendations by financial analysts, institutions and other market professionals,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5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part of our strategy, we have pursued and may continue to pursue acquisitions, partnerships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5G charging and policy, cloud technologies, software design and development and the media and entertainment domain. In July 2017, we acquired Kenzan Media, LLC, a software engineering services company that provides customized, end-to-end solutions focusing on digital transformation, and platform-as-a-service and cloud-native application development using DevOps and microservices. In November 2017, we acquired projekt202, a leader in experience-driven software design and development. In February 2018, we acquired Vubiquity, a leading provider of premium digital content services and technology solutions, in order to further expand our capabilities in the world of media and entertainment which is increasingly converging with our traditional domain of communications. Also in February 2018, we acquired UXP Systems, a leader in user lifecycle management, to enhance our capabilities around digital identity, user entitlements, personalization, and privacy, including consent management. In August 2019, we acquired TTS Wireless, a provider of mobile network engineering services, specializing in network optimization and planning, to further expand our 5G capabilities and help operators accelerate and simplify deployment of 5G networks with comprehensive network rollout solutions. In August 2020, we acquired Openet, a provider of 5G charging, policy and cloud technologies, to extend our portfolio with open and network-centric technologies to help service providers differentiate in the 5G era. In November 2020, we signed an agreement for the divestiture of OpenMarket, an Amdocs subsidiary, for approximately $300 million in cash, as part of our strategy to divest a non-strategic asset in the mobile messaging domain and remain focused on our core strategic growth initiatives.</w:t>
      </w:r>
    </w:p>
    <w:p>
      <w:pPr>
        <w:spacing w:after="0" w:line="16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As the result of our organic growth and acquisitions, our workforce has increased over the last three years from an approximate average workforce of 24,381 in fiscal 2018 to 25,875 in fiscal 2020. In the past, our workforce has fluctuated with changes in business conditions.</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principal capital expenditures for fiscal 2020, 2019 and 2018 have been for computer equipment in our operating facilities and development centers, for which we spent approximately $126 million, $110 million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$118 million, respectively, and for the development of our new campus in Israel, for which we spent approximately $63 million, $7 million (which is net of proceed of $9.7 million relating to refund of betterment levy) and $96 million,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Amdocs is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Amdocs also has technology and distribution ties to more than 850 content owners to bring premium content to over 500 video service providers worldwide, including Verizon, Turner and Warner Bros.</w:t>
      </w:r>
    </w:p>
    <w:p>
      <w:pPr>
        <w:spacing w:after="0" w:line="19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software and services, which we develop, implement and manage, are designed to meet the business imperatives of our customers. Our offerings are based on a product and services mix, using technologies and methodologies such as cloud, microservices, DevOps, open source, bimodal operations, Site Reliability Engineering (SRE) and increasing amounts of automation through standard information technology (IT) tools, open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accelerate their journey to the cloud, enhance their entertainment offerings, deploy and manage existing and next-generation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65"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and business-to-business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invest time and resources to identify and address cybersecurity risks, including risks that our customers face with regard to our systems, products or services. We have established policies and procedures, based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industry best practices, to protect the integrity and security of our products and services. We work with our customers and use overlapping controls to defend against cybersecurity attacks and threats on networks, end-user devices, servers, applications, data and our cloud solutions. In addition, we utilize a combination of educational tools to foster a culture of security awareness and responsibility among our workforce.</w:t>
      </w:r>
    </w:p>
    <w:p>
      <w:pPr>
        <w:spacing w:after="0" w:line="16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addition to the business value we provide to our customers, we also aim to create value for society in line with our company purpose of enriching lives and progressing society with our creativity and technology for a better-connected world. Amdocs was selected for the 2020 S&amp;P Dow Jones Sustainability Index (DJSI) North America, with DJSI recognizing Amdocs as a sustainability leader in our industry. We are committed to diversity, believing a gender diverse, multi-cultural workforce provides strength and a competitive advantage. We seek to create a welcoming work environment for all employees, regardless of age, disability, ethnicity, gender, religion or sexual orientation. Inside the company we run internal programs to increase representation and empower female employees of our company. We have placed particular effort in recruiting more women for core technology roles, while in terms of the company’s senior management, women general managers lead over 40% of the employee population. In the United States we donated scholarships for tuition and housing to African American students, via UNCF, to help ensure more African American students are college-ready, enroll in college, and persist to graduation. To help the communities in which we live and work during the COVID-19 pandemic, we donated medical equipment and life-saving machines, computers for remote learning and food for the needy. Furthermore, we established a call center operated by Amdocs volunteers to assist senior citizens and others make video calls to stay in touch with their families. We also place high value on protecting the environment and minimizing any negative environmental impacts of our operations and seek to create sustainable products and services. As we take the industry to the cloud, we help service providers shift away from costly, space and energy-consuming hardware components, by delivering software-driven capabilities.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We believe service providers will maintain a strong focus on growing new revenue streams, cost reduction and driving more efficient operations, and that the trends of ongoing digital transformation with focus on customer experience, migration to the cloud, next-generation networks, and consolidation within the industry will continue. Many service providers are seeking to become full-service integrated carriers, providing their customers with a rich portfolio of offerings including core communications; media, advertising and entertainment; enterprise enablement; Internet of Things (IoT) and digital lifestyle services, while other continue to focus on their core capabilities. The smartphone and associated communications and entertainment apps, other connected devices such as tablets, e-readers, wearables, and improvements in IoT technology continue to drive unprecedented growth in the demand for multi-modal customer engagement capabilities and data. In response to the demand for digital experiences, service providers are continuing to focus on providing digital services, as well as enriching their offerings with integrated partner services. Service providers are also beginning to introduce 5G, investing in their networks, and virtualizing them, to meet the demand for increased bandwidth, faster pace of innovation for new digital services, as well as to improve their business and operational agility and optimize and monetize their investments in such services.</w:t>
      </w:r>
    </w:p>
    <w:p>
      <w:pPr>
        <w:spacing w:after="0" w:line="16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OTT-focused players and device manufacturers continue to penetrate the communications market and are also competing for customer attention in the entertainment market, while traditional content creators are looking to stream their content direct-to-consumer (D2C). Additionally, social networks such as Facebook and Twitter, alongside OTT-focused players such as Snapchat and WhatsApp, have become widely accepted alternatives to traditional voice communications and are also providing video streaming services. To meet the challenges from new competitors, service providers are developing cooperative partnerships with OTT-focused players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capture new revenue streams, service providers are expanding within existing and non-traditional business models and deploying new network technologies such as 5G. We believe service providers will continue to place an emphasis on modernization and transformation projects for their networks and operational and business systems as they seek to migrate to the cloud and offer innovative new services for both enterprise customers and individual consumers and monetize these new capabilities.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Our goal is to provide software and services solutions and support to communications and media companies of all sizes as they strive to deliver digital engagements and remain competitive. We seek to accomplish our goal by pursuing the strategies described below.</w:t>
      </w:r>
    </w:p>
    <w:p>
      <w:pPr>
        <w:spacing w:after="0" w:line="52" w:lineRule="exact"/>
        <w:rPr>
          <w:sz w:val="20"/>
          <w:szCs w:val="20"/>
          <w:color w:val="auto"/>
        </w:rPr>
      </w:pPr>
    </w:p>
    <w:p>
      <w:pPr>
        <w:ind w:left="1080" w:right="60" w:hanging="424"/>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Focus on the Communications and Media Industry</w:t>
      </w:r>
      <w:r>
        <w:rPr>
          <w:rFonts w:ascii="Arial" w:cs="Arial" w:eastAsia="Arial" w:hAnsi="Arial"/>
          <w:sz w:val="18"/>
          <w:szCs w:val="18"/>
          <w:color w:val="auto"/>
        </w:rPr>
        <w:t>. We focus our resources and efforts primarily on providing customer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10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92" w:lineRule="exact"/>
        <w:rPr>
          <w:rFonts w:ascii="Arial" w:cs="Arial" w:eastAsia="Arial" w:hAnsi="Arial"/>
          <w:sz w:val="18"/>
          <w:szCs w:val="18"/>
          <w:color w:val="auto"/>
        </w:rPr>
      </w:pPr>
    </w:p>
    <w:p>
      <w:pPr>
        <w:ind w:left="1080" w:right="40" w:hanging="424"/>
        <w:spacing w:after="0" w:line="287"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New Geographies and Emerging Markets. </w:t>
      </w:r>
      <w:r>
        <w:rPr>
          <w:rFonts w:ascii="Arial" w:cs="Arial" w:eastAsia="Arial" w:hAnsi="Arial"/>
          <w:sz w:val="16"/>
          <w:szCs w:val="16"/>
          <w:color w:val="auto"/>
        </w:rPr>
        <w:t>We seek to grow our customer base by expanding into new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2020, for example, we succeeded in growing our activities in the German market. We also expanded in the Spanish market and grew our presence in other geographies such as Africa.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0"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Provide Customers with an Open, Dynamic and Cloud-Native Portfolio. </w:t>
      </w:r>
      <w:r>
        <w:rPr>
          <w:rFonts w:ascii="Arial" w:cs="Arial" w:eastAsia="Arial" w:hAnsi="Arial"/>
          <w:sz w:val="17"/>
          <w:szCs w:val="17"/>
          <w:color w:val="auto"/>
        </w:rPr>
        <w:t>With our offerings, we seek to provide our customers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open and dynamic portfolio, available on an open, modular, cloud-native architecture and deployed using best practice DevOps to help them deliver a customer experience that is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and digital services. Integration of our systems is achieved through a central, cloud-native catalog, built on an open, API-first and microservices-based approach to enable third-party integration. We believe that our ability to provide a broad, open, dynamic, modular and cloud-native portfolio helps position us as a strategic partner for our customers as they seek to migrate to the cloud and continue to transform into digital service providers, providing us with multiple avenues for strengthening and expanding our ongoing customer relationships.</w:t>
      </w:r>
    </w:p>
    <w:p>
      <w:pPr>
        <w:spacing w:after="0" w:line="86"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Expand Our Managed Services Capabilities</w:t>
      </w:r>
      <w:r>
        <w:rPr>
          <w:rFonts w:ascii="Arial" w:cs="Arial" w:eastAsia="Arial" w:hAnsi="Arial"/>
          <w:sz w:val="17"/>
          <w:szCs w:val="17"/>
          <w:color w:val="auto"/>
        </w:rPr>
        <w:t>. We seek to assume responsibility for the operation, development and management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Amdocs systems, as well as systems developed by in-house IT departments or by other vendors. Our mandate can extend across the service provider’s entire IT and network environment and encompass key business process operational needs, organizational readiness preparation and employee upskilling.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access to global repository of automation processes, as well as improved efficiencies and long-term savings over the day-to-day costs of operating and maintaining these systems, as well as an improved end-user experience, so they can focus on their own internal strengths and strategy to grow their business, leaving system concerns to us. Managed services also benefit us, as they can be a source of predictable revenue and long-term relationships.</w:t>
      </w:r>
    </w:p>
    <w:p>
      <w:pPr>
        <w:spacing w:after="0" w:line="90" w:lineRule="exact"/>
        <w:rPr>
          <w:rFonts w:ascii="Arial" w:cs="Arial" w:eastAsia="Arial" w:hAnsi="Arial"/>
          <w:sz w:val="17"/>
          <w:szCs w:val="17"/>
          <w:color w:val="auto"/>
        </w:rPr>
      </w:pPr>
    </w:p>
    <w:p>
      <w:pPr>
        <w:ind w:left="1080" w:right="20" w:hanging="424"/>
        <w:spacing w:after="0" w:line="29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provide, produce a competitive advantage for us.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offerings are designed to meet the challenges facing our customers as they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With our portfolio’s open and modular structure, our customers have the flexibility to choose business offerings that address their specific needs and improve their time to market. In the second quarter of fiscal 2020, we released a fully cloud native, microservices-based version of our market-leading customer experience suite.</w:t>
      </w:r>
    </w:p>
    <w:p>
      <w:pPr>
        <w:spacing w:after="0" w:line="19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portfolio includes a comprehensive line of services designed to address every stage of a service provider’s lifecycle, from planning, delivery and implementation to ongoing support and operations. Our services include end-to-end systems integration services, managed services, testing (which we refer to as quality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engineering), cloud services, digital business operations and consulting services. Using artificial intelligence and predictive analytics, as well as automation and machine learning, our managed services enable service providers’ IT departments to keep pace with the speed of business requirements, provide faster time to market for new services as well as the cost-effective management of existing offerings. Our telco and media-specific adoption of SRE methodology helps provide more agile and reliable operations and also includes dedicated tools that automate tasks that would traditionally require various software development skills. Managed services provide multi-year, flexible and tailored managed services across all verticals, managing IT, business processes and applications services, including application development and maintenance, operations, IT and infrastructure hosting, cloud operations and in-house developed practices, and legacy modernization. 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 as usual state.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Meeting our Customers’ Business Imperatives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software and services solutions support the full span of the customer relationship, addressing key service provider business imperatives:</w:t>
      </w:r>
    </w:p>
    <w:p>
      <w:pPr>
        <w:spacing w:after="0" w:line="154" w:lineRule="exact"/>
        <w:rPr>
          <w:sz w:val="20"/>
          <w:szCs w:val="20"/>
          <w:color w:val="auto"/>
        </w:rPr>
      </w:pPr>
    </w:p>
    <w:p>
      <w:pPr>
        <w:ind w:left="1080" w:right="20" w:hanging="424"/>
        <w:spacing w:after="0" w:line="293"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Consumer experience and monetization: </w:t>
      </w:r>
      <w:r>
        <w:rPr>
          <w:rFonts w:ascii="Arial" w:cs="Arial" w:eastAsia="Arial" w:hAnsi="Arial"/>
          <w:sz w:val="16"/>
          <w:szCs w:val="16"/>
          <w:color w:val="auto"/>
        </w:rPr>
        <w:t>Our cloud-native modular solutions are designed to address service providers’ need to</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 in a hyper-competitive consumer market, as disruptors continuously emerge, and consumer expectations are ever-changing. We support service providers in their goals to grow loyalty by personalizing care and commerce and to provide a seamless digital experience across all channels. Our digital-native platform is designed to enable service providers to modernize their customer experience and monetization systems on the cloud. Our 5G-ready, cloud-native monetization offerings enable service providers to launch new types of multi-play, multi-partner offers, with the flexible payment methods needed to capture new revenues in the digital economy.</w:t>
      </w:r>
    </w:p>
    <w:p>
      <w:pPr>
        <w:spacing w:after="0" w:line="69"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Media and digital services: </w:t>
      </w:r>
      <w:r>
        <w:rPr>
          <w:rFonts w:ascii="Arial" w:cs="Arial" w:eastAsia="Arial" w:hAnsi="Arial"/>
          <w:sz w:val="18"/>
          <w:szCs w:val="18"/>
          <w:color w:val="auto"/>
        </w:rPr>
        <w:t>Our solutions are designed to enable service providers to build rich, premium content offerings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solutions help service providers and premium content owners monetize content through a variety of commercial models. Our solutions enable service providers to monetize OTT offerings by providing full partner lifecycle management, including onboarding, revenue sharing, settlement and reporting, along with a complete set of subscription and digital identity management capabilities.</w:t>
      </w:r>
    </w:p>
    <w:p>
      <w:pPr>
        <w:spacing w:after="0" w:line="100" w:lineRule="exact"/>
        <w:rPr>
          <w:rFonts w:ascii="Arial" w:cs="Arial" w:eastAsia="Arial" w:hAnsi="Arial"/>
          <w:sz w:val="18"/>
          <w:szCs w:val="18"/>
          <w:color w:val="auto"/>
        </w:rPr>
      </w:pPr>
    </w:p>
    <w:p>
      <w:pPr>
        <w:ind w:left="1080" w:right="60" w:hanging="424"/>
        <w:spacing w:after="0" w:line="289"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Enterprise and connected society: </w:t>
      </w:r>
      <w:r>
        <w:rPr>
          <w:rFonts w:ascii="Arial" w:cs="Arial" w:eastAsia="Arial" w:hAnsi="Arial"/>
          <w:sz w:val="16"/>
          <w:szCs w:val="16"/>
          <w:color w:val="auto"/>
        </w:rPr>
        <w:t>These offerings allow service providers to drive better experiences across their B2B customer journeys</w:t>
      </w:r>
      <w:r>
        <w:rPr>
          <w:rFonts w:ascii="Arial" w:cs="Arial" w:eastAsia="Arial" w:hAnsi="Arial"/>
          <w:sz w:val="16"/>
          <w:szCs w:val="16"/>
          <w:i w:val="1"/>
          <w:iCs w:val="1"/>
          <w:color w:val="auto"/>
        </w:rPr>
        <w:t xml:space="preserve"> </w:t>
      </w:r>
      <w:r>
        <w:rPr>
          <w:rFonts w:ascii="Arial" w:cs="Arial" w:eastAsia="Arial" w:hAnsi="Arial"/>
          <w:sz w:val="16"/>
          <w:szCs w:val="16"/>
          <w:color w:val="auto"/>
        </w:rPr>
        <w:t>and accelerate growth by offering services beyond connectivity. At the sales phase, our lead-to-order solution facilitates, secures and helps process opportunities into orders. Our configure-price-quote systems supports generating accurate and validated quotes and once the customer order is placed, our zero-touch ordering and fulfillment solutions eliminate manual handling and order fallouts. When the order relates to connectivity, our solutions boost the time to activation – whether for traditional connectivity such as fiber, mobile such as eSIM, or new generation connectivity such as SD-WAN and 5G. Our NFV/SDN offering includes a large partner ecosystem of virtual network functions (VNFs) and provides upsell opportunities with services such as security, web filtering or vCPE. Our full business enablement suite for enterprise customers also includes functions such as white-label billing, settlement or partner management as well as a large portfolio of competencies to support migration to cloud-native, microservices-based environments.</w:t>
      </w:r>
    </w:p>
    <w:p>
      <w:pPr>
        <w:spacing w:after="0" w:line="71"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Open cloud networks: </w:t>
      </w:r>
      <w:r>
        <w:rPr>
          <w:rFonts w:ascii="Arial" w:cs="Arial" w:eastAsia="Arial" w:hAnsi="Arial"/>
          <w:sz w:val="18"/>
          <w:szCs w:val="18"/>
          <w:color w:val="auto"/>
        </w:rPr>
        <w:t>These offerings comprise standards-based software solutions to enable service lifecycle management across hybrid</w:t>
      </w:r>
      <w:r>
        <w:rPr>
          <w:rFonts w:ascii="Arial" w:cs="Arial" w:eastAsia="Arial" w:hAnsi="Arial"/>
          <w:sz w:val="18"/>
          <w:szCs w:val="18"/>
          <w:i w:val="1"/>
          <w:iCs w:val="1"/>
          <w:color w:val="auto"/>
        </w:rPr>
        <w:t xml:space="preserve"> </w:t>
      </w:r>
      <w:r>
        <w:rPr>
          <w:rFonts w:ascii="Arial" w:cs="Arial" w:eastAsia="Arial" w:hAnsi="Arial"/>
          <w:sz w:val="18"/>
          <w:szCs w:val="18"/>
          <w:color w:val="auto"/>
        </w:rPr>
        <w:t>physical, virtual and cloud networks, allowing service providers to automate network operations and simplify the introduction of NFV, cloud and value-added services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68" w:lineRule="auto"/>
        <w:rPr>
          <w:sz w:val="20"/>
          <w:szCs w:val="20"/>
          <w:color w:val="auto"/>
        </w:rPr>
      </w:pPr>
      <w:r>
        <w:rPr>
          <w:rFonts w:ascii="Arial" w:cs="Arial" w:eastAsia="Arial" w:hAnsi="Arial"/>
          <w:sz w:val="17"/>
          <w:szCs w:val="17"/>
          <w:color w:val="auto"/>
        </w:rPr>
        <w:t>into existing and next generation networks, including 5G and edge-computing systems. Amdocs’ Service and Network Automation Platform, that leverages components from ONAP (the Linux Foundation’s Open Network Automation Platform) features software and services capabilities to orchestrate multi-vendor VNFs over virtual infrastructures and public clouds such as Amazon Web Services (AWS), Microsoft Azure and Google Cloud, automating VNF onboarding to enable the design, testing and launching of new network services in weeks rather than months, and supporting a live view of services and resources. The Amdocs network automation and service management suite of solutions enables service providers to deploy, manage and monetize 5G networks. We also provide operational support systems for fixed line, broadband, wireless and cable TV networks. The offerings facilitate network operational processes, including network planning and rollout across multiple technologies such as fiber, small cell and LTE, essential for 5G readiness, service fulfillment and assurance, inventory management, order orchestration and activation of new services through automation. Our integrated suite of network optimization software and services is designed to help service providers plan, build, launch, manage and optimize their mobile networks. Vendor and technology agnostic, this offering affords service providers the analytics and services capabilities needed to maximize network investments, accelerate and automate the roll out and upgrade of network technologies, and optimize network performance and capacity.</w:t>
      </w:r>
    </w:p>
    <w:p>
      <w:pPr>
        <w:spacing w:after="0" w:line="92" w:lineRule="exact"/>
        <w:rPr>
          <w:sz w:val="20"/>
          <w:szCs w:val="20"/>
          <w:color w:val="auto"/>
        </w:rPr>
      </w:pPr>
    </w:p>
    <w:p>
      <w:pPr>
        <w:ind w:left="1080" w:right="20" w:hanging="424"/>
        <w:spacing w:after="0" w:line="25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New domains and disruptions: </w:t>
      </w:r>
      <w:r>
        <w:rPr>
          <w:rFonts w:ascii="Arial" w:cs="Arial" w:eastAsia="Arial" w:hAnsi="Arial"/>
          <w:sz w:val="18"/>
          <w:szCs w:val="18"/>
          <w:color w:val="auto"/>
        </w:rPr>
        <w:t>These offerings enable service providers to expand into new domains and disrupt traditional practices. Our</w:t>
      </w:r>
      <w:r>
        <w:rPr>
          <w:rFonts w:ascii="Arial" w:cs="Arial" w:eastAsia="Arial" w:hAnsi="Arial"/>
          <w:sz w:val="18"/>
          <w:szCs w:val="18"/>
          <w:i w:val="1"/>
          <w:iCs w:val="1"/>
          <w:color w:val="auto"/>
        </w:rPr>
        <w:t xml:space="preserve"> </w:t>
      </w:r>
      <w:r>
        <w:rPr>
          <w:rFonts w:ascii="Arial" w:cs="Arial" w:eastAsia="Arial" w:hAnsi="Arial"/>
          <w:sz w:val="18"/>
          <w:szCs w:val="18"/>
          <w:color w:val="auto"/>
        </w:rPr>
        <w:t>eSIM cloud platform enables service providers to launch IoT solutions, while our advanced cyber-security service helps protect and manage enterprises. Our AI-powered, cloud-native, home operating system enables service providers to expand the home broadband experience, offering end users automated care, smart insights, security and control over the growing number of connected home devices. Our data intelligence solutions and applications span every aspect of the service provider’s business, with detailed use cases and best practices to help service providers become truly data-driven organizations. We also enable innovative commerce and payment solutions with our mobile financial services.</w:t>
      </w:r>
    </w:p>
    <w:p>
      <w:pPr>
        <w:spacing w:after="0" w:line="100"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Services and hybrid operations: </w:t>
      </w:r>
      <w:r>
        <w:rPr>
          <w:rFonts w:ascii="Arial" w:cs="Arial" w:eastAsia="Arial" w:hAnsi="Arial"/>
          <w:sz w:val="17"/>
          <w:szCs w:val="17"/>
          <w:color w:val="auto"/>
        </w:rPr>
        <w:t>Our solutions are designed to enable service providers to introduce intelligence and automation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to accelerate innovation, agility and efficiency; optimize data for intelligence-driven analytics; effectively manage multi-dimensional, dynamic hybrid operations; embark on their cloud and IT modernization paths and prevent revenue loss. Using open source, third-party solutions and Amdocs’ unique IP, including tools and methodologies around artificial intelligence, SRE, predictive analytics and machine learning, these services span both Amdocs products and third-party software and can be rapidly deployed through DevOps capabilities and are focused on delivering clear business value as well as reducing costs.</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broad suite of services range from advisory services through solution development and business operations to managed services and training, and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adopting DevOps, migrating applications to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 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8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key services are:</w:t>
      </w:r>
    </w:p>
    <w:p>
      <w:pPr>
        <w:spacing w:after="0" w:line="131" w:lineRule="exact"/>
        <w:rPr>
          <w:sz w:val="20"/>
          <w:szCs w:val="20"/>
          <w:color w:val="auto"/>
        </w:rPr>
      </w:pPr>
    </w:p>
    <w:p>
      <w:pPr>
        <w:ind w:left="1080" w:hanging="424"/>
        <w:spacing w:after="0" w:line="25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Managed Services </w:t>
      </w:r>
      <w:r>
        <w:rPr>
          <w:rFonts w:ascii="Arial" w:cs="Arial" w:eastAsia="Arial" w:hAnsi="Arial"/>
          <w:sz w:val="18"/>
          <w:szCs w:val="18"/>
          <w:color w:val="auto"/>
        </w:rPr>
        <w:t>— We seek to transform traditional managed services towards cloud operations (“CloudOps”) and the enablement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self-managed and self-operated applications (“NoOps”), while continuing to manage legacy systems. This includes rapid deployment of new services through DevOps capabilities, modernization of legacy systems, cloud and infrastructure services, while maintaining ongoing IT operations. Using open source, third-party solutions and Amdocs’ unique IP around artificial intelligence, predictive analytics, self-healing and machine learning, as well as a unique adaptation of SRE methodologies, this suite of services spans both Amdocs products and non-Amdocs, third-party software.</w:t>
      </w:r>
    </w:p>
    <w:p>
      <w:pPr>
        <w:spacing w:after="0" w:line="97"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Digital Business Operations </w:t>
      </w:r>
      <w:r>
        <w:rPr>
          <w:rFonts w:ascii="Arial" w:cs="Arial" w:eastAsia="Arial" w:hAnsi="Arial"/>
          <w:sz w:val="18"/>
          <w:szCs w:val="18"/>
          <w:color w:val="auto"/>
        </w:rPr>
        <w:t>— We offer a suite of services for automating and optimizing business operations, including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activation and other business processes. These services combine domain-specific expertise and advanced technologies such as robotic process automation, predictive analytics, machine learning and technology with real-time, end-to-end visibility over any business process regardless of underlying silos. We aim to improve customer experience, decrease handling time, reduce OPEX and shorten time to introduce digital channels and new services.</w:t>
      </w:r>
    </w:p>
    <w:p>
      <w:pPr>
        <w:spacing w:after="0" w:line="93"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Quality Engineering Services </w:t>
      </w:r>
      <w:r>
        <w:rPr>
          <w:rFonts w:ascii="Arial" w:cs="Arial" w:eastAsia="Arial" w:hAnsi="Arial"/>
          <w:sz w:val="18"/>
          <w:szCs w:val="18"/>
          <w:color w:val="auto"/>
        </w:rPr>
        <w:t>— We offer industry-specific quality assurance services to help our customers reduce operational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time to market and ensure the desired end-user experience, leveraging our advanced automation, intelligence and machine learning tools that form part of our 36ONE platform.</w:t>
      </w:r>
    </w:p>
    <w:p>
      <w:pPr>
        <w:spacing w:after="0" w:line="89" w:lineRule="exact"/>
        <w:rPr>
          <w:rFonts w:ascii="Arial" w:cs="Arial" w:eastAsia="Arial" w:hAnsi="Arial"/>
          <w:sz w:val="18"/>
          <w:szCs w:val="18"/>
          <w:color w:val="auto"/>
        </w:rPr>
      </w:pPr>
    </w:p>
    <w:p>
      <w:pPr>
        <w:ind w:left="1080" w:right="40" w:hanging="424"/>
        <w:spacing w:after="0" w:line="272"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Cloud Services </w:t>
      </w:r>
      <w:r>
        <w:rPr>
          <w:rFonts w:ascii="Arial" w:cs="Arial" w:eastAsia="Arial" w:hAnsi="Arial"/>
          <w:sz w:val="17"/>
          <w:szCs w:val="17"/>
          <w:color w:val="auto"/>
        </w:rPr>
        <w:t>— We provide a set of services to help design, build, implement and operate cloud solutions, including through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AWS, Microsoft Azure and Google Cloud. These services include cloud consulting, which is primarily delivered by experts from our Kenzan acquisition. Our cloud migration and modernization services move applications and IT systems to the cloud, and also implement changes to processes, culture and teams, enabling our customers to leverage the capabilities of the cloud to meet their business goals. With data migration to the cloud, we help improve the accessibility of data to enable faster, timelier AI-driven analytics. This provides customers with the ability to better leverage their data, with more users having access to more data, thereby enabling greater value to be achieved through analytics.</w:t>
      </w:r>
    </w:p>
    <w:p>
      <w:pPr>
        <w:spacing w:after="0" w:line="82" w:lineRule="exact"/>
        <w:rPr>
          <w:rFonts w:ascii="Arial" w:cs="Arial" w:eastAsia="Arial" w:hAnsi="Arial"/>
          <w:sz w:val="17"/>
          <w:szCs w:val="17"/>
          <w:color w:val="auto"/>
        </w:rPr>
      </w:pPr>
    </w:p>
    <w:p>
      <w:pPr>
        <w:ind w:left="1080" w:right="160" w:hanging="424"/>
        <w:spacing w:after="0" w:line="275"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Consulting Services </w:t>
      </w:r>
      <w:r>
        <w:rPr>
          <w:rFonts w:ascii="Arial" w:cs="Arial" w:eastAsia="Arial" w:hAnsi="Arial"/>
          <w:sz w:val="17"/>
          <w:szCs w:val="17"/>
          <w:color w:val="auto"/>
        </w:rPr>
        <w:t>— We provide business and top-level technology strategy consulting services for both Amdocs and non-Amdocs</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Our consultants understand the service provider’s environment and bring with them the experience we accumulated when modernizing our own Amdocs product lines and re-skilling our people to master hybrids of the legacy and the new. Using expertise from recent acquisitions, we also provide experts in specific niches, such as the user experience (UX) experts from projekt202 and the digital software engineering and platform development experts from Kenzan.</w:t>
      </w:r>
    </w:p>
    <w:p>
      <w:pPr>
        <w:spacing w:after="0" w:line="8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Integration Services </w:t>
      </w:r>
      <w:r>
        <w:rPr>
          <w:rFonts w:ascii="Arial" w:cs="Arial" w:eastAsia="Arial" w:hAnsi="Arial"/>
          <w:sz w:val="18"/>
          <w:szCs w:val="18"/>
          <w:color w:val="auto"/>
        </w:rPr>
        <w:t>— We offer integration design and implementation services to help bridge between modern digital channels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existing legacy back-end and third-party systems. We also offer a unique integration platform as a service (IPaaS) solution, built specifically for the unique challenges of the communications and media industry, enabling modernization with minimal impact on the systems of record and other legacy systems.</w:t>
      </w:r>
    </w:p>
    <w:p>
      <w:pPr>
        <w:spacing w:after="0" w:line="18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In addition, Amdocs offerings includes revenue guard services designed to ensure faster, more accurate detection and resolution of revenue leakage, fraud and cyber fraud and the BriteBill multi-channel bill presentment platform focused on providing clarity in billing, creating a digital engagement channel with customers, and generating upsell opportunities. We also provide advertising and media offerings for media publishers, TV networks, video streaming providers, advertising agencies and service providers.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portfolio architecture enables our applications to work in multiple customer environments ranging from on premise to public cloud.</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jc w:val="both"/>
        <w:ind w:left="1080" w:right="4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API-first</w:t>
      </w:r>
      <w:r>
        <w:rPr>
          <w:rFonts w:ascii="Arial" w:cs="Arial" w:eastAsia="Arial" w:hAnsi="Arial"/>
          <w:sz w:val="18"/>
          <w:szCs w:val="18"/>
          <w:color w:val="auto"/>
        </w:rPr>
        <w:t>. Leveraging domain-driven design to expose APIs across key applications and ensure consumption and interaction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 and across a variety of providers based on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needs.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Kubernetes, the industry-leading cluster management for containers.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Continuous Updates</w:t>
      </w:r>
      <w:r>
        <w:rPr>
          <w:rFonts w:ascii="Arial" w:cs="Arial" w:eastAsia="Arial" w:hAnsi="Arial"/>
          <w:sz w:val="18"/>
          <w:szCs w:val="18"/>
          <w:color w:val="auto"/>
        </w:rPr>
        <w:t>. Ongoing delivery of software functionality enables customers to adopt the latest features and functions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accelerating time to market and business agility.</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Hybrid-Cloud</w:t>
      </w:r>
      <w:r>
        <w:rPr>
          <w:rFonts w:ascii="Arial" w:cs="Arial" w:eastAsia="Arial" w:hAnsi="Arial"/>
          <w:sz w:val="17"/>
          <w:szCs w:val="17"/>
          <w:color w:val="auto"/>
        </w:rPr>
        <w:t>. Supporting application architecture that spans physical, virtual and cloud-based infrastructures. The deployment,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operation of these diverse permutations must be orchestrated in order to deliver seamless experiences.</w:t>
      </w:r>
    </w:p>
    <w:p>
      <w:pPr>
        <w:spacing w:after="0" w:line="51" w:lineRule="exact"/>
        <w:rPr>
          <w:rFonts w:ascii="Arial" w:cs="Arial" w:eastAsia="Arial" w:hAnsi="Arial"/>
          <w:sz w:val="17"/>
          <w:szCs w:val="17"/>
          <w:color w:val="auto"/>
        </w:rPr>
      </w:pPr>
    </w:p>
    <w:p>
      <w:pPr>
        <w:ind w:left="1080" w:right="26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Open Source Software</w:t>
      </w:r>
      <w:r>
        <w:rPr>
          <w:rFonts w:ascii="Arial" w:cs="Arial" w:eastAsia="Arial" w:hAnsi="Arial"/>
          <w:sz w:val="17"/>
          <w:szCs w:val="17"/>
          <w:color w:val="auto"/>
        </w:rPr>
        <w:t>. Enabling rapid time to market and lower-cost functionality introduction, our software leverages open-source</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to encourage standardization and improved quality where possible. Amdocs is playing a central role in the development of The Linux Foundation’s ONAP, an advanced open source solution for the telecommunications industry.</w:t>
      </w:r>
    </w:p>
    <w:p>
      <w:pPr>
        <w:spacing w:after="0" w:line="70"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and marketing activities are primarily directed at major communications and media companies.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result of the strategic importance of our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our partner ecosystem of over 100 partner companies in domains such as digital and consumer experience, media and entertainment, IoT, data intelligence, security and privacy, cloud and open source. Partner companies include Amazon Web Services, Microsoft, Intel, Google, Redhat, Dell EMC and VMware, Hewlett Packard Enterprise and IBM, as well as startup companies.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Additionally, with projekt202, we deliver experience-driven transformations for customers in other industry verticals. We have a global orientation and customers in over 85 countries.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include service providers, such as:</w:t>
      </w:r>
    </w:p>
    <w:p>
      <w:pPr>
        <w:sectPr>
          <w:pgSz w:w="11900" w:h="16838" w:orient="portrait"/>
          <w:cols w:equalWidth="0" w:num="1">
            <w:col w:w="11080"/>
          </w:cols>
          <w:pgMar w:left="320" w:top="486" w:right="49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Bulgaria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Telekom Austria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Airtel Africa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France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América Móvil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 Mexico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Bharat Sanchar Nigam Limited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Botswana Telecommunications 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Cable &amp; Wireless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 Business Services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CenturyLink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Charter Communications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Dominican Republic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Dish Network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Elisa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Proximus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Carpet Home Cinema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Safaricom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Italia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StartHub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Sunrise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Telefónica Argentina (Movistar)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Telefónica Brasil (Vivo)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 (Movistar)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 (Movistar)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 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TELUS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US</w:t>
      </w:r>
    </w:p>
    <w:p>
      <w:pPr>
        <w:spacing w:after="0" w:line="143" w:lineRule="exact"/>
        <w:rPr>
          <w:sz w:val="20"/>
          <w:szCs w:val="20"/>
          <w:color w:val="auto"/>
        </w:rPr>
      </w:pPr>
    </w:p>
    <w:p>
      <w:pPr>
        <w:sectPr>
          <w:pgSz w:w="11900" w:h="16838" w:orient="portrait"/>
          <w:cols w:equalWidth="0" w:num="2">
            <w:col w:w="5240" w:space="720"/>
            <w:col w:w="5120"/>
          </w:cols>
          <w:pgMar w:left="320" w:top="486"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80"/>
          </w:cols>
          <w:pgMar w:left="320" w:top="486" w:right="49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40"/>
          </w:cols>
          <w:pgMar w:left="320" w:top="486" w:right="63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EPIX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Eros Now</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FarEasTone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Foxtel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Globe Telecom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KT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Liberty Global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Kyivstar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Magyar Telekom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Maxis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MGM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Orange Belgium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Orange Liberia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Orange Spain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 Communications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PLDT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True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UPC Broadband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ViacomCBS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Vodafone 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Vodafone Hungary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Vodafone Idea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Qatar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Vodafone Romania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Vodafone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VodafoneZiggo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Warner Bros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200" w:lineRule="exact"/>
        <w:rPr>
          <w:sz w:val="20"/>
          <w:szCs w:val="20"/>
          <w:color w:val="auto"/>
        </w:rPr>
      </w:pPr>
    </w:p>
    <w:p>
      <w:pPr>
        <w:sectPr>
          <w:pgSz w:w="11900" w:h="16838" w:orient="portrait"/>
          <w:cols w:equalWidth="0" w:num="2">
            <w:col w:w="5240" w:space="720"/>
            <w:col w:w="4980"/>
          </w:cols>
          <w:pgMar w:left="320" w:top="486" w:right="639" w:bottom="1440" w:gutter="0" w:footer="0" w:header="0"/>
          <w:type w:val="continuous"/>
        </w:sectPr>
      </w:pPr>
    </w:p>
    <w:p>
      <w:pPr>
        <w:spacing w:after="0" w:line="1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Our business is dependent on a limited number of significant customers, of which AT&amp;T has historically been our largest. AT&amp;T accounted for 26% and 23% of our revenue in fiscal 2020 and 2019, respectively. In fiscal year 2020 our next largest customer accounted for 12% of our revenue. Aggregate revenue derived from the multiple business arrangements we have with the ten largest of our significant customers accounted for approximately 65% of our revenue in fiscal 2020 and 2019. See “Risk Factors — </w:t>
      </w:r>
      <w:r>
        <w:rPr>
          <w:rFonts w:ascii="Arial" w:cs="Arial" w:eastAsia="Arial" w:hAnsi="Arial"/>
          <w:sz w:val="17"/>
          <w:szCs w:val="17"/>
          <w:i w:val="1"/>
          <w:iCs w:val="1"/>
          <w:color w:val="auto"/>
        </w:rPr>
        <w:t>Our business is dependent on a limited number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and the loss of any one of our significant customers could harm our results of operations</w:t>
      </w:r>
      <w:r>
        <w:rPr>
          <w:rFonts w:ascii="Arial" w:cs="Arial" w:eastAsia="Arial" w:hAnsi="Arial"/>
          <w:sz w:val="17"/>
          <w:szCs w:val="1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65.3%</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64.2%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14.4%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22.1%</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21.4%</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market for customer experience solutions in the communications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89" w:lineRule="exact"/>
        <w:rPr>
          <w:sz w:val="20"/>
          <w:szCs w:val="20"/>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providers of BSS/OSS and customer relationship management (CRM)/digital systems, including CSG International, Netcracker (a NEC subsidiary), Optiva, Oracle, Pegasystems, Salesforce and SAP;</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DXC Technology, IBM Global Services, Infosys, Tata Consultancy Services, Tech Mahindra and Wipro (some of whom we also cooperate with in certain opportunities and projects);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86" w:right="6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network equipment providers such as Ciena, Ericsson, Huawei, Nokia Networks, and NEC and its subsidiary Netcracker (some of whom we also cooperate with in certain opportunities and projects and some of whom also have BSS/OSS offerings);</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niche domain players, often start-up companies, who compete against particular parts of our portfolio, such as Matrixx in charging; Hansen (Sigma) in catalog; Aria, Stripe, Zuora in subscription billing; Forgerock and Okta in identity management; Deluxe Entertainment and iNDEMAND in Media.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ind w:left="1080" w:right="10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applying our over 35-year heritage to the development and delivery of products and professional services that enable our customers to overcome their challenges and achieve service differentiation by migrating to the cloud, providing a personalized and intelligent customer experience, shaping the quality of network experience and simplifying the complexity of the operating environment,</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and media industry,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 diverse, multi-cultural workforce spread across the globe provides strength and a competitive business advantage.</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3.4 million square feet worldwide, including significant leases in the United States, Israel, Canada, Cyprus, India, Philippines, United Kingdom and Mexico.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table summarizes information with respect to the principal facilities leased by us and our subsidiaries as of September 30,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2"/>
              </w:rPr>
              <w:t>Location</w:t>
            </w:r>
          </w:p>
        </w:tc>
        <w:tc>
          <w:tcPr>
            <w:tcW w:w="6800" w:type="dxa"/>
            <w:vAlign w:val="bottom"/>
            <w:vMerge w:val="restart"/>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10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(Sq. Feet)</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Americas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804,910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1,348,316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1,250,868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3,404,094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leases expire on various dates through 2035. In December 2017, the Company entered into agreements with Union Investments and Development Limited (“Union”) to partner through a legal entity that would be equally owned by the Company and Union for the purpose of acquiring land which the Company intends to use as the site for a new campus in Ra’anana, Israel that we believe will provide an advanced, optimal working environment that can meet the needs of Amdocs Israel and its employees, and support the Company’s future growth. The design for the new campus is in accordance with LEED requirements and includes advanced energy and water saving systems.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develop our solutions over a system of Linux and Windows servers owned or leased by us, as well as over cloud providers. We use a variety of software products in our development centers, including products by Microsoft, CouchBase, Syncsort, Red Hat, CA, IBM, Hewlett-Packard or others. Our data storage is based mainly on equipment from EMC, InfiniDat, IBM and Hewlett-Packard.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Amdocs is a leading provider of software and services for communications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develop, implement and manage software and services designed to meet the business imperatives of our customers. Our technology, design-led thinking approach and expertise help service providers to migrate to the cloud, further transform into digital service providers, enhance their entertainment offerings, and serve their customers across all channels. Our open and modular cloud-native portfolio enables service providers to accelerate their continuous digital transformation.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 global communications and media industry impacted by unprecedented growth in data demand, an increasing number of connected devices, improvement in IoT technologies, and the rising influence of device makers, social networks and OTT players that bypass traditional service providers, consumers expect immediate and constant connectivity to a wide array of personalized services, information and applications. To capture new revenue streams, service providers are migrating to the cloud, continuing to transform to become digital service providers, investing in their networks to meet the demand for increased bandwidth and are searching for ways to provide new services, particularly around content. We seek to address these market forces through a strategy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innovation from the network and digital business systems to the device and end user, leveraging cloud-native microservices technologies for high velocity time to market, delivering in fast DevOps sprints, with full accountability, to control costs, bring optimal scope and drive agility. Our goal is to supply cost-effective, modular, scalable, cloud-native and open software products and services that provide functionality and flexibility to service providers as they and their markets grow and change.</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In recent years, we have completed numerous acquisitions (including our fiscal 2017 acquisition of Kenzan, our fiscal 2018 acquisitions of projekt202, UXP Systems and Vubiquity and our fiscal 2019 acquisition of TTS Wireless and our fiscal 2020 acquisition of Openet), which, among other things, we believe will enable us to expand our digital offerings, network and cloud-native capabilities and technological expertise. As part of our strategy, we may continue to pursue acquisitions and other initiatives in order to offer new products or services, enter into new vertical markets or otherwise enhance our market position or strategic strengths. In November 2020, we signed an agreement for the divestiture of OpenMarket, an Amdocs subsidiary, as part of our strategy to divest a non-strategic asset in the mobile messaging domain and remain focused on our core strategic growth initiatives.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Amdocs Offerings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portfolio consists of software and services that address service providers’ business and operational needs. Its open, modular and integrated solution set introduces a rich group of capabilities built on cloud-native, microservices and machine-learning technologies, and is delivered based on modern DevOps practices. Our portfolio is designed to meet the business imperatives of our customers who are transforming into digital service providers within the framework of a hybrid IT environment, which requires them to rapidly introduce new cloud-native applications while still operating legacy systems.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comprehensive line of services is designed to address every stage of a service provider’s lifecycle. They include consulting services, managed services, digital business operations, quality engineering services, cloud services and integration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and media industry. In fiscal 2020, customers in North America accounted for 65.3% of our revenue, while customers in Europe and the rest of the world accounted for 14.7% and 20.0%, respectively. We maintain development facilities in Brazil, Canada, Cyprus, India, Ireland, Israel, Mexico, the Philippines, the United Kingdom and the United States. Historically, AT&amp;T has been our largest customer, accounting for 26% and 23% of our revenue in fiscal 2020 and 2019, respectively. In fiscal year 2020 our next largest customer accounted for 12% of our revenue. Aggregate revenue derived from the multiple business arrangements we have with our ten largest customers accounted for approximately 65% of our revenue in fiscal 2020 and fiscal 2019. We believe that demand for our solutions is primarily driven by the following key factors:</w:t>
      </w:r>
    </w:p>
    <w:p>
      <w:pPr>
        <w:spacing w:after="0" w:line="7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Transformation within the communications and media industry,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service provider migration to the cloud,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540" w:right="380" w:hanging="331"/>
        <w:spacing w:after="0" w:line="342"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29" w:lineRule="exact"/>
        <w:rPr>
          <w:rFonts w:ascii="Arial" w:cs="Arial" w:eastAsia="Arial" w:hAnsi="Arial"/>
          <w:sz w:val="16"/>
          <w:szCs w:val="16"/>
          <w:color w:val="auto"/>
        </w:rPr>
      </w:pPr>
    </w:p>
    <w:p>
      <w:pPr>
        <w:ind w:left="1540" w:right="60" w:hanging="331"/>
        <w:spacing w:after="0" w:line="308"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evolving service provider business models and opportunities like OTT partnerships, content development and offerings, advertising, enterprise and small- or medium-sized business modernization, and innovative consumer bundling solutions,</w:t>
      </w:r>
    </w:p>
    <w:p>
      <w:pPr>
        <w:spacing w:after="0" w:line="51" w:lineRule="exact"/>
        <w:rPr>
          <w:rFonts w:ascii="Arial" w:cs="Arial" w:eastAsia="Arial" w:hAnsi="Arial"/>
          <w:sz w:val="17"/>
          <w:szCs w:val="17"/>
          <w:color w:val="auto"/>
        </w:rPr>
      </w:pPr>
    </w:p>
    <w:p>
      <w:pPr>
        <w:ind w:left="1540" w:right="1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eSIM, Wi-Fi 6, and Narrowband IoT (NB-IOT), and,</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emerging initiatives like artificial intelligence, including machine learning (ML) and natural language processing (NLP) edge computing, network and service automation, and blockchain.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omni-monetization and proactive multi-modal customer care and commerce, and</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continuous proliferation of on-demand experiences, including low-latency, high quality of service connectivity and seamless digital interactions.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540" w:right="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business systems and network solutions,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implementing and integrating new next-generation networks (and retiring legacy networks) to deploy new technologies, and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transforming fragmented legacy OSS to introduce new, orchestrated and automated services in a timely and cost-effective manner.</w:t>
      </w:r>
    </w:p>
    <w:p>
      <w:pPr>
        <w:spacing w:after="0" w:line="24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Revenue from managed services arrangements is a significant part of our business generating substantial, long-term recurring revenue streams and cash flow. Revenue from managed services arrangements accounted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approximately $2.4 billion and $2.25 billion of revenue in fiscal 2020 and 2019,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and associated technologies, for example, DevOps, Continuous Integration/Continuous Development (CI/CD) and Agile, to ensure we are able to develop and deliver our solutions efficiently and cost-effectively.</w:t>
      </w:r>
    </w:p>
    <w:p>
      <w:pPr>
        <w:spacing w:after="0" w:line="16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natural language processing and artificial intelligence toward consumer and business satisfaction, marketing effectiveness and network operations and experience; increased focus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2020, 2019 and 2018, certain items in our consolidated statements of income reflected as a percentage of revenue (figures may not sum because of rounding):</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11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6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6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11.9%</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2020 and 2019</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2020, compared to the fiscal year ended September 30, 2019. Following the table is a discussion and analysis of our business and results of operations for these fiscal years.</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8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Increase (Decrease)</w:t>
            </w:r>
          </w:p>
        </w:tc>
      </w:tr>
      <w:tr>
        <w:trPr>
          <w:trHeight w:val="142"/>
        </w:trPr>
        <w:tc>
          <w:tcPr>
            <w:tcW w:w="5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4,169,039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4,086,669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82,370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2,755,563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2,653,172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102,391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282,042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273,936</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8,106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458,539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492,457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(33,918)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(19,221)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3,574,281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3,516,923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569,746</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25,012</w:t>
            </w: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515.2</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583,322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567,887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15,435</w:t>
            </w: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88,441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497,840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479,446</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$82.4 million, or 2.0%, to $4,169.0 million in fiscal year 2020, from $4,086.7 million in fiscal year 2019.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revenue was attributable mainly to managed services arrangements, including managed transformation activities. Revenue for the year ended September 30, 2020 increased by 2.4% compared to fiscal year ended September 30, 2019, excluding approximately 0.4% negative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86"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foreign exchange fluctuations impact, and was also positively affected by activities related to acquisitions completed in fiscal year 2019 and to a lesser extent, acquisitions completed in fiscal year 2020.</w:t>
      </w:r>
    </w:p>
    <w:p>
      <w:pPr>
        <w:spacing w:after="0" w:line="170"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In fiscal year 2020, revenue from customers in North America, Europe and the rest of the world accounted for 65.3%, 14.7% and 20.0%, respectively, of total revenue, compared to 63.2%, 14.7% and 22.1%, respectively, in fiscal year 2019. The increase in revenue in fiscal year 2020 in North America was primarily attributable to higher revenue from managed services activities. Having said that, we note that in addition to the global uncertainties, including those resulting from the COVID-19 pandemic, the recently completed T-Mobile and Sprint merger remains a source of uncertainty in the North America region.</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Revenue from customers in Europe increased in fiscal year 2020, despite negative foreign exchange fluctuations, primarily as a result of higher revenue from development and modernization activities while we expand our presence in this region.</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Revenue from customers in the rest of the world decreased in fiscal year 2020, which is attributable to an increase in revenue from customers in Asia-Pacific, as a result of our expansion and progress of managed transformation activities, which was more than offset by lower revenue from other regions within the rest of the world region, as well as negative foreign exchange fluctuations impact.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$102.4 million, or 3.9%, to $2,755.6 million in fiscal year 2020, from $2,653.2 million in fiscal year 2019. As a percentage of revenue, cost of revenue increased to 66.1% in fiscal year 2020 from 64.9% in fiscal year 2019, mainly due to investments required to support ramp-up of new deals.</w:t>
      </w:r>
    </w:p>
    <w:p>
      <w:pPr>
        <w:spacing w:after="0" w:line="17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$8.1 million, or 3.0%, to $282.0 million in fiscal year 2020, from $273.9 million in fiscal year 2019. Research and development expense increased as a percentage of revenue from 6.7% in fiscal year 2019, to 6.8% in fiscal year 2020. We continue to invest in our cloud offering, 5G and network related innovation and developing our digital offerings as well as our media offerings.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$33.9 million, or 6.9%, to $458.5 million in fiscal year 2020, from $492.5 million in fiscal year 2019. The decrease was mainly due to lower travel and selling and marketing costs in fiscal year 2020 compared to fiscal year 2019 as a result of the COVID-19 restrictions and was also attributable to decrease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decreased by $19.2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 to $78.1 million in fiscal year 2020, from $97.4 million in fiscal year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years 2020 and 2019.</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increased by $25.0 million, or 4.4%, to $594.8 million in fiscal year 2020, from $569.7 million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2019. Operating income increased as a percentage of revenue,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13.9% in fiscal year 2019 to 14.3% in fiscal year 2020. The increase in operating income was attributable primarily to the increase in revenue and the decrease in selling, general and administrative and amortization of purchased intangible assets and other, partially offset by the increase in cost of service in fiscal year 2020. Positive foreign exchange impacts on our operating expenses were partially offset by the negative foreign exchange impacts on our revenue, resulting in a positive impact on our operating income.</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expenses of $1.9 million in fiscal year 2019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of $11.4 million in fiscal year 2020. The increase in interest and other expense, net, was primarily attributable to an increase in interest expenses related to financing activities and to the changes of minority equity investments recorded in fiscal 2019 compared to fiscal year 2020, partially offset by foreign exchange impacts.</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for fiscal year 2020 were $85.5 million on pre-tax income of $583.3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14.7%, compared to 15.6% in fiscal year 2019. Our effective tax rate may fluctuate between periods as a result of discrete items that may affect a particular period. Please see Note 11 to our consolidated financial statements.</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increased by $18.4 million, or 3.8%, to $497.8 million in fiscal year 2020, from $479.4 million in fiscal year 2019.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income was primarily attributable to the increase in operating income partially offset by an increase in interest and other expenses, net.</w:t>
      </w:r>
    </w:p>
    <w:p>
      <w:pPr>
        <w:spacing w:after="0" w:line="12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$0.24, or 6.9%, to $3.71 in fiscal year 2020, from $3.47 in fiscal year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diluted earnings per share was primarily attributable to the increase in net income as well as to the decrease in the diluted weighted average number of shares outstanding which resulted from share repurchases. Please see also Note 21 to our consolidated financial statements.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2019 and 2018</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2019, compared to the fiscal year ended September 30, 2018. Following the table is a discussion and analysis of our business and results of operations for these fiscal years.</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September 30,</w:t>
            </w:r>
          </w:p>
        </w:tc>
        <w:tc>
          <w:tcPr>
            <w:tcW w:w="2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4,086,669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3,974,837</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$ 111,832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2,653,172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2,595,276</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57,896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273,936</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276,615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(2,679)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492,457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481,093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11,364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97,358</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108,489</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(11,131)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85,057</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(85,057)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3,516,923</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3,546,530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(29,607)</w:t>
            </w:r>
          </w:p>
        </w:tc>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569,746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428,307</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141,439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6,766</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(4,907)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567,887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421,541</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146,346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88,441</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67,145</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21,296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354,396</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125,050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$111.8 million, or 2.8%, to $4,086.7 million in fiscal year 2019, from $3,974.8 million in fiscal year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was attributable to increased managed services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including managed transformation activities. Revenue for the year ended September 30, 2019 increased by 4.1% compared to fiscal year ended September 30, 2018, excluding approximately 1.3% negative foreign exchange fluctuations impact, and was also positively affected by activities related to acquisitions completed in fiscal year 2018 and to a lesser extent 2019 acquisition.</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fiscal year 2019, revenue from customers in North America, Europe and the rest of the world accounted for 63.2%, 14.7% and 22.1%, respectively, of total revenue, compared to 64.2%, 14.4% and 21.4%, respectively, in fiscal year 2018. Revenue from customers in North America increased during the fiscal year 2019, while total revenue increased at a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revenue with AT&amp;T. Revenue from customers in Europe increased in fiscal year 2019, despite negative foreign exchange fluctuations, primarily as a result of higher revenue from development and modernization activities while we expand our presence in this region. Revenue from customers in the rest of the world increased in fiscal year 2019, despite negative foreign exchange fluctuations, as a result of our expansion and progress of managed transformations activities for customers in the rest of the world.</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$57.9 million, or 2.2%, to $2,653.2 million in fiscal year 2019, from $2,595.3 million in fiscal year 2018. As a percentage of revenue, cost of revenue decreased to 64.9% in fiscal year 2019 from 65.3% in fiscal year 2018. The cost of revenue increase was commensurate with revenue growth, excluding the impact of changes of certain acquisition-related liabilities measured at fair value recognized in the fiscal years 2019 and 2018 in total amount of $2.2 million and $17.7 million, respectively.</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decreased by $2.7 million, or 1.0%, to $273.9 million in fiscal year 2019, from $276.6 million in fiscal year 2018. Research and development expense decreased as a percentage of revenue from 7.0% in fiscal year 2018, to 6.7% in fiscal year 2019.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$11.4 million, or 2.4%, to $492.5 million in fiscal year 2019, from $481.1 million in fiscal year 2018. The increase in selling, general and administrative expense was primarily attributable to changes in the accounts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decreased by $11.1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10.3%, to $97.4 million in fiscal year 2019, from $108.5 million in fiscal year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years 2019 and 2018.</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Non-recurring Charges. </w:t>
      </w:r>
      <w:r>
        <w:rPr>
          <w:rFonts w:ascii="Arial" w:cs="Arial" w:eastAsia="Arial" w:hAnsi="Arial"/>
          <w:sz w:val="18"/>
          <w:szCs w:val="18"/>
          <w:color w:val="auto"/>
        </w:rPr>
        <w:t>There were no non-recurring charges in fiscal year 2019, while there were $85.1 million of such charges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The non-recurring charges in fiscal year 2018 were primarily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8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associated to a loss incurred to settle a long-running legal dispute and restructuring charges which were primarily associated with recently completed acquisitions and internal business realignment actions in North America. Please see Note 10 to our consolidated financial statements.</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income increased by $141.4 million, or 33.0%, to $569.7 million in fiscal year 2019, from $428.3 million in fiscal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2018. Operating income increased as a percentage of revenue, from 10.8% in fiscal year 2018 to 13.9% in fiscal year 2019. The increase in operating income was attributable primarily to revenue growth surpassing operating expenses growth in fiscal year 2019 as well as non-recurring charges recognized fiscal year 2018. Negative foreign exchange impacts on our revenue were partially offset by the foreign exchange reduction impact on our operating expense, resulting in a negative impact on our operating income.</w:t>
      </w:r>
    </w:p>
    <w:p>
      <w:pPr>
        <w:spacing w:after="0" w:line="176"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expenses of $6.8 million in fiscal year 2018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of $1.9 million in fiscal year 2019. The decrease in Interest and other expense, was primarily attributable to the realized and unrealized net gains relating to minority equity investments.</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for fiscal year 2019 were $88.4 million on pre-tax income of $567.9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15.6%, compared to 15.9% in fiscal year 2018. Our effective tax rate may fluctuate between periods as a result of discrete items that may affect a particular period. Please see Note 11 to our consolidated financial statements.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increased by $125.1 million, or 35.3%, to $479.4 million in fiscal year 2019, from $354.4 million in fiscal year 2018.</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net income was primarily attributable to the increase in operating income partially offset by increase in Income Taxes.</w:t>
      </w:r>
    </w:p>
    <w:p>
      <w:pPr>
        <w:spacing w:after="0" w:line="21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$1.00, or 40.5%, to $3.47 in fiscal year 2019, from $2.47 in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increase in diluted earnings per share was primarily attributable to the increase in net income as well as to the decrease in the diluted weighted average number of shares outstanding which resulted from share repurchases. Please see also Note 21 to our consolidated financial statements.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Cash, Cash Equivalents and Short-Term Interest-Bearing Investments</w:t>
      </w:r>
      <w:r>
        <w:rPr>
          <w:rFonts w:ascii="Arial" w:cs="Arial" w:eastAsia="Arial" w:hAnsi="Arial"/>
          <w:sz w:val="18"/>
          <w:szCs w:val="18"/>
          <w:color w:val="auto"/>
        </w:rPr>
        <w:t>. Cash, cash equivalents and short-term interest-bearing investments,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$983.9 million as of September 30, 2020, compared to $471.6 million as of September 30, 2019. The increase was mainly attributable to $643.9 million net proceeds from issuance of debt, $450.0 million borrowing under financing arrangement, $658.1 million in positive cash flow from operations and $97.9 million of proceeds from stock option exercises, partially offset by $360.9 million used to repurchase of our ordinary shares, $350.0 million payments under financing arrangement, $249.4 million of payments for business and intangible assets acquisitions, $205.5 million for capital expenditures, net, $164.1 million of cash dividend payment. Net cash provided by operating activities amounted to $658.1 million and $656.4 in fiscal years 2020 and 2019, respectively.</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free cash flow for fiscal year 2020, was $452.6 million, and is calculated as net cash provided by operating activities of $658.1 million for the period less $205.5 million for capital expenditures, net (which included capital expenditures of $62.7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fiscal year.</w:t>
      </w:r>
    </w:p>
    <w:p>
      <w:pPr>
        <w:spacing w:after="0" w:line="18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bank deposits, money market funds and corporate bonds. We believe we have conservative investment policy guidelines. Our interest-bearing investments are stated at fair value with the unrealized gains or losses reported as a separate component of accumulated other comprehensive income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2020 and 2019 we did not recognize credit losses. Please see Notes 5 and 6 to our consolidated financial statements.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Revolving Credit Facility, Loans, Senior Notes, Letters of Credit, Guarantees and Contractual Obligations</w:t>
      </w:r>
      <w:r>
        <w:rPr>
          <w:rFonts w:ascii="Arial" w:cs="Arial" w:eastAsia="Arial" w:hAnsi="Arial"/>
          <w:sz w:val="17"/>
          <w:szCs w:val="17"/>
          <w:color w:val="auto"/>
        </w:rPr>
        <w:t>. In December 2011, we entered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$500.0 million Revolving Credit Facility (as defined below).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Given the uncertain magnitude and duration of the COVID-19 economic crisis, we took the precaution of increasing our cash balance and in March 2020, we drew an aggregate of $300.0 million under the Revolving Credit Facility and repaid it in full in June 2020 in connection with the issuance of our Senior Notes. As of September 30, 2020, we were in compliance with the financial covenants and had no outstanding borrowings under the Revolving Credit Facility.</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unassociated with the borrowings under the Revolving Credit Facility discussed above, in March 2020 we entered into a $50.0 million short-term loan and repaid it in full in June 2020 in connection with the issuance of our Senior Notes, and in May 2020 we entered into an additional $100.0 million short-term loan which remained outstanding as of September 30, 2020.</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September 30, 2020, the noncurrent outstanding principal portion was $650.0 million, please see Note 13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September 30, 2020, we had additional uncommitted lines of credit available for general corporate and other specific purposes and had outstanding letters of credit and bank guarantees from various banks totaling $93.6 million. These were supported by a combination of the uncommitted lines of credit that we maintain with various banks.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Acquisitions</w:t>
      </w:r>
      <w:r>
        <w:rPr>
          <w:rFonts w:ascii="Arial" w:cs="Arial" w:eastAsia="Arial" w:hAnsi="Arial"/>
          <w:sz w:val="17"/>
          <w:szCs w:val="17"/>
          <w:color w:val="auto"/>
        </w:rPr>
        <w:t>. During fiscal year 2020, we acquired three companies and other intangible assets for total consideration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$291.5 million, among them the largest of the three is Openet, which offers cloud-native capabilities, network pedigree, and deep 5G charging, policy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data management expertise and whose solutions complement the Amdocs portfolio. During fiscal year 2019, we acquired three companies for total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consideration of approximately $65.0 million, among them the largest is TTS Wireless a leading provider of mobile network engineering services,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specializing in network optimization, planning and software-enabled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solutions. In addition, in November 2020, we signed an agreement for the divestiture of OpenMarket, an Amdocs subsidiary, as part of our strategy to divest a non-strategic asset in the mobile messaging domain and remain focused on our core strategic growth initiatives. See Note 24 to our consolidated financial statements.</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$205.5 million in fiscal year 2020. Our fiscal year 2020 capital expenditures were mainly attributable to investments in our operating facilities and our development centers around the world. Regarding our expected investment in our new campus in Israel, please see Note 2 to our consolidated financial statements.</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8, 2017, our Board of Directors adopted a share repurchase plan for the repurchase of up to an additional $800.0 million of our outstanding ordinary shares with no expiration date. On November 12, 2019, our Board of Directors adopted another share repurchase plan authorizing the repurchase of up to an additional $800.0 million of our outstanding ordinary shares with no expiration date. In May 2020, we completed the repurchase of the remaining authorized amount of ordinary shares under the November 2017 plan and initiated repurchases of our outstanding ordinary shares pursuant to the November 2019 plan. In fiscal year 2020, we repurchased approximately 5.7 million ordinary shares at an average price of $63.66 per share (excluding broker and transaction fees). The November 2019 plan permits us to purchase our ordinary shares in the open market or through privately negotiated transactions at times and prices that we consider appropriate. As of September 30, 2020, we had remaining authority to repurchase up to $678.3 million of our outstanding ordinary shares under the November 2019 plan.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2020, 2019 and 2018 :</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Dividends Per</w:t>
            </w:r>
          </w:p>
        </w:tc>
        <w:tc>
          <w:tcPr>
            <w:tcW w:w="208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 Amount</w:t>
            </w:r>
          </w:p>
        </w:tc>
        <w:tc>
          <w:tcPr>
            <w:tcW w:w="1600" w:type="dxa"/>
            <w:vAlign w:val="bottom"/>
          </w:tcPr>
          <w:p>
            <w:pPr>
              <w:spacing w:after="0"/>
              <w:rPr>
                <w:sz w:val="14"/>
                <w:szCs w:val="14"/>
                <w:color w:val="auto"/>
              </w:rPr>
            </w:pPr>
          </w:p>
        </w:tc>
      </w:tr>
      <w:tr>
        <w:trPr>
          <w:trHeight w:val="19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Ordinary Share</w:t>
            </w:r>
          </w:p>
        </w:tc>
        <w:tc>
          <w:tcPr>
            <w:tcW w:w="2080" w:type="dxa"/>
            <w:vAlign w:val="bottom"/>
          </w:tcPr>
          <w:p>
            <w:pPr>
              <w:ind w:left="68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Payment Date</w:t>
            </w:r>
          </w:p>
        </w:tc>
      </w:tr>
      <w:tr>
        <w:trPr>
          <w:trHeight w:val="216"/>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5, 2020</w:t>
            </w:r>
          </w:p>
        </w:tc>
        <w:tc>
          <w:tcPr>
            <w:tcW w:w="14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September 30, 2020</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43.1</w:t>
            </w:r>
          </w:p>
        </w:tc>
        <w:tc>
          <w:tcPr>
            <w:tcW w:w="1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October 23, 2020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7, 2020</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tcPr>
          <w:p>
            <w:pPr>
              <w:ind w:left="340"/>
              <w:spacing w:after="0"/>
              <w:rPr>
                <w:sz w:val="20"/>
                <w:szCs w:val="20"/>
                <w:color w:val="auto"/>
              </w:rPr>
            </w:pPr>
            <w:r>
              <w:rPr>
                <w:rFonts w:ascii="Arial" w:cs="Arial" w:eastAsia="Arial" w:hAnsi="Arial"/>
                <w:sz w:val="18"/>
                <w:szCs w:val="18"/>
                <w:color w:val="auto"/>
              </w:rPr>
              <w:t>June 30, 2020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43.6</w:t>
            </w:r>
          </w:p>
        </w:tc>
        <w:tc>
          <w:tcPr>
            <w:tcW w:w="1600" w:type="dxa"/>
            <w:vAlign w:val="bottom"/>
          </w:tcPr>
          <w:p>
            <w:pPr>
              <w:ind w:left="340"/>
              <w:spacing w:after="0"/>
              <w:rPr>
                <w:sz w:val="20"/>
                <w:szCs w:val="20"/>
                <w:color w:val="auto"/>
              </w:rPr>
            </w:pPr>
            <w:r>
              <w:rPr>
                <w:rFonts w:ascii="Arial" w:cs="Arial" w:eastAsia="Arial" w:hAnsi="Arial"/>
                <w:sz w:val="18"/>
                <w:szCs w:val="18"/>
                <w:color w:val="auto"/>
              </w:rPr>
              <w:t>July 24, 2020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43.7</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24, 2020</w:t>
            </w: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12, 2019</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2019</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38.4</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24, 2020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August 7, 2019</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2019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38.4</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October 25, 2019</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14, 2019</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tcPr>
          <w:p>
            <w:pPr>
              <w:ind w:left="340"/>
              <w:spacing w:after="0"/>
              <w:rPr>
                <w:sz w:val="20"/>
                <w:szCs w:val="20"/>
                <w:color w:val="auto"/>
              </w:rPr>
            </w:pPr>
            <w:r>
              <w:rPr>
                <w:rFonts w:ascii="Arial" w:cs="Arial" w:eastAsia="Arial" w:hAnsi="Arial"/>
                <w:sz w:val="18"/>
                <w:szCs w:val="18"/>
                <w:color w:val="auto"/>
              </w:rPr>
              <w:t>June 28, 2019</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38.7</w:t>
            </w:r>
          </w:p>
        </w:tc>
        <w:tc>
          <w:tcPr>
            <w:tcW w:w="1600" w:type="dxa"/>
            <w:vAlign w:val="bottom"/>
          </w:tcPr>
          <w:p>
            <w:pPr>
              <w:ind w:left="340"/>
              <w:spacing w:after="0"/>
              <w:rPr>
                <w:sz w:val="20"/>
                <w:szCs w:val="20"/>
                <w:color w:val="auto"/>
              </w:rPr>
            </w:pPr>
            <w:r>
              <w:rPr>
                <w:rFonts w:ascii="Arial" w:cs="Arial" w:eastAsia="Arial" w:hAnsi="Arial"/>
                <w:sz w:val="18"/>
                <w:szCs w:val="18"/>
                <w:color w:val="auto"/>
              </w:rPr>
              <w:t>July 19, 2019</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29, 2019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39.1</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19, 2019</w:t>
            </w: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2018</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0.250</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2018</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34.8</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18, 2019</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July 31, 2018</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0.250</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28, 2018</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35.0</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October 19, 2018</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10, 2018</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0.250</w:t>
            </w:r>
          </w:p>
        </w:tc>
        <w:tc>
          <w:tcPr>
            <w:tcW w:w="2080" w:type="dxa"/>
            <w:vAlign w:val="bottom"/>
          </w:tcPr>
          <w:p>
            <w:pPr>
              <w:ind w:left="340"/>
              <w:spacing w:after="0"/>
              <w:rPr>
                <w:sz w:val="20"/>
                <w:szCs w:val="20"/>
                <w:color w:val="auto"/>
              </w:rPr>
            </w:pPr>
            <w:r>
              <w:rPr>
                <w:rFonts w:ascii="Arial" w:cs="Arial" w:eastAsia="Arial" w:hAnsi="Arial"/>
                <w:sz w:val="18"/>
                <w:szCs w:val="18"/>
                <w:color w:val="auto"/>
              </w:rPr>
              <w:t>June 29, 2018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35.4</w:t>
            </w:r>
          </w:p>
        </w:tc>
        <w:tc>
          <w:tcPr>
            <w:tcW w:w="1600" w:type="dxa"/>
            <w:vAlign w:val="bottom"/>
          </w:tcPr>
          <w:p>
            <w:pPr>
              <w:ind w:left="340"/>
              <w:spacing w:after="0"/>
              <w:rPr>
                <w:sz w:val="20"/>
                <w:szCs w:val="20"/>
                <w:color w:val="auto"/>
              </w:rPr>
            </w:pPr>
            <w:r>
              <w:rPr>
                <w:rFonts w:ascii="Arial" w:cs="Arial" w:eastAsia="Arial" w:hAnsi="Arial"/>
                <w:sz w:val="18"/>
                <w:szCs w:val="18"/>
                <w:color w:val="auto"/>
              </w:rPr>
              <w:t>July 20, 2018</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0.250</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30, 2018</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35.6</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20, 2018</w:t>
            </w:r>
          </w:p>
        </w:tc>
      </w:tr>
      <w:tr>
        <w:trPr>
          <w:trHeight w:val="216"/>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2017</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0.220</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29, 2017</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31.6</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19, 2018</w:t>
            </w: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November 10, 2020, our Board of Directors approved a quarterly dividend payment of $0.3275 per share and set December 31, 2020 as the record date for determining the shareholders entitled to receive the dividend, which is payable on January 22, 2021. On November 10, 2020 our Board of Directors also approved, subject to shareholder approval at the January 2021 annual general meeting of shareholders, an increase in the quarterly cash dividend to $0.36 per share, anticipated to be paid in April 2021.</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2020, and the effect such obligations are expected to have on our liquidity and cash flows in future periods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5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8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1-3</w:t>
            </w:r>
          </w:p>
        </w:tc>
        <w:tc>
          <w:tcPr>
            <w:tcW w:w="180" w:type="dxa"/>
            <w:vAlign w:val="bottom"/>
          </w:tcPr>
          <w:p>
            <w:pPr>
              <w:spacing w:after="0"/>
              <w:rPr>
                <w:sz w:val="10"/>
                <w:szCs w:val="10"/>
                <w:color w:val="auto"/>
              </w:rPr>
            </w:pPr>
          </w:p>
        </w:tc>
        <w:tc>
          <w:tcPr>
            <w:tcW w:w="600" w:type="dxa"/>
            <w:vAlign w:val="bottom"/>
            <w:gridSpan w:val="2"/>
          </w:tcPr>
          <w:p>
            <w:pPr>
              <w:jc w:val="right"/>
              <w:ind w:right="35"/>
              <w:spacing w:after="0" w:line="119" w:lineRule="exact"/>
              <w:rPr>
                <w:sz w:val="20"/>
                <w:szCs w:val="20"/>
                <w:color w:val="auto"/>
              </w:rPr>
            </w:pPr>
            <w:r>
              <w:rPr>
                <w:rFonts w:ascii="Arial" w:cs="Arial" w:eastAsia="Arial" w:hAnsi="Arial"/>
                <w:sz w:val="13"/>
                <w:szCs w:val="13"/>
                <w:b w:val="1"/>
                <w:bCs w:val="1"/>
                <w:color w:val="auto"/>
              </w:rPr>
              <w:t>4-5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6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8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and Short-term debt and accrued interests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754.9</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Pension funding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3.4</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87.3</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Non-cancelable operating leases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138.5</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of the new campus (see below)</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1,517.2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67.7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discussed in Note 2 to our consolidated financial statements, we purchased specific land to use as the future site of the new campus in Ra’anana, Israel and we are obligated to construct the campus. The total net investment we expect to make in connection with the construction of the new campus is estimated to be up to $350 million over a period of five years, starting with fiscal year 2018, out of which approximately $96 million was incurred in fiscal years 2018 by both us and our partner Union at equal portions (i.e. our net investment was approximately $48 million), $7 million was incurred by us in fiscal year 2019 and $63 million was incurred by us in fiscal year 2020. Please see Note 2 to our consolidated financial statements.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amount of unrecognized tax benefits for uncertain tax positions was $168.2 million as of September 30, 2020. Payment of these obligations would result from settlements with taxing authorities. Due to the difficulty in determining the timing of resolution of audits, these obligations are not included in the above table.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As of September 30, 2020, we had deferred tax assets of $69.5 million, which were offset by valuation allowances due to the uncertainty of realizing any tax benefit for such credits and losses. These deferred tax assets derived primarily from tax credits, net capital and operating loss carryforwards related to some of our subsidiaries, see Note 11.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21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Revenue is recognized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projects. Revenue from customization, implementation, modification and integration services is also recognized over the course of the projects. When total cost estimates exceed revenue in such project, the estimated losses are recognized immediately based upon the cost applicable to the project.</w:t>
      </w:r>
    </w:p>
    <w:p>
      <w:pPr>
        <w:spacing w:after="0" w:line="161"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Contingent subsequent license fee revenue is recognized upon completion of specified conditions in each contract, based on a customer’s subscriber or transaction volume or other measurements when greater than the level specified in the contract for the initial license fee.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Revenue from managed services arrangements are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Typically, managed services arrangements include management of data center operations and IT infrastructure, which include third-party hardware and software, application management and ongoing support, management of end-to-end business processes, and managed transformation that includes both a transformation project as well as taking over managed services responsibility.</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Revenue from services that do not involve significant ongoing obligations is recognized as services are rendered. Revenue from other ongoing services is recognized over time as services are performed, using one method of measuring performance such as time elapsed, output produced, volume of data processed or subscriber count that provides the most faithful depiction of the transfer of services.</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Revenue from third-party hardware sales is recognized upon delivery or installation, and revenue from third-party software sales is recognized upon delivery. Maintenance revenue is recognized ratably over the term of the maintenance agreement. Revenue from third-party hardware and software sales is recorded at gross amount for transactions in which we control the third-party hardware and software before transferring them to the customer. In specific circumstances where we do not meet the above criteria, we recognize revenue on a net basis. In certain arrangements, we may earn revenue from other third-party services which is recorded at a gross amount as we control the services before transferring them to the customer.</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76" w:lineRule="exact"/>
        <w:rPr>
          <w:sz w:val="20"/>
          <w:szCs w:val="20"/>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75"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62" w:lineRule="exact"/>
        <w:rPr>
          <w:rFonts w:ascii="Arial" w:cs="Arial" w:eastAsia="Arial" w:hAnsi="Arial"/>
          <w:sz w:val="16"/>
          <w:szCs w:val="16"/>
          <w:color w:val="auto"/>
        </w:rPr>
      </w:pPr>
    </w:p>
    <w:p>
      <w:pPr>
        <w:jc w:val="both"/>
        <w:ind w:left="1080" w:right="8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a fee is not collectible, we exclude the relevant fee from transaction price.</w:t>
      </w:r>
    </w:p>
    <w:p>
      <w:pPr>
        <w:spacing w:after="0" w:line="89" w:lineRule="exact"/>
        <w:rPr>
          <w:rFonts w:ascii="Arial" w:cs="Arial" w:eastAsia="Arial" w:hAnsi="Arial"/>
          <w:sz w:val="18"/>
          <w:szCs w:val="18"/>
          <w:color w:val="auto"/>
        </w:rPr>
      </w:pPr>
    </w:p>
    <w:p>
      <w:pPr>
        <w:ind w:left="1080" w:hanging="424"/>
        <w:spacing w:after="0" w:line="289"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we offer our services in accordance with ASC 606. The determination of SSP requires the exercise of judgement. If a specific performance obligation is sold for a broad range of amounts (that is, the selling price is highly variable) or if we have not yet established a price for that good or service, and the good or service has not previously been sold on a standalone basis (that is, the selling price is uncertain), we apply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transactions which involve third-party hardware, software and services, the determination of revenue recognition based on the gross amount or on a net basis requires the exercise of judgment in considering whether we control the third-party hardware, software or services prior to fulfilling the performance obligation.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period until the contingency is resolved. Except for measurement period adjustments, the changes in fair value are recognized in the consolidated statements of income.</w:t>
      </w:r>
    </w:p>
    <w:p>
      <w:pPr>
        <w:spacing w:after="0" w:line="170"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8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6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2020, 2019 or 2018.</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2020, 2019 or 2018.</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During fiscal years 2020, 2019 and 2018,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allowance for doubtful accounts is for estimated losses resulting from accounts receivable for which their collection is not reasonably assured. We evaluate accounts receivable to determine if they ultimately will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the fee is not collectible at the time the transaction is consummated, we exclude the relevant fee from the transaction price. If we estimate that our customers’ ability and intent to make payments have been impaired, additional allowances may be required.</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December 3, 2020, our directors and officers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7640" w:type="dxa"/>
            <w:vAlign w:val="bottom"/>
            <w:tcBorders>
              <w:bottom w:val="single" w:sz="8" w:color="auto"/>
            </w:tcBorders>
          </w:tcPr>
          <w:p>
            <w:pPr>
              <w:ind w:left="360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Robert A. Minicucci(1)(2)(3)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Chairman of the Board</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Adrian Gardner(1)</w:t>
            </w: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 and Chairman of the Audit Committee</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James S. Kahan(3)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 and Chairman of the Nominating and Corporate Governance Committee</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Richard T.C. LeFave(1)(2)(3)</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Giora Yaron(4)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 and Chairman of the Technology and Innovation Committee</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Rafael de la Vega(2)</w:t>
            </w: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 and Chairman of the Management Resources and Compensation Committee</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Eli Gelman(4)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John A. MacDonald(2)(4)</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Yvette Kanouff(4)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Shuky Sheffer</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 President and Chief Executive Officer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Tamar Rapaport-Dagim</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Chief Financial Officer and Chief Operating Officer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Rajat Raheja</w:t>
            </w: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7640" w:type="dxa"/>
            <w:vAlign w:val="bottom"/>
          </w:tcPr>
          <w:p>
            <w:pPr>
              <w:ind w:left="80"/>
              <w:spacing w:after="0"/>
              <w:rPr>
                <w:sz w:val="20"/>
                <w:szCs w:val="20"/>
                <w:color w:val="auto"/>
              </w:rPr>
            </w:pPr>
            <w:r>
              <w:rPr>
                <w:rFonts w:ascii="Arial" w:cs="Arial" w:eastAsia="Arial" w:hAnsi="Arial"/>
                <w:sz w:val="16"/>
                <w:szCs w:val="16"/>
                <w:color w:val="auto"/>
              </w:rPr>
              <w:t>Division President, Amdocs Development Center India Pvt. Ltd.</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Matthew Smith</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Member of the Management Resources and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Member of the Technology and Innovation Committee</w:t>
      </w:r>
    </w:p>
    <w:p>
      <w:pPr>
        <w:spacing w:after="0" w:line="226"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was a director of one other publicly-held company, Alliance Data Systems, Inc. until June 2020.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James S. Kahan has been a director of Amdocs since 1998 and is Chairman of the Nominating and Corporate Governance Committee. From 1983 until his retirement in 2007, he worked at SBC Communications Inc.,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 Mr. Kahan’s long service at SBC Communications Inc.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Mr. LeFave has held the CISO position and duties for a U.S.-based manufacturing firm and attended Harvard Business School (“HBS”) courses in Board Compensation and Audit Committee strategies and recently completed his HBS Corporate Director Certificate. We believe Mr. LeFave’s qualifications to sit on our board include his extensive experience and leadership in the information technology and telecommunications industry.</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Giora Yaron has been a director of Amdocs since 2009 and is Chairman of the Technology and Innovation Committee.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served as Chairman of the Board at Excelero (ExpressIO) untill 2019, a company focused on providing ultra-fast block storage solution and Equalum focused on streaming in real-time changes from a variety of data bases to a unified platform for real-time Big Data Analytics. Dr. Yaron is an active investor in various companies including, Salto, Afforata, Vulcan Security, Aqua Security, CyberPion and ArgonSec. Dr. Yaron has served as the chairman of The Executive Council of Tel Aviv University an institution of higher education between 2010-2019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8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65" w:lineRule="exact"/>
        <w:rPr>
          <w:sz w:val="20"/>
          <w:szCs w:val="20"/>
          <w:color w:val="auto"/>
        </w:rPr>
      </w:pPr>
    </w:p>
    <w:p>
      <w:pPr>
        <w:ind w:left="120" w:right="200" w:firstLine="440"/>
        <w:spacing w:after="0" w:line="287" w:lineRule="auto"/>
        <w:rPr>
          <w:sz w:val="20"/>
          <w:szCs w:val="20"/>
          <w:color w:val="auto"/>
        </w:rPr>
      </w:pPr>
      <w:r>
        <w:rPr>
          <w:rFonts w:ascii="Arial" w:cs="Arial" w:eastAsia="Arial" w:hAnsi="Arial"/>
          <w:sz w:val="16"/>
          <w:szCs w:val="16"/>
          <w:color w:val="auto"/>
        </w:rPr>
        <w:t>Eli Gelman has been a director of Amdocs since 2002. Since January 2019, Mr. Gelman has served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w:t>
      </w:r>
    </w:p>
    <w:p>
      <w:pPr>
        <w:spacing w:after="0" w:line="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83"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John A. MacDonald has been a director of Amdocs since 2019. Mr. MacDonald is an experienced senior executive who has worked at some of Canada’s largest technology organizations and serves as a board member of Rogers Communications Inc. and BookJane Inc. From 2003 to 2008,</w:t>
      </w:r>
    </w:p>
    <w:p>
      <w:pPr>
        <w:ind w:left="120"/>
        <w:spacing w:after="0" w:line="292" w:lineRule="auto"/>
        <w:rPr>
          <w:sz w:val="20"/>
          <w:szCs w:val="20"/>
          <w:color w:val="auto"/>
        </w:rPr>
      </w:pPr>
      <w:r>
        <w:rPr>
          <w:rFonts w:ascii="Arial" w:cs="Arial" w:eastAsia="Arial" w:hAnsi="Arial"/>
          <w:sz w:val="16"/>
          <w:szCs w:val="16"/>
          <w:color w:val="auto"/>
        </w:rPr>
        <w:t>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includes his extensive experience and leadership in the telecommunications industry.</w:t>
      </w:r>
    </w:p>
    <w:p>
      <w:pPr>
        <w:spacing w:after="0" w:line="1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Yvette Kanouff has been a director of Amdocs since 2020. Since August 2019, Ms. Kanouff has served as a director of Science Applications International Corporation (SAIC). She is currently a partner and chief technology officer at Silicon Valley-based venture capital and private equity firm JC2 Ventures where Ms. Kanouff is responsible for technology strategy and engineering relationships within JC2 Ventures investment companies, partners, and customers. Prior to that, Ms. Kanouff served as a senior vice president and general manager for Cisco’s 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and a master’s degree in mathematics from the University of Central Florida. Ms. Kanouff is also a director and executive advisor of several private technology companies.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Shuky Sheffer is a director and has been our President and Chief Executive Officer since October 1, 2018. Mr. Sheffer previously served as Senior Vice President and President of the Global Business Group from October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6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Tamar Rapaport-Dagim has been our Chief Financial Officer since 2007, and our Chief Operating Officer since October 1, 2018.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During fiscal 2020,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Non-Employee Director and who is not the chairman of such committee received an annual cash payment of $30,000. Each member of our Management Resources and Compensation Committee who is a Non-Employee Director and who is not a committee chairman received an annual cash payment of $20,000. Each member of our Nominating and Corporate Governance and Technology and Innovation Committees who is a Non-Employee Director and who is not a committee chairman received an annual cash payment of $15,000. The Chairman of our Audit Committee received an annual cash payment of $42,500 and the Chairman of our Management</w:t>
      </w:r>
    </w:p>
    <w:p>
      <w:pPr>
        <w:spacing w:after="0" w:line="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Resources and Compensation Committee received an annual cash payment of $32,500. The Chairmen of our Nominating and Corporate Governance and Technology and Innovation Committees each received an annual cash payment of $27,500. Each Non-Employee Director received an annual grant of restricted shares at a total value of $255,000. The Chairman of the Board of Directors received an additional annual amount equal to $200,000 awarded in the form of restricted shares. The restricted share awards to our Non-Employee Directors vest quarterly.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16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 total of 15 persons who served either as directors or officers of Amdocs during all or part of fiscal 2020 received remuneration from Amdocs. The aggregate remuneration paid or accrued by us to such persons in fiscal 2020 was approximately $5.3 million, compared to $5.4 million and</w:t>
      </w:r>
    </w:p>
    <w:p>
      <w:pPr>
        <w:jc w:val="both"/>
        <w:ind w:left="120" w:right="300"/>
        <w:spacing w:after="0" w:line="255" w:lineRule="auto"/>
        <w:rPr>
          <w:sz w:val="20"/>
          <w:szCs w:val="20"/>
          <w:color w:val="auto"/>
        </w:rPr>
      </w:pPr>
      <w:r>
        <w:rPr>
          <w:rFonts w:ascii="Arial" w:cs="Arial" w:eastAsia="Arial" w:hAnsi="Arial"/>
          <w:sz w:val="18"/>
          <w:szCs w:val="18"/>
          <w:color w:val="auto"/>
        </w:rPr>
        <w:t>$7 million in fiscal 2019 and fiscal 2018, respectively,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8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2020, we granted to such persons options to purchase an aggregate of 153,746 ordinary shares at a weighted average price of $68.57 per share with vesting generally over four-year terms and expiring ten years from the date of grant, and an aggregate of 147,112 restricted shares typically subject to three to four-year vesting and often times, achievement of certain performance thresholds, and in the case of our directors, subject to quarterly vesting. All options and restricted share awards were granted pursuant to our 1998 Stock Option and Incentive Plan, as amended. See discussion below — “Share Ownership — Employee Stock Option and Incentive Plan.”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Ten directors currently serve on our Board of Directors, all of whom were elected at our annual meeting of shareholders on January 31, 2020.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In November 2020, Mr. James Kahan was granted a one-year waiver to continue as director past the age of 73 years until the next annual general meeting in 2022 in light of the circumstances presented to the Board of Directors, including his exceptional industry experience and value to the Board, as well as the current global business and market environment.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 On January 31, 2020, Mr. Julian Brodsky retired from our Board of Directors and is serving as “director emeritus” and provides us certain advisory services. The agreement with Mr. Julian Brodsky will expire on January 31, 2021, see “Item 7. Major Shareholders and Related Party Transactions — Related Party Transactions.”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Minicucci,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In particular, we believe that the professional experiences of Messrs. Gardner, LeFave and Minicucci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5 years provides a foundation of cyber awareness to the Audit Committee and also believe that Mr. LeFave’s post-graduate training at HBS in Audit Committee, Board compensation best practices and recently completed HBS Corporate Director Certificate provide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The Audit Committee written charter is available on our website at </w:t>
      </w:r>
      <w:r>
        <w:rPr>
          <w:rFonts w:ascii="Arial" w:cs="Arial" w:eastAsia="Arial" w:hAnsi="Arial"/>
          <w:sz w:val="16"/>
          <w:szCs w:val="16"/>
          <w:i w:val="1"/>
          <w:iCs w:val="1"/>
          <w:color w:val="auto"/>
        </w:rPr>
        <w:t>www.amdocs.com.</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Kahan (Chair), Minicucci and LeFave,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Dr. Yaron (Chair), Gelman, Kanouff and MacDonald.</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Americas</w:t>
            </w:r>
          </w:p>
        </w:tc>
        <w:tc>
          <w:tcPr>
            <w:tcW w:w="600" w:type="dxa"/>
            <w:vAlign w:val="bottom"/>
          </w:tcPr>
          <w:p>
            <w:pPr>
              <w:jc w:val="right"/>
              <w:spacing w:after="0"/>
              <w:rPr>
                <w:sz w:val="20"/>
                <w:szCs w:val="20"/>
                <w:color w:val="auto"/>
              </w:rPr>
            </w:pPr>
            <w:r>
              <w:rPr>
                <w:rFonts w:ascii="Arial" w:cs="Arial" w:eastAsia="Arial" w:hAnsi="Arial"/>
                <w:sz w:val="18"/>
                <w:szCs w:val="18"/>
                <w:color w:val="auto"/>
              </w:rPr>
              <w:t>5,522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5,409</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EMEA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APAC</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Workforce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 small number of our employees in Canada and Bulgaria,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Hungary and in Finland.</w:t>
      </w:r>
    </w:p>
    <w:p>
      <w:pPr>
        <w:spacing w:after="0" w:line="187"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difficult to hire, train and retain, and we could face increased costs to attract and retain our skilled workforce</w:t>
      </w:r>
      <w:r>
        <w:rPr>
          <w:rFonts w:ascii="Arial" w:cs="Arial" w:eastAsia="Arial" w:hAnsi="Arial"/>
          <w:sz w:val="16"/>
          <w:szCs w:val="16"/>
          <w:color w:val="auto"/>
        </w:rPr>
        <w: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December 3, 2020, the aggregate number of our ordinary shares beneficially owned by our directors and executive officers was 131,110,182 shares. As of December 3, 2020, none of our directors or members of senior management beneficially owned 1% or more of our outstanding ordinary shares.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70,550,000 of our ordinary shares may be issued.</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2020, of the 70,550,000 ordinary shares available for issuance under the Equity Incentive Plan, 57,985,546 ordinary shares had been issued as a result of option exercises and restricted share issuances. As of September 30, 2020, 6,718,461 ordinary shares remained available for future grants, subject to a sublimit applicable to the award of restricted shares or awards denominated in stock units. As of December 3, 2020, there were outstanding options to purchase an aggregate of 5,618,043 ordinary shares at exercise prices ranging from $27.47 to $72.19 per share and 137,383 shares are subject to outstanding restricted stock units.</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Equity Incentive Plan is administered by a committee of our Board of Directors, which determines the terms of awards for directors, employees and consultants as well as the manner in which awards may be made subject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specified information with respect to the beneficial ownership of the ordinary shares as of December 3, 2020 of</w:t>
      </w:r>
    </w:p>
    <w:p>
      <w:pPr>
        <w:spacing w:after="0" w:line="35" w:lineRule="exact"/>
        <w:rPr>
          <w:sz w:val="20"/>
          <w:szCs w:val="20"/>
          <w:color w:val="auto"/>
        </w:rPr>
      </w:pPr>
    </w:p>
    <w:p>
      <w:pPr>
        <w:ind w:left="120" w:right="60" w:hanging="4"/>
        <w:spacing w:after="0" w:line="252"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131,110,182 ordinary shares outstanding as of December 3, 2020, net of shares held in treasury. Information concerning shareholders other than our directors and officers is based on periodic public filings made by such shareholders and may not necessarily be accurate as of December 3, 2020. None of our major shareholders have voting rights that are different from those of any other shareholder.</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20" w:type="dxa"/>
            <w:vAlign w:val="bottom"/>
            <w:vMerge w:val="restart"/>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720" w:type="dxa"/>
            <w:vAlign w:val="bottom"/>
            <w:vMerge w:val="continue"/>
          </w:tcPr>
          <w:p>
            <w:pPr>
              <w:spacing w:after="0"/>
              <w:rPr>
                <w:sz w:val="13"/>
                <w:szCs w:val="13"/>
                <w:color w:val="auto"/>
              </w:rPr>
            </w:pPr>
          </w:p>
        </w:tc>
        <w:tc>
          <w:tcPr>
            <w:tcW w:w="14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15,971,485</w:t>
            </w:r>
          </w:p>
        </w:tc>
        <w:tc>
          <w:tcPr>
            <w:tcW w:w="5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7,541,445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(13 persons)(3)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2,074,527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86"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a Schedule 13G/A filed by FMR LLC, or FMR, with the SEC on February 7, 2020, as of December 31, 2019, FMR had sole power to vote or direct the vote over 1,565,866 shares and sole power to dispose or direct the disposition of 15,971,485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1" w:lineRule="exact"/>
        <w:rPr>
          <w:rFonts w:ascii="Arial" w:cs="Arial" w:eastAsia="Arial" w:hAnsi="Arial"/>
          <w:sz w:val="16"/>
          <w:szCs w:val="16"/>
          <w:color w:val="auto"/>
        </w:rPr>
      </w:pPr>
    </w:p>
    <w:p>
      <w:pPr>
        <w:ind w:left="540" w:hanging="424"/>
        <w:spacing w:after="0" w:line="285"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13, 2020, as of December 31, 2019, Janus had an indirect 97% ownership stake in IntechInvestment Management LLC (“Intech”) and a 100% ownership stake in Janus Capital Management LLC (“Janus Capital”), Perkins Investment Management LLC (“Perkins”), Geneva Capital Management LLC (“Geneva”), Henderson Global Investors Limited (“HGIL”) and Janus Henderson Investors Australia Institutional Funds Management Limited (“HGIAIFML”)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7,482,025 shares or 5.6%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41,574 shares or 0.0% of the shares outstanding of Amdocs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17,846 shares or 0.0% of the shares outstanding of Amdocs Common Stock held by such Managed Portfolios. However, JCIL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1" w:lineRule="exact"/>
        <w:rPr>
          <w:sz w:val="20"/>
          <w:szCs w:val="20"/>
          <w:color w:val="auto"/>
        </w:rPr>
      </w:pPr>
    </w:p>
    <w:p>
      <w:pPr>
        <w:ind w:left="54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3, 2020. As of such date, none of our directors or executive officers beneficially owned 1% or more of our outstanding ordinary shares.</w:t>
      </w:r>
    </w:p>
    <w:p>
      <w:pPr>
        <w:spacing w:after="0" w:line="18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As of December 3, 2020, our ordinary shares were held by 1,595 record holders. Based on a review of the information provided to us by our transfer agent, 747 record holders, including Cede &amp; Co. the nominee of The Depository Trust Company, holding approximately 83.5% of our outstanding ordinary shares held of record, were residents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31, 2020, Mr. Julian Brodsky retired from our Board of Directors. On February 1, 2020, we have entered into an agreement with Mr. Brodsky pursuant to which Mr. Brodsky serves as “director emeritus” and provides us certain advisory services, for which we pay Mr. Brodsky an annual total payment equal to $255,000 in equity and $80,000 in cash. In fiscal year 2020, we paid Mr. Brodsky $255,000 in equity and $80,000 in cash. The agreement with Mr. Brodsky will expire on January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See “Financial Statements” for our audited Consolidated Financial Statements and Financial Statement Schedule filed as part of this Annual Report.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18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Between 2014 and 2018, we defended a lawsuit against certain of our subsidiaries in the U.S. District Court in Oregon alleging breach of contract and trade secret misappropriation. In October 2018, while continuing to deny the plaintiff’s allegations, we entered into a settlement agreement with the plaintiff, which included a $50 million settlement payment by us, in consideration for a mutual release of each party and its respective customers with no admission of liability or fault. As a result of the settlement, the lawsuit was dismissed with prejudice on November 13, 2018. During fiscal year 2019 we paid the settlement amount of $50 million and $5 million in legal and other fees which were accrued as of September 30, 2018.</w:t>
      </w:r>
    </w:p>
    <w:p>
      <w:pPr>
        <w:spacing w:after="0" w:line="16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Certain of our subsidiaries are currently in a dispute with a state-owned telecom enterprise in Ecuador, which appears to have political aspects. Our counterparty has claimed monetary damages. The dispute is over contracts, under which we were providing certain services, which have been terminated by the counterparty in connection with such dispute and which are under scrutiny by certain local governmental authorities. We believe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solid arguments and are vigorously defending our rights. To date, however, the Ecuadorian Courts have responded to such defense efforts, including motions alleging constitutional defects, in an inconsistent manner. While we have achieved some successes, the majority of the procedures are still ongoing. We are unable to reasonably estimate the ultimate outcome of the above dispute.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84"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2020, 131,535,692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5540" w:right="160" w:hanging="4884"/>
        <w:spacing w:after="0" w:line="449" w:lineRule="auto"/>
        <w:tabs>
          <w:tab w:leader="none" w:pos="109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Issue </w:t>
      </w:r>
      <w:r>
        <w:rPr>
          <w:rFonts w:ascii="Arial" w:cs="Arial" w:eastAsia="Arial" w:hAnsi="Arial"/>
          <w:sz w:val="18"/>
          <w:szCs w:val="18"/>
          <w:color w:val="auto"/>
        </w:rPr>
        <w:t>— the preferred shares may be issued from time to time in one or more series of any number of shares up to the amount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shares and to provide for the designations, powers, preferences and relative participating, optional or other special rights and qualifications, limitations or restrictions thereon.</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2"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080" w:right="8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when and as dividends are declared on our shares, the holders of voting ordinary shares and non-voting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70" w:lineRule="exact"/>
        <w:rPr>
          <w:rFonts w:ascii="Arial" w:cs="Arial" w:eastAsia="Arial" w:hAnsi="Arial"/>
          <w:sz w:val="17"/>
          <w:szCs w:val="17"/>
          <w:color w:val="auto"/>
        </w:rPr>
      </w:pPr>
    </w:p>
    <w:p>
      <w:pPr>
        <w:ind w:left="1080" w:right="1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Conversion of Non-Voting Ordinary Shares into Voting Ordinary Shares </w:t>
      </w:r>
      <w:r>
        <w:rPr>
          <w:rFonts w:ascii="Arial" w:cs="Arial" w:eastAsia="Arial" w:hAnsi="Arial"/>
          <w:sz w:val="17"/>
          <w:szCs w:val="17"/>
          <w:color w:val="auto"/>
        </w:rPr>
        <w:t>— upon the transfer of non-voting ordinary shares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70"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paid in full shall be distributed to the holders of voting ordinary shares and non-voting ordinary shares equally share for share.</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non-voting ordinary shares are not entitled to any voting rights.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Articles now provide that our directors, officers and other agents will be indemnified by us from and against all liabilities to Amdocs Limited or third parties (including our shareholders) sustained in connection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their performance of their duties, except to the extent prohibited by the Companies Law. Under the Companies Law, Amdocs Limited may not indemnify a director for certain excluded liabilities, which are:</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are no provisions in the Memorandum or Articles that provide for a classified board of directors or for cumulative voting for directors.</w:t>
      </w:r>
    </w:p>
    <w:p>
      <w:pPr>
        <w:spacing w:after="0" w:line="23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6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59" w:lineRule="auto"/>
        <w:rPr>
          <w:sz w:val="20"/>
          <w:szCs w:val="20"/>
          <w:color w:val="auto"/>
        </w:rPr>
      </w:pPr>
      <w:r>
        <w:rPr>
          <w:rFonts w:ascii="Arial" w:cs="Arial" w:eastAsia="Arial" w:hAnsi="Arial"/>
          <w:sz w:val="18"/>
          <w:szCs w:val="18"/>
          <w:color w:val="auto"/>
        </w:rPr>
        <w:t>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4"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December 2017, we entered into an Amended and Restated Credit Agreement among us, certain of our subsidiaries, the lenders from time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time party thereto, JPMorgan Chase Bank, N.A., as administrative agent, J.P. Morgan Europe Limited, as London agent, and JPMorgan Chase Bank,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N.A., Toronto branch, as Canadian agent, providing for an unsecured $500 million five-year revolving credit facility with a syndicate of banks.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facility is available for general corporate purposes, including acquisitions and repurchases of our ordinary shares that we may consider from time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and has a maturity date in December 2022. The Amended and Restated Credit Agreement replaces our Credit Agreement, dated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12, 2014, by and among us, certain of our subsidiaries, JPMorgan Chase Bank, N.A., as administrative agent, J.P. Morgan Europe Limited,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London agent, and JPMorgan Chase Bank, N.A., Toronto branch, as Canadian agent. A copy of the Amended and Restated Credit Agreement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included as Exhibit 4.c to this Annual Report.</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February 2017, we entered into a Master Services Agreement with AT&amp;T Services, Inc., as amended, which replaces in its entirety the Software and Professional Services that we entered into with AT&amp;T Services, Inc. effective August 7, 2003. The agreement provides that Amdocs will provide software and services to AT&amp;T as specified therein and remains in effect until September 30, 2021. A copy of the Master Services Agreement is included as Exhibit 4.a.1 to this Annual Report.</w:t>
      </w:r>
    </w:p>
    <w:p>
      <w:pPr>
        <w:spacing w:after="0" w:line="187"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In the past two years, we have not entered into any material contracts other than contracts entered into in the ordinary course of our business. 59</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effective tax rate was 14.7% for fiscal 2020, compared to 15.6% for fiscal 2019 and 15.9% for fiscal 2018.</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continuously assessing, of the tax reform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2020, the corporate tax rate applicable in India on trading activities was 34.94% for development center and reduced corporate tax at 27.82% for business processing operations having gross turnover up to a prescribed threshold. Our main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During the year 2016–17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17.48% and can be carried forward for 15 years to be credited against corporate income taxes. As for the LLP, as a result of the conversion certain accumulated tax credits are not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Our main Indian subsidiary is subject to a separate tax entitlement under which its operating units are exempt from tax on the respective tax incentive-eligible activity for the first five years of operations and it enjoys a 50% reduction on its corporate income tax for such activity for the following five years. Further, an additional 50% deduction is available for another 5 years, if 50% of the profits of the unit are credited to a specific reserve provided that such reserve is utilized for the purpose of investments in plant &amp; machinery within three years from the end of the year in which reserve is created. If such reserve is not utilized for the purpose specified in the Indian Tax Laws, the same will be deemed as income in the year immediately following the period of three years in which the reserve is made.</w:t>
      </w:r>
    </w:p>
    <w:p>
      <w:pPr>
        <w:spacing w:after="0" w:line="1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Further, in 2018 a new operation was commenced in another subsidiary in India with effect from May 1, 2018. The activity conducted by this entity is generally entitled to a 100% reduction on its corporate income tax for the first five years of operation and a 50% reduction for the following 5 years. MAT is levied on book profits at an effective rate of 16.69% and can be carried forward for 15 years to be credited against corporate income taxes.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23%. However, the effective tax rate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of an Israeli company that is eligible for tax benefits by virtue of the Law for the Encouragement of Capital Investments may be considerably lower.</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primary Israeli subsidiary has elected the alternative benefits’ route with respect to its existing Approved Enterprise and its expansions, pursuant to which it enjoys,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exempt income generated during the tax 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recent years changes were introduced to the Investment Law, specifically a major amendment of the Investment Law in 2011 and 2017.</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2011 amendment (“Preferred Enterprise”)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Our primary Israeli subsidiary has not yet made such election.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Amendment 73 to the Investment Law, which came into effect January 1, 2017, was followed by regulations promulgated on May 28, 2017, which incorporated the “Nexus Principles,” based on OECD guidelines recently published as part of the Base Erosion and Profit Shifting (BEPS) project, into Israeli law. The OECD has since then confirmed that the regime adopted by Israel is “not harmful”.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incentives regime applies to “Preferred Technological Enterprises” that meet certain conditions.</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corporate tax rate applicable to the Preferred Technological Income generated by a Special Preferred Technological Enterprise (companies which are part of a group with annual consolidated revenue in excess of NIS 10 billion—approximately US $3 billion at current exchange rates) is 6%. The reduced tax rate applies only with respect to the revenue attributable to the portion of intellectual property developed in Israel.</w:t>
      </w:r>
    </w:p>
    <w:p>
      <w:pPr>
        <w:spacing w:after="0" w:line="14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2020, our primary Israeli subsidiary continues to apply the benefits under the terms of the law as provided prior to the 2011 amendment. We are continuously evaluating the potential benefits of applying the 2011 and 2017 amendments.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9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170" w:lineRule="exact"/>
        <w:rPr>
          <w:sz w:val="20"/>
          <w:szCs w:val="20"/>
          <w:color w:val="auto"/>
        </w:rPr>
      </w:pPr>
    </w:p>
    <w:p>
      <w:pPr>
        <w:ind w:left="1200" w:hanging="221"/>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28" w:lineRule="exact"/>
        <w:rPr>
          <w:rFonts w:ascii="Arial" w:cs="Arial" w:eastAsia="Arial" w:hAnsi="Arial"/>
          <w:sz w:val="17"/>
          <w:szCs w:val="17"/>
          <w:color w:val="auto"/>
        </w:rPr>
      </w:pPr>
    </w:p>
    <w:p>
      <w:pPr>
        <w:ind w:left="560" w:right="280" w:firstLine="419"/>
        <w:spacing w:after="0" w:line="277" w:lineRule="auto"/>
        <w:tabs>
          <w:tab w:leader="none" w:pos="12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Disposition of Ordinary Shares. </w:t>
      </w:r>
      <w:r>
        <w:rPr>
          <w:rFonts w:ascii="Arial" w:cs="Arial" w:eastAsia="Arial" w:hAnsi="Arial"/>
          <w:sz w:val="17"/>
          <w:szCs w:val="17"/>
          <w:color w:val="auto"/>
        </w:rPr>
        <w:t>Subject to the PFIC rules described below, upon the sale, exchange or other disposition of our ordinary shares, a</w:t>
      </w:r>
      <w:r>
        <w:rPr>
          <w:rFonts w:ascii="Arial" w:cs="Arial" w:eastAsia="Arial" w:hAnsi="Arial"/>
          <w:sz w:val="17"/>
          <w:szCs w:val="17"/>
          <w:i w:val="1"/>
          <w:iCs w:val="1"/>
          <w:color w:val="auto"/>
        </w:rPr>
        <w:t xml:space="preserve"> </w:t>
      </w:r>
      <w:r>
        <w:rPr>
          <w:rFonts w:ascii="Arial" w:cs="Arial" w:eastAsia="Arial" w:hAnsi="Arial"/>
          <w:sz w:val="17"/>
          <w:szCs w:val="17"/>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 The deductibility of capital losses is subject to limitations.</w:t>
      </w:r>
    </w:p>
    <w:p>
      <w:pPr>
        <w:spacing w:after="0" w:line="17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passive 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2020.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generally must file annual reports to the IRS.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U.S. holders generally will be subject to information reporting requirements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(currently at a 24%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9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(i) our ordinary shares not held through a custodial account with a financial institution, and</w:t>
      </w:r>
    </w:p>
    <w:p>
      <w:pPr>
        <w:spacing w:after="0" w:line="2" w:lineRule="exact"/>
        <w:rPr>
          <w:sz w:val="20"/>
          <w:szCs w:val="20"/>
          <w:color w:val="auto"/>
        </w:rPr>
      </w:pPr>
    </w:p>
    <w:p>
      <w:pPr>
        <w:ind w:left="120" w:right="80" w:hanging="4"/>
        <w:spacing w:after="0" w:line="255" w:lineRule="auto"/>
        <w:tabs>
          <w:tab w:leader="none" w:pos="3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314-212-8328</w:t>
      </w:r>
    </w:p>
    <w:p>
      <w:pPr>
        <w:spacing w:after="0" w:line="315" w:lineRule="exact"/>
        <w:rPr>
          <w:sz w:val="20"/>
          <w:szCs w:val="20"/>
          <w:color w:val="auto"/>
        </w:rPr>
      </w:pPr>
    </w:p>
    <w:p>
      <w:pPr>
        <w:ind w:left="120" w:right="3980"/>
        <w:spacing w:after="0" w:line="378"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jc w:val="both"/>
        <w:ind w:left="120" w:right="4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fiscal year 2020, approximately 70% to 80% of our revenue and approximately 50% to 60% of our operating expenses were denominated in U.S. dollar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managing our foreign exchange risk, we enter into various foreign exchange contracts. We do not hedge all of our exposure in currencies other than the U.S. dollar, but rather our policy is to hedge significant net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486"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Israeli shekels and Indian rupees. We also use such contracts to hedge the net impact of the variability in exchange rates on certain balance sheet items such as accounts receivable and employee related accruals denominated primarily in Israeli shekels, Indian rupees, Philippine Pesos and European Euros,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6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2020. Notional values are in U.S. dollars and are translated and calculated based on forward rates as of September 30, 2020, for forward contracts, and based on spot rates as of September 30, 2020 for options.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interest expenses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money market funds and corporate bonds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2020. The term “disclosure controls and procedures,” as defined in Rules 13a-15(e)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6"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2020, which is included herein.</w:t>
      </w:r>
    </w:p>
    <w:p>
      <w:pPr>
        <w:spacing w:after="0" w:line="17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2020 that has materially affected, or is reasonably likely to materially affect, our internal control over financial reporting.</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through F-7 of this Annual Report on Form 20-F, and are incorporated herein by reference.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314-212-8328</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Ernst &amp; Young billed us approximately $3.6 million for audit services for fiscal 2020, including fees associated with the annual audit and reviews of our quarterly financial results submitted on Form 6-K, consultations on various accounting issues and performance of local statutory audits. Ernst &amp; Young billed us approximately $3.8 million for audit services for fiscal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Ernst &amp; Young billed us approximately $1.4 million for audit-related services for fiscal 2020. Audit-related services principally include SOC 1 report issuances and due diligence examinations. Ernst &amp; Young billed us approximately $1.5 million for audit-related services for fiscal 2019.</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Ernst &amp; Young billed us approximately $1.5 million for tax advice, including fees associated with tax compliance, tax advice and tax planning services for fiscal 2020. Ernst &amp; Young billed us approximately $1.8 million for tax advice in fiscal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2020 or fiscal 2019.</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2020, our Audit Committee approved all of the services provided by Ernst &amp; Young.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2020 of equity securities that are registered by us pursuant to Section 12 of the Exchange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rPr>
              <w:t>(b)</w:t>
            </w: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60" w:type="dxa"/>
            <w:vAlign w:val="bottom"/>
          </w:tcPr>
          <w:p>
            <w:pPr>
              <w:spacing w:after="0"/>
              <w:rPr>
                <w:sz w:val="12"/>
                <w:szCs w:val="12"/>
                <w:color w:val="auto"/>
              </w:rPr>
            </w:pPr>
          </w:p>
        </w:tc>
        <w:tc>
          <w:tcPr>
            <w:tcW w:w="1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280" w:type="dxa"/>
            <w:vAlign w:val="bottom"/>
            <w:gridSpan w:val="2"/>
            <w:vMerge w:val="restart"/>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6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May Yet Be Purchased Under</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14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Purchased</w:t>
            </w:r>
          </w:p>
        </w:tc>
        <w:tc>
          <w:tcPr>
            <w:tcW w:w="360" w:type="dxa"/>
            <w:vAlign w:val="bottom"/>
          </w:tcPr>
          <w:p>
            <w:pPr>
              <w:spacing w:after="0"/>
              <w:rPr>
                <w:sz w:val="15"/>
                <w:szCs w:val="15"/>
                <w:color w:val="auto"/>
              </w:rPr>
            </w:pPr>
          </w:p>
        </w:tc>
        <w:tc>
          <w:tcPr>
            <w:tcW w:w="1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Paid per Share(1)</w:t>
            </w:r>
          </w:p>
        </w:tc>
        <w:tc>
          <w:tcPr>
            <w:tcW w:w="15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the Plans or Programs(2)</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10/1/19-10/31/19</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349,599</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65.76</w:t>
            </w:r>
          </w:p>
        </w:tc>
        <w:tc>
          <w:tcPr>
            <w:tcW w:w="7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349,599</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216,182,714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11/1/19-11/30/19</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296,733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67.40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296,733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996,183,385</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12/1/19-12/31/19</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662,269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70.99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662,269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949,171,077</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01/1/20-01/31/20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358,021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73.32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358,021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922,921,938</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02/1/20-02/29/20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411,341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73.02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411,341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892,884,731</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03/1/20-03/31/20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1,093,501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58.27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1,093,501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829,171,117</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04/1/20-04/30/20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355,694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59.04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355,694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808,171,772</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05/1/20-05/31/20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318,639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62.76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318,639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788,172,482</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06/1/20-06/30/20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301,222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63.08</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301,222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769,171,166</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07/1/20-07/31/20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402,900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59.80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402,900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745,077,821</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08/1/20-08/31/20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500,030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60.93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500,030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714,609,201</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09/1/20-09/30/20</w:t>
            </w:r>
          </w:p>
        </w:tc>
        <w:tc>
          <w:tcPr>
            <w:tcW w:w="1040" w:type="dxa"/>
            <w:vAlign w:val="bottom"/>
          </w:tcPr>
          <w:p>
            <w:pPr>
              <w:jc w:val="right"/>
              <w:spacing w:after="0"/>
              <w:rPr>
                <w:sz w:val="20"/>
                <w:szCs w:val="20"/>
                <w:color w:val="auto"/>
              </w:rPr>
            </w:pPr>
            <w:r>
              <w:rPr>
                <w:rFonts w:ascii="Arial" w:cs="Arial" w:eastAsia="Arial" w:hAnsi="Arial"/>
                <w:sz w:val="18"/>
                <w:szCs w:val="18"/>
                <w:color w:val="auto"/>
              </w:rPr>
              <w:t>618,016</w:t>
            </w:r>
          </w:p>
        </w:tc>
        <w:tc>
          <w:tcPr>
            <w:tcW w:w="36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58.68</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618,016</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678,343,867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5,667,965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63.66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5,667,965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678,343,867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right="340" w:hanging="424"/>
        <w:spacing w:after="0" w:line="273"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November 8, 2017, our Board of Directors adopted a share repurchase plan authorizing the repurchase of up to $800.0 million of our outstanding ordinary shares and on November 12, 2019,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that we consider appropriate.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2020, and to our website at www.amdocs.com.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6"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 And Schedule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2020, 2019 and 2018, are included at the end of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Balance Sheets as of September 30, 2020 and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Income for the fiscal years ended September 30, 2020, 2019 and 2018</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Comprehensive Income for the fiscal years ended September 30, 2020, 2019 and 2018</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Changes in Equity for the fiscal years ended September 30, 2020, 2019 and 2018</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Cash Flows for the fiscal years ended September 30, 2020, 2019 and 2018</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Notes to the Consolidated Financial Statements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Valuation and Qualifying Accounts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80"/>
          </w:cols>
          <w:pgMar w:left="320" w:top="486" w:right="7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2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vMerge w:val="restart"/>
          </w:tcPr>
          <w:p>
            <w:pPr>
              <w:spacing w:after="0"/>
              <w:rPr>
                <w:sz w:val="24"/>
                <w:szCs w:val="24"/>
                <w:color w:val="auto"/>
              </w:rPr>
            </w:pPr>
          </w:p>
        </w:tc>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2"/>
                <w:szCs w:val="22"/>
                <w:color w:val="auto"/>
              </w:rPr>
            </w:pPr>
          </w:p>
        </w:tc>
        <w:tc>
          <w:tcPr>
            <w:tcW w:w="9800" w:type="dxa"/>
            <w:vAlign w:val="bottom"/>
            <w:tcBorders>
              <w:bottom w:val="single" w:sz="8" w:color="0000EE"/>
            </w:tcBorders>
            <w:gridSpan w:val="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Amended and Restated Memorandum of Incorporation of Amdocs Limited (incorporated by reference to Exhibit 99.1 to Amdocs’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6-K filed January 26, 2009)</w:t>
              </w:r>
            </w:hyperlink>
          </w:p>
        </w:tc>
        <w:tc>
          <w:tcPr>
            <w:tcW w:w="7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Amended and Restated Articles of Incorporation of Amdocs Limited (incorporated by reference to Exhibit 1.2 to Amdocs’ Annual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Report on Form 20-F, filed December 7, 2010)</w:t>
              </w:r>
            </w:hyperlink>
          </w:p>
        </w:tc>
        <w:tc>
          <w:tcPr>
            <w:tcW w:w="6020" w:type="dxa"/>
            <w:vAlign w:val="bottom"/>
            <w:tcBorders>
              <w:top w:val="single" w:sz="8" w:color="0000EE"/>
            </w:tcBorders>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20" w:hanging="924"/>
        <w:spacing w:after="0"/>
        <w:tabs>
          <w:tab w:leader="none" w:pos="1220" w:val="left"/>
        </w:tabs>
        <w:numPr>
          <w:ilvl w:val="0"/>
          <w:numId w:val="39"/>
        </w:numPr>
        <w:rPr>
          <w:rFonts w:ascii="Arial" w:cs="Arial" w:eastAsia="Arial" w:hAnsi="Arial"/>
          <w:sz w:val="17"/>
          <w:szCs w:val="17"/>
          <w:u w:val="single" w:color="auto"/>
          <w:color w:val="0000EE"/>
        </w:rPr>
      </w:pPr>
      <w:hyperlink w:anchor="page124">
        <w:r>
          <w:rPr>
            <w:rFonts w:ascii="Arial" w:cs="Arial" w:eastAsia="Arial" w:hAnsi="Arial"/>
            <w:sz w:val="17"/>
            <w:szCs w:val="17"/>
            <w:u w:val="single" w:color="auto"/>
            <w:color w:val="0000EE"/>
          </w:rPr>
          <w:t>Description of rights of each applicable class of securities registered under Section 12 of the Securities Exchange Act of 1934</w:t>
        </w:r>
      </w:hyperlink>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60" w:type="dxa"/>
            <w:vAlign w:val="bottom"/>
          </w:tcPr>
          <w:p>
            <w:pPr>
              <w:jc w:val="center"/>
              <w:ind w:right="470"/>
              <w:spacing w:after="0"/>
              <w:rPr>
                <w:sz w:val="20"/>
                <w:szCs w:val="20"/>
                <w:color w:val="auto"/>
              </w:rPr>
            </w:pPr>
            <w:r>
              <w:rPr>
                <w:rFonts w:ascii="Arial" w:cs="Arial" w:eastAsia="Arial" w:hAnsi="Arial"/>
                <w:sz w:val="18"/>
                <w:szCs w:val="18"/>
                <w:color w:val="auto"/>
                <w:w w:val="87"/>
              </w:rPr>
              <w:t>2.1</w:t>
            </w:r>
          </w:p>
        </w:tc>
        <w:tc>
          <w:tcPr>
            <w:tcW w:w="9080" w:type="dxa"/>
            <w:vAlign w:val="bottom"/>
            <w:tcBorders>
              <w:bottom w:val="single" w:sz="8" w:color="0000EE"/>
            </w:tcBorders>
            <w:gridSpan w:val="8"/>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Base Indenture between Amdocs Limited, as Issuer, and The Bank of New York Mellon, as Trustee, dated as of June 24, 2020</w:t>
              </w:r>
            </w:hyperlink>
          </w:p>
        </w:tc>
        <w:tc>
          <w:tcPr>
            <w:tcW w:w="8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0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4.1 to Amdocs’ Form 6-K filed June 24, 2020)</w:t>
              </w:r>
            </w:hyperlink>
          </w:p>
        </w:tc>
        <w:tc>
          <w:tcPr>
            <w:tcW w:w="3840" w:type="dxa"/>
            <w:vAlign w:val="bottom"/>
            <w:gridSpan w:val="14"/>
          </w:tcPr>
          <w:p>
            <w:pPr>
              <w:spacing w:after="0"/>
              <w:rPr>
                <w:sz w:val="17"/>
                <w:szCs w:val="17"/>
                <w:color w:val="auto"/>
              </w:rPr>
            </w:pPr>
          </w:p>
        </w:tc>
      </w:tr>
      <w:tr>
        <w:trPr>
          <w:trHeight w:val="304"/>
        </w:trPr>
        <w:tc>
          <w:tcPr>
            <w:tcW w:w="1060" w:type="dxa"/>
            <w:vAlign w:val="bottom"/>
          </w:tcPr>
          <w:p>
            <w:pPr>
              <w:jc w:val="center"/>
              <w:ind w:right="470"/>
              <w:spacing w:after="0"/>
              <w:rPr>
                <w:sz w:val="20"/>
                <w:szCs w:val="20"/>
                <w:color w:val="auto"/>
              </w:rPr>
            </w:pPr>
            <w:r>
              <w:rPr>
                <w:rFonts w:ascii="Arial" w:cs="Arial" w:eastAsia="Arial" w:hAnsi="Arial"/>
                <w:sz w:val="18"/>
                <w:szCs w:val="18"/>
                <w:color w:val="auto"/>
                <w:w w:val="87"/>
              </w:rPr>
              <w:t>2.2</w:t>
            </w:r>
          </w:p>
        </w:tc>
        <w:tc>
          <w:tcPr>
            <w:tcW w:w="9800" w:type="dxa"/>
            <w:vAlign w:val="bottom"/>
            <w:tcBorders>
              <w:bottom w:val="single" w:sz="8" w:color="0000EE"/>
            </w:tcBorders>
            <w:gridSpan w:val="15"/>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First Supplemental Indenture to the Base Indenture between Amdocs Limited, as Issuer, and The Bank of New York Mellon, as Trustee,</w:t>
              </w:r>
            </w:hyperlink>
          </w:p>
        </w:tc>
        <w:tc>
          <w:tcPr>
            <w:tcW w:w="12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dated as of June 24, 2020 (incorporated by reference to Exhibit 4.2 to Amdocs’ Form 6-K filed June 24, 2020)</w:t>
              </w:r>
            </w:hyperlink>
          </w:p>
        </w:tc>
      </w:tr>
      <w:tr>
        <w:trPr>
          <w:trHeight w:val="20"/>
        </w:trPr>
        <w:tc>
          <w:tcPr>
            <w:tcW w:w="10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jc w:val="center"/>
              <w:ind w:right="530"/>
              <w:spacing w:after="0"/>
              <w:rPr>
                <w:sz w:val="20"/>
                <w:szCs w:val="20"/>
                <w:color w:val="auto"/>
              </w:rPr>
            </w:pPr>
            <w:r>
              <w:rPr>
                <w:rFonts w:ascii="Arial" w:cs="Arial" w:eastAsia="Arial" w:hAnsi="Arial"/>
                <w:sz w:val="18"/>
                <w:szCs w:val="18"/>
                <w:color w:val="auto"/>
                <w:w w:val="87"/>
              </w:rPr>
              <w:t>4.a.1†</w:t>
            </w:r>
          </w:p>
        </w:tc>
        <w:tc>
          <w:tcPr>
            <w:tcW w:w="9920" w:type="dxa"/>
            <w:vAlign w:val="bottom"/>
            <w:gridSpan w:val="20"/>
          </w:tcPr>
          <w:p>
            <w:pPr>
              <w:spacing w:after="0"/>
              <w:rPr>
                <w:rFonts w:ascii="Arial" w:cs="Arial" w:eastAsia="Arial" w:hAnsi="Arial"/>
                <w:sz w:val="18"/>
                <w:szCs w:val="18"/>
                <w:color w:val="0000EE"/>
                <w:w w:val="97"/>
              </w:rPr>
            </w:pPr>
            <w:hyperlink r:id="rId101">
              <w:r>
                <w:rPr>
                  <w:rFonts w:ascii="Arial" w:cs="Arial" w:eastAsia="Arial" w:hAnsi="Arial"/>
                  <w:sz w:val="18"/>
                  <w:szCs w:val="18"/>
                  <w:color w:val="0000EE"/>
                  <w:w w:val="97"/>
                </w:rPr>
                <w:t>Agreement between Amdocs, Inc. and AT&amp;T Services, Inc. for Software and Professional Services, effective February 28, 2017</w:t>
              </w:r>
            </w:hyperlink>
          </w:p>
        </w:tc>
      </w:tr>
      <w:tr>
        <w:trPr>
          <w:trHeight w:val="237"/>
        </w:trPr>
        <w:tc>
          <w:tcPr>
            <w:tcW w:w="1060" w:type="dxa"/>
            <w:vAlign w:val="bottom"/>
          </w:tcPr>
          <w:p>
            <w:pPr>
              <w:spacing w:after="0"/>
              <w:rPr>
                <w:sz w:val="20"/>
                <w:szCs w:val="20"/>
                <w:color w:val="auto"/>
              </w:rPr>
            </w:pPr>
          </w:p>
        </w:tc>
        <w:tc>
          <w:tcPr>
            <w:tcW w:w="922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(incorporated by reference to Exhibit 4.b.6 to Amdocs’ Annual Report on Form 20-F, filed December 11, 2017)</w:t>
              </w:r>
            </w:hyperlink>
          </w:p>
        </w:tc>
        <w:tc>
          <w:tcPr>
            <w:tcW w:w="700" w:type="dxa"/>
            <w:vAlign w:val="bottom"/>
            <w:gridSpan w:val="11"/>
          </w:tcPr>
          <w:p>
            <w:pPr>
              <w:spacing w:after="0"/>
              <w:rPr>
                <w:sz w:val="20"/>
                <w:szCs w:val="20"/>
                <w:color w:val="auto"/>
              </w:rPr>
            </w:pPr>
          </w:p>
        </w:tc>
      </w:tr>
      <w:tr>
        <w:trPr>
          <w:trHeight w:val="283"/>
        </w:trPr>
        <w:tc>
          <w:tcPr>
            <w:tcW w:w="1060" w:type="dxa"/>
            <w:vAlign w:val="bottom"/>
          </w:tcPr>
          <w:p>
            <w:pPr>
              <w:jc w:val="center"/>
              <w:ind w:right="530"/>
              <w:spacing w:after="0"/>
              <w:rPr>
                <w:sz w:val="20"/>
                <w:szCs w:val="20"/>
                <w:color w:val="auto"/>
              </w:rPr>
            </w:pPr>
            <w:r>
              <w:rPr>
                <w:rFonts w:ascii="Arial" w:cs="Arial" w:eastAsia="Arial" w:hAnsi="Arial"/>
                <w:sz w:val="18"/>
                <w:szCs w:val="18"/>
                <w:color w:val="auto"/>
                <w:w w:val="87"/>
              </w:rPr>
              <w:t>4.a.2†</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Supplemental Agreement dated September 30, 2018 to the Agreement for Software and Professional Services effective February 28,</w:t>
              </w:r>
            </w:hyperlink>
          </w:p>
        </w:tc>
        <w:tc>
          <w:tcPr>
            <w:tcW w:w="38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2017 that is filed as Exhibit 4.a.1 hereto (incorporated by reference to Exhibit 4.a.2. to Amdocs’ Annual Report on Form 20-F, filed</w:t>
              </w:r>
            </w:hyperlink>
          </w:p>
        </w:tc>
        <w:tc>
          <w:tcPr>
            <w:tcW w:w="44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December 10, 2018)</w:t>
              </w:r>
            </w:hyperlink>
          </w:p>
        </w:tc>
        <w:tc>
          <w:tcPr>
            <w:tcW w:w="8440" w:type="dxa"/>
            <w:vAlign w:val="bottom"/>
            <w:gridSpan w:val="19"/>
          </w:tcPr>
          <w:p>
            <w:pPr>
              <w:spacing w:after="0"/>
              <w:rPr>
                <w:sz w:val="17"/>
                <w:szCs w:val="17"/>
                <w:color w:val="auto"/>
              </w:rPr>
            </w:pPr>
          </w:p>
        </w:tc>
      </w:tr>
      <w:tr>
        <w:trPr>
          <w:trHeight w:val="304"/>
        </w:trPr>
        <w:tc>
          <w:tcPr>
            <w:tcW w:w="1060" w:type="dxa"/>
            <w:vAlign w:val="bottom"/>
          </w:tcPr>
          <w:p>
            <w:pPr>
              <w:jc w:val="center"/>
              <w:ind w:right="530"/>
              <w:spacing w:after="0"/>
              <w:rPr>
                <w:sz w:val="20"/>
                <w:szCs w:val="20"/>
                <w:color w:val="auto"/>
              </w:rPr>
            </w:pPr>
            <w:r>
              <w:rPr>
                <w:rFonts w:ascii="Arial" w:cs="Arial" w:eastAsia="Arial" w:hAnsi="Arial"/>
                <w:sz w:val="18"/>
                <w:szCs w:val="18"/>
                <w:color w:val="auto"/>
                <w:w w:val="87"/>
              </w:rPr>
              <w:t>4.a.3†</w:t>
            </w: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Assignment Agreement among Amdocs Inc., Amdocs Development Limited and AT&amp;T Services, Inc. under the Agreement for Software</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7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and Professional Services, effective October 1, 2018</w:t>
              </w:r>
            </w:hyperlink>
          </w:p>
        </w:tc>
        <w:tc>
          <w:tcPr>
            <w:tcW w:w="6140" w:type="dxa"/>
            <w:vAlign w:val="bottom"/>
            <w:gridSpan w:val="15"/>
          </w:tcPr>
          <w:p>
            <w:pPr>
              <w:spacing w:after="0"/>
              <w:rPr>
                <w:sz w:val="17"/>
                <w:szCs w:val="17"/>
                <w:color w:val="auto"/>
              </w:rPr>
            </w:pPr>
          </w:p>
        </w:tc>
      </w:tr>
      <w:tr>
        <w:trPr>
          <w:trHeight w:val="304"/>
        </w:trPr>
        <w:tc>
          <w:tcPr>
            <w:tcW w:w="1060" w:type="dxa"/>
            <w:vAlign w:val="bottom"/>
          </w:tcPr>
          <w:p>
            <w:pPr>
              <w:jc w:val="center"/>
              <w:ind w:right="530"/>
              <w:spacing w:after="0"/>
              <w:rPr>
                <w:sz w:val="20"/>
                <w:szCs w:val="20"/>
                <w:color w:val="auto"/>
              </w:rPr>
            </w:pPr>
            <w:r>
              <w:rPr>
                <w:rFonts w:ascii="Arial" w:cs="Arial" w:eastAsia="Arial" w:hAnsi="Arial"/>
                <w:sz w:val="18"/>
                <w:szCs w:val="18"/>
                <w:color w:val="auto"/>
                <w:w w:val="87"/>
              </w:rPr>
              <w:t>4.a.4†</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Amendment No. 1 to Master Services Agreement between Amdocs Development Limited and AT&amp;T Services, Inc. for Software and</w:t>
              </w:r>
            </w:hyperlink>
          </w:p>
        </w:tc>
        <w:tc>
          <w:tcPr>
            <w:tcW w:w="34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Professional Services, effective November 8, 2018 (incorporated by reference to Exhibit 4.a.3 to Amdocs’ Annual Report on Form 20-F,</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filed December 19, 2019)</w:t>
              </w:r>
            </w:hyperlink>
          </w:p>
        </w:tc>
        <w:tc>
          <w:tcPr>
            <w:tcW w:w="8060" w:type="dxa"/>
            <w:vAlign w:val="bottom"/>
            <w:gridSpan w:val="18"/>
          </w:tcPr>
          <w:p>
            <w:pPr>
              <w:spacing w:after="0"/>
              <w:rPr>
                <w:sz w:val="17"/>
                <w:szCs w:val="17"/>
                <w:color w:val="auto"/>
              </w:rPr>
            </w:pPr>
          </w:p>
        </w:tc>
      </w:tr>
      <w:tr>
        <w:trPr>
          <w:trHeight w:val="304"/>
        </w:trPr>
        <w:tc>
          <w:tcPr>
            <w:tcW w:w="1060" w:type="dxa"/>
            <w:vAlign w:val="bottom"/>
          </w:tcPr>
          <w:p>
            <w:pPr>
              <w:jc w:val="center"/>
              <w:ind w:right="530"/>
              <w:spacing w:after="0"/>
              <w:rPr>
                <w:sz w:val="20"/>
                <w:szCs w:val="20"/>
                <w:color w:val="auto"/>
              </w:rPr>
            </w:pPr>
            <w:r>
              <w:rPr>
                <w:rFonts w:ascii="Arial" w:cs="Arial" w:eastAsia="Arial" w:hAnsi="Arial"/>
                <w:sz w:val="18"/>
                <w:szCs w:val="18"/>
                <w:color w:val="auto"/>
                <w:w w:val="87"/>
              </w:rPr>
              <w:t>4.a.5†</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Amendment No. 2 to Master Services Agreement between Amdocs Development Limited and AT&amp;T Services, Inc. for Software and</w:t>
              </w:r>
            </w:hyperlink>
          </w:p>
        </w:tc>
        <w:tc>
          <w:tcPr>
            <w:tcW w:w="34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Professional Services, effective December 27, 2018 (incorporated by reference to Exhibit 4.a.4 to Amdocs’ Annual Report on Form 20-F,</w:t>
              </w:r>
            </w:hyperlink>
          </w:p>
        </w:tc>
      </w:tr>
      <w:tr>
        <w:trPr>
          <w:trHeight w:val="196"/>
        </w:trPr>
        <w:tc>
          <w:tcPr>
            <w:tcW w:w="106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filed December 19, 2019)</w:t>
              </w:r>
            </w:hyperlink>
          </w:p>
        </w:tc>
        <w:tc>
          <w:tcPr>
            <w:tcW w:w="804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60" w:type="dxa"/>
            <w:vAlign w:val="bottom"/>
          </w:tcPr>
          <w:p>
            <w:pPr>
              <w:ind w:left="140"/>
              <w:spacing w:after="0"/>
              <w:rPr>
                <w:sz w:val="20"/>
                <w:szCs w:val="20"/>
                <w:color w:val="auto"/>
              </w:rPr>
            </w:pPr>
            <w:r>
              <w:rPr>
                <w:rFonts w:ascii="Arial" w:cs="Arial" w:eastAsia="Arial" w:hAnsi="Arial"/>
                <w:sz w:val="18"/>
                <w:szCs w:val="18"/>
                <w:color w:val="auto"/>
              </w:rPr>
              <w:t>4.b</w:t>
            </w:r>
          </w:p>
        </w:tc>
        <w:tc>
          <w:tcPr>
            <w:tcW w:w="9920" w:type="dxa"/>
            <w:vAlign w:val="bottom"/>
            <w:gridSpan w:val="20"/>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Amdocs Limited 1998 Stock Option and Incentive Plan, as amended (incorporated by reference to Exhibit 99.1 to Amdocs’ Registration</w:t>
              </w:r>
            </w:hyperlink>
          </w:p>
        </w:tc>
      </w:tr>
      <w:tr>
        <w:trPr>
          <w:trHeight w:val="196"/>
        </w:trPr>
        <w:tc>
          <w:tcPr>
            <w:tcW w:w="106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Statement on Form S-8, filed on February 12, 2018)</w:t>
              </w:r>
            </w:hyperlink>
          </w:p>
        </w:tc>
        <w:tc>
          <w:tcPr>
            <w:tcW w:w="6060" w:type="dxa"/>
            <w:vAlign w:val="bottom"/>
            <w:tcBorders>
              <w:top w:val="single" w:sz="8" w:color="0000EE"/>
            </w:tcBorders>
            <w:gridSpan w:val="1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1060" w:type="dxa"/>
            <w:vAlign w:val="bottom"/>
          </w:tcPr>
          <w:p>
            <w:pPr>
              <w:jc w:val="center"/>
              <w:ind w:right="470"/>
              <w:spacing w:after="0"/>
              <w:rPr>
                <w:sz w:val="20"/>
                <w:szCs w:val="20"/>
                <w:color w:val="auto"/>
              </w:rPr>
            </w:pPr>
            <w:r>
              <w:rPr>
                <w:rFonts w:ascii="Arial" w:cs="Arial" w:eastAsia="Arial" w:hAnsi="Arial"/>
                <w:sz w:val="18"/>
                <w:szCs w:val="18"/>
                <w:color w:val="auto"/>
                <w:w w:val="91"/>
              </w:rPr>
              <w:t>4.c</w:t>
            </w:r>
          </w:p>
        </w:tc>
        <w:tc>
          <w:tcPr>
            <w:tcW w:w="9920" w:type="dxa"/>
            <w:vAlign w:val="bottom"/>
            <w:gridSpan w:val="20"/>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Amended and Restated Credit Agreement, dated as of December 11, 2017, among Amdocs Limited, certain of its subsidiaries, the</w:t>
              </w:r>
            </w:hyperlink>
          </w:p>
        </w:tc>
      </w:tr>
      <w:tr>
        <w:trPr>
          <w:trHeight w:val="20"/>
        </w:trPr>
        <w:tc>
          <w:tcPr>
            <w:tcW w:w="106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5680" w:type="dxa"/>
            <w:vAlign w:val="bottom"/>
            <w:gridSpan w:val="7"/>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lenders from time to time party thereto, JPMorgan Chase Bank, N.A., as administrative agent, J.P. Morgan Europe Limited, as London</w:t>
              </w:r>
            </w:hyperlink>
          </w:p>
        </w:tc>
      </w:tr>
      <w:tr>
        <w:trPr>
          <w:trHeight w:val="20"/>
        </w:trPr>
        <w:tc>
          <w:tcPr>
            <w:tcW w:w="106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6000" w:type="dxa"/>
            <w:vAlign w:val="bottom"/>
            <w:gridSpan w:val="11"/>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9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agent, and JPMorgan Chase Bank, N.A., Toronto branch, as Canadian agent (incorporated by reference to Exhibit 4.d to Amdocs’ Annual</w:t>
              </w:r>
            </w:hyperlink>
          </w:p>
        </w:tc>
      </w:tr>
      <w:tr>
        <w:trPr>
          <w:trHeight w:val="196"/>
        </w:trPr>
        <w:tc>
          <w:tcPr>
            <w:tcW w:w="1060" w:type="dxa"/>
            <w:vAlign w:val="bottom"/>
          </w:tcPr>
          <w:p>
            <w:pPr>
              <w:spacing w:after="0"/>
              <w:rPr>
                <w:sz w:val="17"/>
                <w:szCs w:val="17"/>
                <w:color w:val="auto"/>
              </w:rPr>
            </w:pPr>
          </w:p>
        </w:tc>
        <w:tc>
          <w:tcPr>
            <w:tcW w:w="36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Report on Form 20-F, filed on December 11, 2017)</w:t>
              </w:r>
            </w:hyperlink>
          </w:p>
        </w:tc>
        <w:tc>
          <w:tcPr>
            <w:tcW w:w="6240" w:type="dxa"/>
            <w:vAlign w:val="bottom"/>
            <w:gridSpan w:val="17"/>
          </w:tcPr>
          <w:p>
            <w:pPr>
              <w:spacing w:after="0"/>
              <w:rPr>
                <w:sz w:val="17"/>
                <w:szCs w:val="17"/>
                <w:color w:val="auto"/>
              </w:rPr>
            </w:pPr>
          </w:p>
        </w:tc>
      </w:tr>
    </w:tbl>
    <w:p>
      <w:pPr>
        <w:spacing w:after="0" w:line="121" w:lineRule="exact"/>
        <w:rPr>
          <w:sz w:val="20"/>
          <w:szCs w:val="20"/>
          <w:color w:val="auto"/>
        </w:rPr>
      </w:pPr>
    </w:p>
    <w:p>
      <w:pPr>
        <w:ind w:left="1220" w:hanging="879"/>
        <w:spacing w:after="0"/>
        <w:tabs>
          <w:tab w:leader="none" w:pos="1220" w:val="left"/>
        </w:tabs>
        <w:numPr>
          <w:ilvl w:val="0"/>
          <w:numId w:val="40"/>
        </w:numPr>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Subsidiaries of Amdocs Limited</w:t>
        </w:r>
      </w:hyperlink>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12.1</w:t>
            </w:r>
          </w:p>
        </w:tc>
        <w:tc>
          <w:tcPr>
            <w:tcW w:w="5960" w:type="dxa"/>
            <w:vAlign w:val="bottom"/>
          </w:tcPr>
          <w:p>
            <w:pPr>
              <w:ind w:left="340"/>
              <w:spacing w:after="0"/>
              <w:rPr>
                <w:rFonts w:ascii="Arial" w:cs="Arial" w:eastAsia="Arial" w:hAnsi="Arial"/>
                <w:sz w:val="18"/>
                <w:szCs w:val="18"/>
                <w:u w:val="single" w:color="auto"/>
                <w:color w:val="0000EE"/>
                <w:w w:val="92"/>
              </w:rPr>
            </w:pPr>
            <w:hyperlink w:anchor="page137">
              <w:r>
                <w:rPr>
                  <w:rFonts w:ascii="Arial" w:cs="Arial" w:eastAsia="Arial" w:hAnsi="Arial"/>
                  <w:sz w:val="18"/>
                  <w:szCs w:val="18"/>
                  <w:u w:val="single" w:color="auto"/>
                  <w:color w:val="0000EE"/>
                  <w:w w:val="92"/>
                </w:rPr>
                <w:t>Certification of Chief Executive Officer pursuant to Rule 13a-14(a)/15d-14(a)</w:t>
              </w:r>
            </w:hyperlink>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12.2</w:t>
            </w:r>
          </w:p>
        </w:tc>
        <w:tc>
          <w:tcPr>
            <w:tcW w:w="5960" w:type="dxa"/>
            <w:vAlign w:val="bottom"/>
          </w:tcPr>
          <w:p>
            <w:pPr>
              <w:ind w:left="340"/>
              <w:spacing w:after="0"/>
              <w:rPr>
                <w:rFonts w:ascii="Arial" w:cs="Arial" w:eastAsia="Arial" w:hAnsi="Arial"/>
                <w:sz w:val="18"/>
                <w:szCs w:val="18"/>
                <w:u w:val="single" w:color="auto"/>
                <w:color w:val="0000EE"/>
                <w:w w:val="93"/>
              </w:rPr>
            </w:pPr>
            <w:hyperlink w:anchor="page138">
              <w:r>
                <w:rPr>
                  <w:rFonts w:ascii="Arial" w:cs="Arial" w:eastAsia="Arial" w:hAnsi="Arial"/>
                  <w:sz w:val="18"/>
                  <w:szCs w:val="18"/>
                  <w:u w:val="single" w:color="auto"/>
                  <w:color w:val="0000EE"/>
                  <w:w w:val="93"/>
                </w:rPr>
                <w:t>Certification of Chief Financial Officer pursuant to Rule 13a-14(a)/15d-14(a)</w:t>
              </w:r>
            </w:hyperlink>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13.1</w:t>
            </w:r>
          </w:p>
        </w:tc>
        <w:tc>
          <w:tcPr>
            <w:tcW w:w="5960" w:type="dxa"/>
            <w:vAlign w:val="bottom"/>
          </w:tcPr>
          <w:p>
            <w:pPr>
              <w:ind w:left="34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Certification of Chief Executive Officer pursuant to 18 U.S.C. 1350</w:t>
              </w:r>
            </w:hyperlink>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13.2</w:t>
            </w:r>
          </w:p>
        </w:tc>
        <w:tc>
          <w:tcPr>
            <w:tcW w:w="5960" w:type="dxa"/>
            <w:vAlign w:val="bottom"/>
          </w:tcPr>
          <w:p>
            <w:pPr>
              <w:ind w:left="3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Certification of Chief Financial Officer pursuant to 18 U.S.C. 1350</w:t>
              </w:r>
            </w:hyperlink>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14.1</w:t>
            </w:r>
          </w:p>
        </w:tc>
        <w:tc>
          <w:tcPr>
            <w:tcW w:w="5960" w:type="dxa"/>
            <w:vAlign w:val="bottom"/>
          </w:tcPr>
          <w:p>
            <w:pPr>
              <w:ind w:left="34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Consent of Ernst &amp; Young LLP</w:t>
              </w:r>
            </w:hyperlink>
          </w:p>
        </w:tc>
      </w:tr>
      <w:tr>
        <w:trPr>
          <w:trHeight w:val="365"/>
        </w:trPr>
        <w:tc>
          <w:tcPr>
            <w:tcW w:w="680" w:type="dxa"/>
            <w:vAlign w:val="bottom"/>
          </w:tcPr>
          <w:p>
            <w:pPr>
              <w:spacing w:after="0"/>
              <w:rPr>
                <w:sz w:val="24"/>
                <w:szCs w:val="24"/>
                <w:color w:val="auto"/>
              </w:rPr>
            </w:pPr>
          </w:p>
        </w:tc>
        <w:tc>
          <w:tcPr>
            <w:tcW w:w="5960" w:type="dxa"/>
            <w:vAlign w:val="bottom"/>
          </w:tcPr>
          <w:p>
            <w:pPr>
              <w:ind w:left="466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140"/>
          </w:cols>
          <w:pgMar w:left="320" w:top="486"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160" w:type="dxa"/>
            <w:vAlign w:val="bottom"/>
            <w:vMerge w:val="restart"/>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160" w:type="dxa"/>
            <w:vAlign w:val="bottom"/>
            <w:vMerge w:val="continue"/>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gridSpan w:val="2"/>
          </w:tcPr>
          <w:p>
            <w:pPr>
              <w:spacing w:after="0"/>
              <w:rPr>
                <w:sz w:val="20"/>
                <w:szCs w:val="20"/>
                <w:color w:val="auto"/>
              </w:rPr>
            </w:pPr>
            <w:r>
              <w:rPr>
                <w:rFonts w:ascii="Arial" w:cs="Arial" w:eastAsia="Arial" w:hAnsi="Arial"/>
                <w:sz w:val="18"/>
                <w:szCs w:val="18"/>
                <w:color w:val="auto"/>
              </w:rPr>
              <w:t>100.1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6"/>
              </w:rPr>
              <w:t>The following financial information from Amdocs Limited’s Annual Report on Form 20-F for the year ended September 30,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as of September 30, 2020 and 2019,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7"/>
              </w:rPr>
              <w:t>Consolidated Statements of Income for the years ended September 30, 2020, 2019 and 2018, (iii) Consolidated Statements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0"/>
              </w:rPr>
              <w:t>Comprehensive Income for the years ended September 30, 2020, 2019 and 2018, (iv) Consolidated Statements of Changes in Equity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6"/>
              </w:rPr>
              <w:t>the fiscal years ended September 30, 2020, 2019 and 2018, (v) the Consolidated Statements of Cash Flows for the years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September 30, 2020, 2019 and 2018, and (vi) Notes to Consolidated Financial Statements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right="160" w:hanging="224"/>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86"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Secretary and Authorized Signatory</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December 14,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360"/>
          </w:cols>
          <w:pgMar w:left="320" w:top="486" w:right="12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Management’s Report on Internal Control Over Financial Reporting</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Reports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Balance Sheets as of September 30,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Income for the fiscal years ended September 30,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Statements of Comprehensive Income for the fiscal years ended September 30,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Changes in Equity for the fiscal years ended September 30,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Consolidated Statements of Cash Flows for the fiscal years ended September 30,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12"/>
        </w:trPr>
        <w:tc>
          <w:tcPr>
            <w:tcW w:w="10560" w:type="dxa"/>
            <w:vAlign w:val="bottom"/>
          </w:tcPr>
          <w:p>
            <w:pPr>
              <w:ind w:left="3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Notes to the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220"/>
        </w:trPr>
        <w:tc>
          <w:tcPr>
            <w:tcW w:w="10560" w:type="dxa"/>
            <w:vAlign w:val="bottom"/>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36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Valuation and Qualifying Accounts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364"/>
        </w:trPr>
        <w:tc>
          <w:tcPr>
            <w:tcW w:w="10560" w:type="dxa"/>
            <w:vAlign w:val="bottom"/>
          </w:tcPr>
          <w:p>
            <w:pPr>
              <w:ind w:left="5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080" w:right="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2020. In making this assessment, the Company’s management used the criteria set forth by the Committee of Sponsoring Organizations of the Treadway Commission (2013 framework) in Internal Control-Integrated Framework.</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Based on its assessment, management concluded that, as of September 30, 2020, the Company’s internal control over financial reporting is effective based on those criteria.</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sheets of Amdocs Limited (the “Company”) as of September 30, 2020 and 2019, the related consolidated statements of income, comprehensive income, changes in equity and cash flows for each of the three years in the period ended September 30, 2020,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2020 and 2019, and the results of its operations and its cash flows for each of the three years in the period ended September 30, 2020, in conformity with U.S. generally accepted accounting principles.</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2020, based on criteria established in Internal Control-Integrated Framework issued by the Committee of Sponsoring Organizations of the Treadway Commission (2013 framework), and our report dated December 14, 2020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3"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Revenue recognition for projects</w:t>
      </w:r>
    </w:p>
    <w:p>
      <w:pPr>
        <w:spacing w:after="0" w:line="117" w:lineRule="exact"/>
        <w:rPr>
          <w:sz w:val="20"/>
          <w:szCs w:val="20"/>
          <w:color w:val="auto"/>
        </w:rPr>
      </w:pPr>
    </w:p>
    <w:p>
      <w:pPr>
        <w:ind w:left="2220" w:right="700" w:hanging="2105"/>
        <w:spacing w:after="0" w:line="277" w:lineRule="auto"/>
        <w:tabs>
          <w:tab w:leader="none" w:pos="220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2 to the consolidated financial statements, the Company’s software solutions usually require significant customization, modification, implementation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8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20" w:right="500"/>
        <w:spacing w:after="0" w:line="277" w:lineRule="auto"/>
        <w:rPr>
          <w:sz w:val="20"/>
          <w:szCs w:val="20"/>
          <w:color w:val="auto"/>
        </w:rPr>
      </w:pPr>
      <w:r>
        <w:rPr>
          <w:rFonts w:ascii="Arial" w:cs="Arial" w:eastAsia="Arial" w:hAnsi="Arial"/>
          <w:sz w:val="18"/>
          <w:szCs w:val="18"/>
          <w:color w:val="auto"/>
        </w:rPr>
        <w:t>integration. As a result, a significant portion of the Company’s project revenue is recognized over time, based on the percentage that incurred labor effort to date bears to total projected labor effort.</w:t>
      </w:r>
    </w:p>
    <w:p>
      <w:pPr>
        <w:spacing w:after="0" w:line="197" w:lineRule="exact"/>
        <w:rPr>
          <w:sz w:val="20"/>
          <w:szCs w:val="20"/>
          <w:color w:val="auto"/>
        </w:rPr>
      </w:pPr>
    </w:p>
    <w:p>
      <w:pPr>
        <w:ind w:left="2220" w:right="20"/>
        <w:spacing w:after="0" w:line="275" w:lineRule="auto"/>
        <w:rPr>
          <w:sz w:val="20"/>
          <w:szCs w:val="20"/>
          <w:color w:val="auto"/>
        </w:rPr>
      </w:pPr>
      <w:r>
        <w:rPr>
          <w:rFonts w:ascii="Arial" w:cs="Arial" w:eastAsia="Arial" w:hAnsi="Arial"/>
          <w:sz w:val="17"/>
          <w:szCs w:val="17"/>
          <w:color w:val="auto"/>
        </w:rPr>
        <w:t>Auditing the recognition of the Company’s project revenue was especially subjective and complex because of the significant estimation required by management to determine the total projected labor effort to complete a project. Determining the estimate of labor effort requires the knowledge of project-specific details, including the specific terms and conditions of the contract, remaining performance obligations, changes to the project schedule, and complexity of the project. Changes in this estimate can have a material effect on the timing of revenue recognition.</w:t>
      </w:r>
    </w:p>
    <w:p>
      <w:pPr>
        <w:spacing w:after="0" w:line="190"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projected</w:t>
      </w:r>
    </w:p>
    <w:p>
      <w:pPr>
        <w:spacing w:after="0" w:line="23" w:lineRule="exact"/>
        <w:rPr>
          <w:sz w:val="20"/>
          <w:szCs w:val="20"/>
          <w:color w:val="auto"/>
        </w:rPr>
      </w:pPr>
    </w:p>
    <w:p>
      <w:pPr>
        <w:ind w:left="2220" w:right="40" w:hanging="2105"/>
        <w:spacing w:after="0" w:line="295" w:lineRule="auto"/>
        <w:tabs>
          <w:tab w:leader="none" w:pos="220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labor effort estimation process. For example, for a sample of projects, we tested controls over management’s review of the initial estimate of total projected labor effort to complete a project, as well as the ongoing evaluation of those estimates through the life of the project. Additionally, for a sample of completed projects, we tested the retrospective review controls performed by management to assess the reasonableness of the estimated labor effort throughout the life of the project.</w:t>
      </w:r>
    </w:p>
    <w:p>
      <w:pPr>
        <w:spacing w:after="0" w:line="188" w:lineRule="exact"/>
        <w:rPr>
          <w:sz w:val="20"/>
          <w:szCs w:val="20"/>
          <w:color w:val="auto"/>
        </w:rPr>
      </w:pPr>
    </w:p>
    <w:p>
      <w:pPr>
        <w:ind w:left="2220"/>
        <w:spacing w:after="0" w:line="289" w:lineRule="auto"/>
        <w:rPr>
          <w:sz w:val="20"/>
          <w:szCs w:val="20"/>
          <w:color w:val="auto"/>
        </w:rPr>
      </w:pPr>
      <w:r>
        <w:rPr>
          <w:rFonts w:ascii="Arial" w:cs="Arial" w:eastAsia="Arial" w:hAnsi="Arial"/>
          <w:sz w:val="16"/>
          <w:szCs w:val="16"/>
          <w:color w:val="auto"/>
        </w:rPr>
        <w:t>Our audit procedures included, among others, evaluating the significant assumptions and the accuracy and completeness of the underlying data used in management’s estimate. For example, for a sample of contracts, we tested management’s estimate of total projected labor effort through a combination of analytical procedures, such as comparison of the estimated labor effort period over period and inspection of contracts to understand the specific terms and conditions as well as the remaining obligations in the contract. For a sample of projects, we also met with various executives throughout the organization, including project managers, to obtain an understanding of project status and other factors considered in developing the estimate of projected labor effort including project challenges, completed milestones, customer change orders and delays. In addition, we performed a retrospective review of actual labor effort incurred compared to previously estimated projected labor effort to evaluate management’s historical ability to accurately estimate projected labor effort.</w:t>
      </w:r>
    </w:p>
    <w:p>
      <w:pPr>
        <w:spacing w:after="0" w:line="288"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left="2220" w:hanging="2105"/>
        <w:spacing w:after="0" w:line="275" w:lineRule="auto"/>
        <w:tabs>
          <w:tab w:leader="none" w:pos="220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As discussed in Notes 2 and 11 to the consolidated financial statements, the Company operates in a multinational tax environment and is subject to tax treaty arrangements and transfer pricing guidelines for intercompany transactions. The Company uses significant judgment to (1) determine whether, based on the technical merits, a tax position is more likely than not to be sustained and (2) measure the amount of tax benefit that qualifies for recognition. As of September 30, 2020, the total amount of unrecognized tax benefits for uncertain tax positions was $168.2 million.</w:t>
      </w:r>
    </w:p>
    <w:p>
      <w:pPr>
        <w:spacing w:after="0" w:line="203" w:lineRule="exact"/>
        <w:rPr>
          <w:sz w:val="20"/>
          <w:szCs w:val="20"/>
          <w:color w:val="auto"/>
        </w:rPr>
      </w:pPr>
    </w:p>
    <w:p>
      <w:pPr>
        <w:ind w:left="2220" w:right="40"/>
        <w:spacing w:after="0" w:line="293" w:lineRule="auto"/>
        <w:rPr>
          <w:sz w:val="20"/>
          <w:szCs w:val="20"/>
          <w:color w:val="auto"/>
        </w:rPr>
      </w:pPr>
      <w:r>
        <w:rPr>
          <w:rFonts w:ascii="Arial" w:cs="Arial" w:eastAsia="Arial" w:hAnsi="Arial"/>
          <w:sz w:val="16"/>
          <w:szCs w:val="16"/>
          <w:color w:val="auto"/>
        </w:rPr>
        <w:t>Auditing management’s analysis of the Company’s uncertain tax positions was especially subjective and complex due to the significant judgments made by management to determine the provisions for tax uncertainties. These provisions are based on interpretations of complex tax laws and legal rulings across various jurisdictions in which the Company operates and the determination of arm’s length pricing for certain intercompany transactions. The assumptions underlying the provisions for uncertain tax positions include the potential tax exposure resulting from management’s interpretations and the determination of the cumulative probability that the uncertain tax position will be upheld upon regulatory examination.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00"/>
          </w:cols>
          <w:pgMar w:left="320" w:top="486"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220" w:right="180" w:hanging="2105"/>
        <w:spacing w:after="0" w:line="277" w:lineRule="auto"/>
        <w:tabs>
          <w:tab w:leader="none" w:pos="220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7"/>
          <w:szCs w:val="17"/>
          <w:color w:val="auto"/>
        </w:rPr>
        <w:t>process to assess and review their tax positions. For example, we tested the controls over management’s review of assumptions used in the estimation calculation, including the review over existing and potential tax controversies and tax audit results, and the computation of the impact to uncertain tax positions and tax reserves.</w:t>
      </w:r>
    </w:p>
    <w:p>
      <w:pPr>
        <w:spacing w:after="0" w:line="200" w:lineRule="exact"/>
        <w:rPr>
          <w:sz w:val="20"/>
          <w:szCs w:val="20"/>
          <w:color w:val="auto"/>
        </w:rPr>
      </w:pPr>
    </w:p>
    <w:p>
      <w:pPr>
        <w:ind w:left="2220"/>
        <w:spacing w:after="0" w:line="288" w:lineRule="auto"/>
        <w:rPr>
          <w:sz w:val="20"/>
          <w:szCs w:val="20"/>
          <w:color w:val="auto"/>
        </w:rPr>
      </w:pPr>
      <w:r>
        <w:rPr>
          <w:rFonts w:ascii="Arial" w:cs="Arial" w:eastAsia="Arial" w:hAnsi="Arial"/>
          <w:sz w:val="16"/>
          <w:szCs w:val="16"/>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income tax opinions. Our audit procedures also included, among others, evaluating the assumptions management used to develop its uncertain tax positions and related unrecognized income tax benefit amounts by jurisdiction and testing the completeness and accuracy of the underlying data used by management to calculate the uncertain tax positions. For certain tax positions related to intercompany transactions, we assessed the assumptions and pricing method used in determining arm’s length prices and the documentation to support the pricing. We also evaluated the adequacy of the Company’s financial statement disclosures related to these tax matters.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1988.</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14,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We have audited Amdocs Limited’s internal control over financial reporting as of September 30, 2020, based on criteria established in Internal Control —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2020, based on the COSO criteria.</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September 30, 2020 and 2019, the related consolidated statements of income, comprehensive income, changes in equity and cash flows for each of the three years in the period ended September 30, 2020, and the related notes and the financial statement schedule listed in the Index at Item 18 of Part III and our report dated December 14, 2020 expressed an unqualified opinion thereon.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8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14, 2020</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820"/>
          </w:cols>
          <w:pgMar w:left="320" w:top="486" w:right="7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5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983,188</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471,632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861,033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987,858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229,604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216,084</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2,074,577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1,675,574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607,951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525,314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295,494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2,578,645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2,462,835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296,334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205,162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488,620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423,941</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6,341,621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5,292,826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430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110,142</w:t>
            </w: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176,508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593,608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647,657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Accrued personnel costs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226,509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265,583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Short-term financing arrangements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59,100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126,841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10"/>
        </w:trPr>
        <w:tc>
          <w:tcPr>
            <w:tcW w:w="86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1,216,200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207,508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230,076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644,023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327,680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334,922</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2,676,466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1,750,360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 Authorized 700,000 shares; £0.01 par value; 279,578 and 277,148 issued and 131,535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134,773 outstanding, in 2020 and 2019, respectively</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4,483</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3,807,915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3,667,662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stock, at cost — 148,043 and 142,375 ordinary shares in 2020 and 2019, respectively</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(5,543,321)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(5,182,409)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11,662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5,341,907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5,012,799</w:t>
            </w:r>
          </w:p>
        </w:tc>
        <w:tc>
          <w:tcPr>
            <w:tcW w:w="0" w:type="dxa"/>
            <w:vAlign w:val="bottom"/>
          </w:tcPr>
          <w:p>
            <w:pPr>
              <w:spacing w:after="0"/>
              <w:rPr>
                <w:sz w:val="1"/>
                <w:szCs w:val="1"/>
                <w:color w:val="auto"/>
              </w:rPr>
            </w:pPr>
          </w:p>
        </w:tc>
      </w:tr>
      <w:tr>
        <w:trPr>
          <w:trHeight w:val="209"/>
        </w:trPr>
        <w:tc>
          <w:tcPr>
            <w:tcW w:w="86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3,622,646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3,499,957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3,665,155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3,542,466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6,341,621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5,292,826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4,169,039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4,086,669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3,974,837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2,755,563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2,653,172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2,595,276</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282,042</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273,936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276,615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458,539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492,457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481,093</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78,137</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97,358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108,489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Non-recurring charges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3,574,281</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3,516,923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3,546,530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594,758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569,746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428,307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583,322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421,541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479,446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354,396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w:t>
            </w:r>
          </w:p>
        </w:tc>
        <w:tc>
          <w:tcPr>
            <w:tcW w:w="3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share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3.47</w:t>
            </w:r>
          </w:p>
        </w:tc>
        <w:tc>
          <w:tcPr>
            <w:tcW w:w="320" w:type="dxa"/>
            <w:vAlign w:val="bottom"/>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11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09"/>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$497,840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$479,446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$354,396</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14,891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30,553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(51,116)</w:t>
            </w: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1,592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(1,182)</w:t>
            </w: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actuarial (loss) gain on defined benefit plan(3)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r>
      <w:tr>
        <w:trPr>
          <w:trHeight w:val="209"/>
        </w:trPr>
        <w:tc>
          <w:tcPr>
            <w:tcW w:w="82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14,209</w:t>
            </w: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80" w:type="dxa"/>
            <w:vAlign w:val="bottom"/>
          </w:tcPr>
          <w:p>
            <w:pPr>
              <w:spacing w:after="0"/>
              <w:rPr>
                <w:sz w:val="18"/>
                <w:szCs w:val="18"/>
                <w:color w:val="auto"/>
              </w:rPr>
            </w:pPr>
          </w:p>
        </w:tc>
      </w:tr>
      <w:tr>
        <w:trPr>
          <w:trHeight w:val="210"/>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512,049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509,630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302,875</w:t>
            </w: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of tax (expense) benefit of $(2,371), $(2,458) and $4,482 for the fiscal years ended September 30, 2020, 2019 and 2018, respectively.</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immaterial amount of tax benefit for the fiscal years ended September 30, 2020, 2019 and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(expense) benefit of $(11), $1,080 and $(254) for the fiscal years ended September 30, 2020, 2019 and 2018, respectively.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3"/>
              </w:rPr>
              <w:t>Accumulated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32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Ordinary Shares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Amdocs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60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Limited</w:t>
            </w:r>
          </w:p>
        </w:tc>
        <w:tc>
          <w:tcPr>
            <w:tcW w:w="120" w:type="dxa"/>
            <w:vAlign w:val="bottom"/>
          </w:tcPr>
          <w:p>
            <w:pPr>
              <w:spacing w:after="0"/>
              <w:rPr>
                <w:sz w:val="6"/>
                <w:szCs w:val="6"/>
                <w:color w:val="auto"/>
              </w:rPr>
            </w:pPr>
          </w:p>
        </w:tc>
        <w:tc>
          <w:tcPr>
            <w:tcW w:w="680" w:type="dxa"/>
            <w:vAlign w:val="bottom"/>
            <w:gridSpan w:val="2"/>
            <w:vMerge w:val="restart"/>
          </w:tcPr>
          <w:p>
            <w:pPr>
              <w:jc w:val="right"/>
              <w:ind w:right="360"/>
              <w:spacing w:after="0" w:line="135" w:lineRule="exact"/>
              <w:rPr>
                <w:sz w:val="20"/>
                <w:szCs w:val="20"/>
                <w:color w:val="auto"/>
              </w:rPr>
            </w:pPr>
            <w:r>
              <w:rPr>
                <w:rFonts w:ascii="Arial" w:cs="Arial" w:eastAsia="Arial" w:hAnsi="Arial"/>
                <w:sz w:val="13"/>
                <w:szCs w:val="13"/>
                <w:b w:val="1"/>
                <w:bCs w:val="1"/>
                <w:color w:val="auto"/>
              </w:rPr>
              <w:t>Non-</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1"/>
                <w:szCs w:val="11"/>
                <w:color w:val="auto"/>
              </w:rPr>
            </w:pP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Income</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8"/>
              </w:rPr>
              <w:t>Retained</w:t>
            </w:r>
          </w:p>
        </w:tc>
        <w:tc>
          <w:tcPr>
            <w:tcW w:w="9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Shareholders’</w:t>
            </w: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b w:val="1"/>
                <w:bCs w:val="1"/>
                <w:color w:val="auto"/>
                <w:w w:val="92"/>
              </w:rPr>
              <w:t>Shares</w:t>
            </w:r>
          </w:p>
        </w:tc>
        <w:tc>
          <w:tcPr>
            <w:tcW w:w="1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(Loss)(1)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Equity</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5"/>
              </w:rPr>
              <w:t>interests(2)</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2017</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144,391</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4,410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$3,458,887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$(4,365,124)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18,790</w:t>
            </w:r>
          </w:p>
        </w:tc>
        <w:tc>
          <w:tcPr>
            <w:tcW w:w="1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$4,457,107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3,574,070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$3,574,070</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Net income(2)</w:t>
            </w:r>
          </w:p>
        </w:tc>
        <w:tc>
          <w:tcPr>
            <w:tcW w:w="6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354,396</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354,396</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354,396</w:t>
            </w:r>
          </w:p>
        </w:tc>
        <w:tc>
          <w:tcPr>
            <w:tcW w:w="0" w:type="dxa"/>
            <w:vAlign w:val="bottom"/>
          </w:tcPr>
          <w:p>
            <w:pPr>
              <w:spacing w:after="0"/>
              <w:rPr>
                <w:sz w:val="1"/>
                <w:szCs w:val="1"/>
                <w:color w:val="auto"/>
              </w:rPr>
            </w:pPr>
          </w:p>
        </w:tc>
      </w:tr>
      <w:tr>
        <w:trPr>
          <w:trHeight w:val="162"/>
        </w:trPr>
        <w:tc>
          <w:tcPr>
            <w:tcW w:w="3780" w:type="dxa"/>
            <w:vAlign w:val="bottom"/>
            <w:gridSpan w:val="2"/>
          </w:tcPr>
          <w:p>
            <w:pPr>
              <w:ind w:left="260"/>
              <w:spacing w:after="0"/>
              <w:rPr>
                <w:sz w:val="20"/>
                <w:szCs w:val="20"/>
                <w:color w:val="auto"/>
              </w:rPr>
            </w:pPr>
            <w:r>
              <w:rPr>
                <w:rFonts w:ascii="Arial" w:cs="Arial" w:eastAsia="Arial" w:hAnsi="Arial"/>
                <w:sz w:val="13"/>
                <w:szCs w:val="13"/>
                <w:color w:val="auto"/>
              </w:rPr>
              <w:t>Other comprehensive loss</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(51,521)</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(51,521)</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(51,521)</w:t>
            </w:r>
          </w:p>
        </w:tc>
        <w:tc>
          <w:tcPr>
            <w:tcW w:w="0" w:type="dxa"/>
            <w:vAlign w:val="bottom"/>
          </w:tcPr>
          <w:p>
            <w:pPr>
              <w:spacing w:after="0"/>
              <w:rPr>
                <w:sz w:val="1"/>
                <w:szCs w:val="1"/>
                <w:color w:val="auto"/>
              </w:rPr>
            </w:pPr>
          </w:p>
        </w:tc>
      </w:tr>
      <w:tr>
        <w:trPr>
          <w:trHeight w:val="156"/>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302,875</w:t>
            </w: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302,875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tcPr>
          <w:p>
            <w:pPr>
              <w:jc w:val="right"/>
              <w:spacing w:after="0"/>
              <w:rPr>
                <w:sz w:val="20"/>
                <w:szCs w:val="20"/>
                <w:color w:val="auto"/>
              </w:rPr>
            </w:pPr>
            <w:r>
              <w:rPr>
                <w:rFonts w:ascii="Arial" w:cs="Arial" w:eastAsia="Arial" w:hAnsi="Arial"/>
                <w:sz w:val="13"/>
                <w:szCs w:val="13"/>
                <w:color w:val="auto"/>
              </w:rPr>
              <w:t>1,800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600" w:type="dxa"/>
            <w:vAlign w:val="bottom"/>
          </w:tcPr>
          <w:p>
            <w:pPr>
              <w:jc w:val="right"/>
              <w:spacing w:after="0"/>
              <w:rPr>
                <w:sz w:val="20"/>
                <w:szCs w:val="20"/>
                <w:color w:val="auto"/>
              </w:rPr>
            </w:pPr>
            <w:r>
              <w:rPr>
                <w:rFonts w:ascii="Arial" w:cs="Arial" w:eastAsia="Arial" w:hAnsi="Arial"/>
                <w:sz w:val="13"/>
                <w:szCs w:val="13"/>
                <w:color w:val="auto"/>
              </w:rPr>
              <w:t>81,262</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81,286</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81,286</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(6,337)</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(419,228)</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(419,228)</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(419,228)</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Cash dividends declared ($0.970 per ordinary share)</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(137,602)</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(137,602)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(137,602)</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323</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47,476</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47,476</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47,476</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Changes in Noncontrolling interests</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43,163</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43,163</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Balance as of September 30, 2018</w:t>
            </w:r>
          </w:p>
        </w:tc>
        <w:tc>
          <w:tcPr>
            <w:tcW w:w="500" w:type="dxa"/>
            <w:vAlign w:val="bottom"/>
          </w:tcPr>
          <w:p>
            <w:pPr>
              <w:jc w:val="right"/>
              <w:spacing w:after="0"/>
              <w:rPr>
                <w:sz w:val="20"/>
                <w:szCs w:val="20"/>
                <w:color w:val="auto"/>
              </w:rPr>
            </w:pPr>
            <w:r>
              <w:rPr>
                <w:rFonts w:ascii="Arial" w:cs="Arial" w:eastAsia="Arial" w:hAnsi="Arial"/>
                <w:sz w:val="13"/>
                <w:szCs w:val="13"/>
                <w:color w:val="auto"/>
              </w:rPr>
              <w:t>140,177</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4,436</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$3,587,625</w:t>
            </w: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$(4,784,352)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(32,731)</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$4,673,901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3,448,879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43,163</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$3,492,042</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effect adjustment(3)</w:t>
            </w:r>
          </w:p>
        </w:tc>
        <w:tc>
          <w:tcPr>
            <w:tcW w:w="6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10,434</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10,434</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10,434</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Net income(2)</w:t>
            </w:r>
          </w:p>
        </w:tc>
        <w:tc>
          <w:tcPr>
            <w:tcW w:w="6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479,446</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479,446</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479,446</w:t>
            </w:r>
          </w:p>
        </w:tc>
        <w:tc>
          <w:tcPr>
            <w:tcW w:w="0" w:type="dxa"/>
            <w:vAlign w:val="bottom"/>
          </w:tcPr>
          <w:p>
            <w:pPr>
              <w:spacing w:after="0"/>
              <w:rPr>
                <w:sz w:val="1"/>
                <w:szCs w:val="1"/>
                <w:color w:val="auto"/>
              </w:rPr>
            </w:pPr>
          </w:p>
        </w:tc>
      </w:tr>
      <w:tr>
        <w:trPr>
          <w:trHeight w:val="162"/>
        </w:trPr>
        <w:tc>
          <w:tcPr>
            <w:tcW w:w="3780" w:type="dxa"/>
            <w:vAlign w:val="bottom"/>
            <w:gridSpan w:val="2"/>
          </w:tcPr>
          <w:p>
            <w:pPr>
              <w:ind w:left="260"/>
              <w:spacing w:after="0"/>
              <w:rPr>
                <w:sz w:val="20"/>
                <w:szCs w:val="20"/>
                <w:color w:val="auto"/>
              </w:rPr>
            </w:pPr>
            <w:r>
              <w:rPr>
                <w:rFonts w:ascii="Arial" w:cs="Arial" w:eastAsia="Arial" w:hAnsi="Arial"/>
                <w:sz w:val="13"/>
                <w:szCs w:val="13"/>
                <w:color w:val="auto"/>
              </w:rPr>
              <w:t>Other comprehensive income</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30,184</w:t>
            </w:r>
          </w:p>
        </w:tc>
        <w:tc>
          <w:tcPr>
            <w:tcW w:w="1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30,184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509,630</w:t>
            </w: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509,630</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tcPr>
          <w:p>
            <w:pPr>
              <w:ind w:left="300"/>
              <w:spacing w:after="0"/>
              <w:rPr>
                <w:sz w:val="20"/>
                <w:szCs w:val="20"/>
                <w:color w:val="auto"/>
              </w:rPr>
            </w:pPr>
            <w:r>
              <w:rPr>
                <w:rFonts w:ascii="Arial" w:cs="Arial" w:eastAsia="Arial" w:hAnsi="Arial"/>
                <w:sz w:val="13"/>
                <w:szCs w:val="13"/>
                <w:color w:val="auto"/>
                <w:w w:val="82"/>
              </w:rPr>
              <w:t>874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11</w:t>
            </w:r>
          </w:p>
        </w:tc>
        <w:tc>
          <w:tcPr>
            <w:tcW w:w="600" w:type="dxa"/>
            <w:vAlign w:val="bottom"/>
          </w:tcPr>
          <w:p>
            <w:pPr>
              <w:jc w:val="right"/>
              <w:spacing w:after="0"/>
              <w:rPr>
                <w:sz w:val="20"/>
                <w:szCs w:val="20"/>
                <w:color w:val="auto"/>
              </w:rPr>
            </w:pPr>
            <w:r>
              <w:rPr>
                <w:rFonts w:ascii="Arial" w:cs="Arial" w:eastAsia="Arial" w:hAnsi="Arial"/>
                <w:sz w:val="13"/>
                <w:szCs w:val="13"/>
                <w:color w:val="auto"/>
              </w:rPr>
              <w:t>41,487</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41,498</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41,498</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(6,656)</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(398,057)</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(398,057)</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(398,057)</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Cash dividends declared ($1.105 per ordinary share)</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(150,982)</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(150,982)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(150,982)</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378</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38,550</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38,550</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38,550</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Noncontrolling interests</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Balance as of September 30, 2019</w:t>
            </w:r>
          </w:p>
        </w:tc>
        <w:tc>
          <w:tcPr>
            <w:tcW w:w="500" w:type="dxa"/>
            <w:vAlign w:val="bottom"/>
          </w:tcPr>
          <w:p>
            <w:pPr>
              <w:jc w:val="right"/>
              <w:spacing w:after="0"/>
              <w:rPr>
                <w:sz w:val="20"/>
                <w:szCs w:val="20"/>
                <w:color w:val="auto"/>
              </w:rPr>
            </w:pPr>
            <w:r>
              <w:rPr>
                <w:rFonts w:ascii="Arial" w:cs="Arial" w:eastAsia="Arial" w:hAnsi="Arial"/>
                <w:sz w:val="13"/>
                <w:szCs w:val="13"/>
                <w:color w:val="auto"/>
              </w:rPr>
              <w:t>134,773</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4,452</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$3,667,662</w:t>
            </w: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$(5,182,409)</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(2,547)</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$5,012,799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3,499,957</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42,509</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$3,542,466</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ind w:left="260"/>
              <w:spacing w:after="0"/>
              <w:rPr>
                <w:sz w:val="20"/>
                <w:szCs w:val="20"/>
                <w:color w:val="auto"/>
              </w:rPr>
            </w:pPr>
            <w:r>
              <w:rPr>
                <w:rFonts w:ascii="Arial" w:cs="Arial" w:eastAsia="Arial" w:hAnsi="Arial"/>
                <w:sz w:val="13"/>
                <w:szCs w:val="13"/>
                <w:color w:val="auto"/>
              </w:rPr>
              <w:t>Net income(2)</w:t>
            </w: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497,840</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497,840</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497,840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Other comprehensive income</w:t>
            </w:r>
          </w:p>
        </w:tc>
        <w:tc>
          <w:tcPr>
            <w:tcW w:w="680" w:type="dxa"/>
            <w:vAlign w:val="bottom"/>
            <w:tcBorders>
              <w:bottom w:val="single" w:sz="8" w:color="CCEEFF"/>
              <w:righ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14,209</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14,209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14,209</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512,049</w:t>
            </w:r>
          </w:p>
        </w:tc>
        <w:tc>
          <w:tcPr>
            <w:tcW w:w="12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512,049</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97,819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97,843</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97,843</w:t>
            </w: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rPr>
                <w:sz w:val="20"/>
                <w:szCs w:val="20"/>
                <w:color w:val="auto"/>
              </w:rPr>
            </w:pPr>
            <w:r>
              <w:rPr>
                <w:rFonts w:ascii="Arial" w:cs="Arial" w:eastAsia="Arial" w:hAnsi="Arial"/>
                <w:sz w:val="13"/>
                <w:szCs w:val="13"/>
                <w:color w:val="auto"/>
              </w:rPr>
              <w:t>Repurchase of shares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(5,668)</w:t>
            </w:r>
          </w:p>
        </w:tc>
        <w:tc>
          <w:tcPr>
            <w:tcW w:w="10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(360,912)</w:t>
            </w: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(360,912)</w:t>
            </w:r>
          </w:p>
        </w:tc>
        <w:tc>
          <w:tcPr>
            <w:tcW w:w="1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(360,912)</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dividends declared ($1.2675 per ordinary share)</w:t>
            </w:r>
          </w:p>
        </w:tc>
        <w:tc>
          <w:tcPr>
            <w:tcW w:w="6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(168,732)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(168,732)</w:t>
            </w: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(168,732)</w:t>
            </w:r>
          </w:p>
        </w:tc>
        <w:tc>
          <w:tcPr>
            <w:tcW w:w="0" w:type="dxa"/>
            <w:vAlign w:val="bottom"/>
          </w:tcPr>
          <w:p>
            <w:pPr>
              <w:spacing w:after="0"/>
              <w:rPr>
                <w:sz w:val="1"/>
                <w:szCs w:val="1"/>
                <w:color w:val="auto"/>
              </w:rPr>
            </w:pPr>
          </w:p>
        </w:tc>
      </w:tr>
      <w:tr>
        <w:trPr>
          <w:trHeight w:val="195"/>
        </w:trPr>
        <w:tc>
          <w:tcPr>
            <w:tcW w:w="3780" w:type="dxa"/>
            <w:vAlign w:val="bottom"/>
            <w:gridSpan w:val="2"/>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tcPr>
          <w:p>
            <w:pPr>
              <w:ind w:left="300"/>
              <w:spacing w:after="0"/>
              <w:rPr>
                <w:sz w:val="20"/>
                <w:szCs w:val="20"/>
                <w:color w:val="auto"/>
              </w:rPr>
            </w:pPr>
            <w:r>
              <w:rPr>
                <w:rFonts w:ascii="Arial" w:cs="Arial" w:eastAsia="Arial" w:hAnsi="Arial"/>
                <w:sz w:val="13"/>
                <w:szCs w:val="13"/>
                <w:color w:val="auto"/>
                <w:w w:val="82"/>
              </w:rPr>
              <w:t>559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7</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42,434</w:t>
            </w: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42,434</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42,434</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Balance as of September 30, 2020</w:t>
            </w:r>
          </w:p>
        </w:tc>
        <w:tc>
          <w:tcPr>
            <w:tcW w:w="500" w:type="dxa"/>
            <w:vAlign w:val="bottom"/>
          </w:tcPr>
          <w:p>
            <w:pPr>
              <w:jc w:val="right"/>
              <w:spacing w:after="0"/>
              <w:rPr>
                <w:sz w:val="20"/>
                <w:szCs w:val="20"/>
                <w:color w:val="auto"/>
              </w:rPr>
            </w:pPr>
            <w:r>
              <w:rPr>
                <w:rFonts w:ascii="Arial" w:cs="Arial" w:eastAsia="Arial" w:hAnsi="Arial"/>
                <w:sz w:val="13"/>
                <w:szCs w:val="13"/>
                <w:color w:val="auto"/>
              </w:rPr>
              <w:t>131,535</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4,483</w:t>
            </w:r>
          </w:p>
        </w:tc>
        <w:tc>
          <w:tcPr>
            <w:tcW w:w="600" w:type="dxa"/>
            <w:vAlign w:val="bottom"/>
          </w:tcPr>
          <w:p>
            <w:pPr>
              <w:jc w:val="right"/>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3,807,915</w:t>
            </w:r>
          </w:p>
        </w:tc>
        <w:tc>
          <w:tcPr>
            <w:tcW w:w="1040" w:type="dxa"/>
            <w:vAlign w:val="bottom"/>
            <w:gridSpan w:val="3"/>
          </w:tcPr>
          <w:p>
            <w:pPr>
              <w:jc w:val="right"/>
              <w:ind w:right="14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(5,543,321)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11,662</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5,341,907</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3,622,646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42,509</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3,665,155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0" w:right="140" w:hanging="424"/>
        <w:spacing w:after="0" w:line="264"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September 30, 2020, 2019 and 2018, accumulated other comprehensive income (loss) is comprised of unrealized gain (loss) on derivatives, net of tax, of $18,836, $3,945 and $(26,608), unrealized loss on short-term interest-bearing investments, net of tax, of $(2), $0 and $(1,592) and unrealized loss on defined benefit plan, net of tax, of $(7,172), $(6,492) and $(4,531).</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fiscal years 2020, 2019 and 2018, all of the Company’s net income is attributable to Amdocs Limited as the net income attributable to the Non-controlling interests is negligible.</w:t>
      </w:r>
    </w:p>
    <w:p>
      <w:pPr>
        <w:spacing w:after="0" w:line="26" w:lineRule="exact"/>
        <w:rPr>
          <w:rFonts w:ascii="Arial" w:cs="Arial" w:eastAsia="Arial" w:hAnsi="Arial"/>
          <w:sz w:val="13"/>
          <w:szCs w:val="13"/>
          <w:color w:val="auto"/>
        </w:rPr>
      </w:pPr>
    </w:p>
    <w:p>
      <w:pPr>
        <w:ind w:left="540" w:right="400" w:hanging="424"/>
        <w:spacing w:after="0" w:line="28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6350</wp:posOffset>
            </wp:positionV>
            <wp:extent cx="1551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jc w:val="both"/>
        <w:ind w:left="8780"/>
        <w:spacing w:after="0"/>
        <w:tabs>
          <w:tab w:leader="none" w:pos="9660" w:val="left"/>
          <w:tab w:leader="none" w:pos="105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-3175</wp:posOffset>
            </wp:positionV>
            <wp:extent cx="1551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Net income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Reconciliation of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11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Depreciation and amortization</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Equity-based compensation expense</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Loss from short-term interest-bearing investments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changes in operating assets and liabilities, net of amounts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11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Accounts receivable, net</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Other noncurrent assets</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Lease assets and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Accounts payable, accrued expenses and accrued personnel</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Income taxes payable, net</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Net cash provided by operating activities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Purchase of property and equipment, net(1)</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Proceeds from sale of short-term interest-bearing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Purchase of short-term interest-bearing investments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cash paid for business and intangible assets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Other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b w:val="1"/>
          <w:bCs w:val="1"/>
          <w:color w:val="auto"/>
        </w:rPr>
        <w:t>Cash Flow from Financing Activities: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Borrowings under financing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Payments under financing arrangements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Proceeds from issuance of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Repurchase of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Proceeds from employee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Payments of dividends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Investment by noncontrolling interests, net(1)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Payment of contingent consideration from a business acquisition</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Excess tax benefit from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66" w:hanging="166"/>
        <w:spacing w:after="0"/>
        <w:tabs>
          <w:tab w:leader="none" w:pos="166" w:val="left"/>
        </w:tabs>
        <w:numPr>
          <w:ilvl w:val="0"/>
          <w:numId w:val="45"/>
        </w:numPr>
        <w:rPr>
          <w:rFonts w:ascii="Arial" w:cs="Arial" w:eastAsia="Arial" w:hAnsi="Arial"/>
          <w:sz w:val="14"/>
          <w:szCs w:val="14"/>
          <w:color w:val="auto"/>
        </w:rPr>
      </w:pPr>
      <w:r>
        <w:rPr>
          <w:rFonts w:ascii="Arial" w:cs="Arial" w:eastAsia="Arial" w:hAnsi="Arial"/>
          <w:sz w:val="14"/>
          <w:szCs w:val="14"/>
          <w:color w:val="auto"/>
        </w:rPr>
        <w:t>497,840</w:t>
      </w:r>
    </w:p>
    <w:p>
      <w:pPr>
        <w:spacing w:after="0" w:line="190" w:lineRule="exact"/>
        <w:rPr>
          <w:rFonts w:ascii="Arial" w:cs="Arial" w:eastAsia="Arial" w:hAnsi="Arial"/>
          <w:sz w:val="14"/>
          <w:szCs w:val="14"/>
          <w:color w:val="auto"/>
        </w:rPr>
      </w:pPr>
    </w:p>
    <w:p>
      <w:pPr>
        <w:ind w:left="166"/>
        <w:spacing w:after="0"/>
        <w:rPr>
          <w:rFonts w:ascii="Arial" w:cs="Arial" w:eastAsia="Arial" w:hAnsi="Arial"/>
          <w:sz w:val="14"/>
          <w:szCs w:val="14"/>
          <w:color w:val="auto"/>
        </w:rPr>
      </w:pPr>
      <w:r>
        <w:rPr>
          <w:rFonts w:ascii="Arial" w:cs="Arial" w:eastAsia="Arial" w:hAnsi="Arial"/>
          <w:sz w:val="14"/>
          <w:szCs w:val="14"/>
          <w:color w:val="auto"/>
        </w:rPr>
        <w:t>198,409</w:t>
      </w:r>
    </w:p>
    <w:p>
      <w:pPr>
        <w:spacing w:after="0" w:line="33" w:lineRule="exact"/>
        <w:rPr>
          <w:rFonts w:ascii="Arial" w:cs="Arial" w:eastAsia="Arial" w:hAnsi="Arial"/>
          <w:sz w:val="14"/>
          <w:szCs w:val="14"/>
          <w:color w:val="auto"/>
        </w:rPr>
      </w:pPr>
    </w:p>
    <w:p>
      <w:pPr>
        <w:ind w:left="426"/>
        <w:spacing w:after="0" w:line="234" w:lineRule="auto"/>
        <w:rPr>
          <w:rFonts w:ascii="Arial" w:cs="Arial" w:eastAsia="Arial" w:hAnsi="Arial"/>
          <w:sz w:val="14"/>
          <w:szCs w:val="14"/>
          <w:color w:val="auto"/>
        </w:rPr>
      </w:pPr>
      <w:r>
        <w:rPr>
          <w:rFonts w:ascii="Arial" w:cs="Arial" w:eastAsia="Arial" w:hAnsi="Arial"/>
          <w:sz w:val="15"/>
          <w:szCs w:val="15"/>
          <w:color w:val="auto"/>
        </w:rPr>
        <w:t>144</w:t>
      </w:r>
    </w:p>
    <w:p>
      <w:pPr>
        <w:ind w:left="246"/>
        <w:spacing w:after="0"/>
        <w:rPr>
          <w:rFonts w:ascii="Arial" w:cs="Arial" w:eastAsia="Arial" w:hAnsi="Arial"/>
          <w:sz w:val="14"/>
          <w:szCs w:val="14"/>
          <w:color w:val="auto"/>
        </w:rPr>
      </w:pPr>
      <w:r>
        <w:rPr>
          <w:rFonts w:ascii="Arial" w:cs="Arial" w:eastAsia="Arial" w:hAnsi="Arial"/>
          <w:sz w:val="15"/>
          <w:szCs w:val="15"/>
          <w:color w:val="auto"/>
        </w:rPr>
        <w:t>42,434</w:t>
      </w:r>
    </w:p>
    <w:p>
      <w:pPr>
        <w:spacing w:after="0" w:line="3" w:lineRule="exact"/>
        <w:rPr>
          <w:rFonts w:ascii="Arial" w:cs="Arial" w:eastAsia="Arial" w:hAnsi="Arial"/>
          <w:sz w:val="14"/>
          <w:szCs w:val="14"/>
          <w:color w:val="auto"/>
        </w:rPr>
      </w:pPr>
    </w:p>
    <w:p>
      <w:pPr>
        <w:ind w:left="246"/>
        <w:spacing w:after="0"/>
        <w:rPr>
          <w:rFonts w:ascii="Arial" w:cs="Arial" w:eastAsia="Arial" w:hAnsi="Arial"/>
          <w:sz w:val="14"/>
          <w:szCs w:val="14"/>
          <w:color w:val="auto"/>
        </w:rPr>
      </w:pPr>
      <w:r>
        <w:rPr>
          <w:rFonts w:ascii="Arial" w:cs="Arial" w:eastAsia="Arial" w:hAnsi="Arial"/>
          <w:sz w:val="15"/>
          <w:szCs w:val="15"/>
          <w:color w:val="auto"/>
        </w:rPr>
        <w:t>30,239</w:t>
      </w:r>
    </w:p>
    <w:p>
      <w:pPr>
        <w:spacing w:after="0" w:line="3" w:lineRule="exact"/>
        <w:rPr>
          <w:rFonts w:ascii="Arial" w:cs="Arial" w:eastAsia="Arial" w:hAnsi="Arial"/>
          <w:sz w:val="14"/>
          <w:szCs w:val="14"/>
          <w:color w:val="auto"/>
        </w:rPr>
      </w:pPr>
    </w:p>
    <w:p>
      <w:pPr>
        <w:ind w:left="426"/>
        <w:spacing w:after="0"/>
        <w:rPr>
          <w:rFonts w:ascii="Arial" w:cs="Arial" w:eastAsia="Arial" w:hAnsi="Arial"/>
          <w:sz w:val="14"/>
          <w:szCs w:val="14"/>
          <w:color w:val="auto"/>
        </w:rPr>
      </w:pPr>
      <w:r>
        <w:rPr>
          <w:rFonts w:ascii="Arial" w:cs="Arial" w:eastAsia="Arial" w:hAnsi="Arial"/>
          <w:sz w:val="15"/>
          <w:szCs w:val="15"/>
          <w:color w:val="auto"/>
        </w:rPr>
        <w:t>—</w:t>
      </w:r>
    </w:p>
    <w:p>
      <w:pPr>
        <w:spacing w:after="0" w:line="166" w:lineRule="exact"/>
        <w:rPr>
          <w:rFonts w:ascii="Arial" w:cs="Arial" w:eastAsia="Arial" w:hAnsi="Arial"/>
          <w:sz w:val="14"/>
          <w:szCs w:val="14"/>
          <w:color w:val="auto"/>
        </w:rPr>
      </w:pPr>
    </w:p>
    <w:p>
      <w:pPr>
        <w:ind w:left="166"/>
        <w:spacing w:after="0"/>
        <w:rPr>
          <w:rFonts w:ascii="Arial" w:cs="Arial" w:eastAsia="Arial" w:hAnsi="Arial"/>
          <w:sz w:val="14"/>
          <w:szCs w:val="14"/>
          <w:color w:val="auto"/>
        </w:rPr>
      </w:pPr>
      <w:r>
        <w:rPr>
          <w:rFonts w:ascii="Arial" w:cs="Arial" w:eastAsia="Arial" w:hAnsi="Arial"/>
          <w:sz w:val="14"/>
          <w:szCs w:val="14"/>
          <w:color w:val="auto"/>
        </w:rPr>
        <w:t>134,584</w:t>
      </w:r>
    </w:p>
    <w:p>
      <w:pPr>
        <w:spacing w:after="0" w:line="26" w:lineRule="exact"/>
        <w:rPr>
          <w:rFonts w:ascii="Arial" w:cs="Arial" w:eastAsia="Arial" w:hAnsi="Arial"/>
          <w:sz w:val="14"/>
          <w:szCs w:val="14"/>
          <w:color w:val="auto"/>
        </w:rPr>
      </w:pPr>
    </w:p>
    <w:p>
      <w:pPr>
        <w:ind w:left="186"/>
        <w:spacing w:after="0"/>
        <w:rPr>
          <w:rFonts w:ascii="Arial" w:cs="Arial" w:eastAsia="Arial" w:hAnsi="Arial"/>
          <w:sz w:val="14"/>
          <w:szCs w:val="14"/>
          <w:color w:val="auto"/>
        </w:rPr>
      </w:pPr>
      <w:r>
        <w:rPr>
          <w:rFonts w:ascii="Arial" w:cs="Arial" w:eastAsia="Arial" w:hAnsi="Arial"/>
          <w:sz w:val="13"/>
          <w:szCs w:val="13"/>
          <w:color w:val="auto"/>
        </w:rPr>
        <w:t>(10,815)</w:t>
      </w:r>
    </w:p>
    <w:p>
      <w:pPr>
        <w:spacing w:after="0" w:line="26" w:lineRule="exact"/>
        <w:rPr>
          <w:rFonts w:ascii="Arial" w:cs="Arial" w:eastAsia="Arial" w:hAnsi="Arial"/>
          <w:sz w:val="14"/>
          <w:szCs w:val="14"/>
          <w:color w:val="auto"/>
        </w:rPr>
      </w:pPr>
    </w:p>
    <w:p>
      <w:pPr>
        <w:ind w:left="186"/>
        <w:spacing w:after="0"/>
        <w:rPr>
          <w:rFonts w:ascii="Arial" w:cs="Arial" w:eastAsia="Arial" w:hAnsi="Arial"/>
          <w:sz w:val="14"/>
          <w:szCs w:val="14"/>
          <w:color w:val="auto"/>
        </w:rPr>
      </w:pPr>
      <w:r>
        <w:rPr>
          <w:rFonts w:ascii="Arial" w:cs="Arial" w:eastAsia="Arial" w:hAnsi="Arial"/>
          <w:sz w:val="13"/>
          <w:szCs w:val="13"/>
          <w:color w:val="auto"/>
        </w:rPr>
        <w:t>(23,329)</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(7,881)</w:t>
      </w:r>
    </w:p>
    <w:p>
      <w:pPr>
        <w:jc w:val="right"/>
        <w:spacing w:after="0"/>
        <w:rPr>
          <w:sz w:val="20"/>
          <w:szCs w:val="20"/>
          <w:color w:val="auto"/>
        </w:rPr>
      </w:pPr>
      <w:r>
        <w:rPr>
          <w:rFonts w:ascii="Arial" w:cs="Arial" w:eastAsia="Arial" w:hAnsi="Arial"/>
          <w:sz w:val="15"/>
          <w:szCs w:val="15"/>
          <w:color w:val="auto"/>
        </w:rPr>
        <w:t>(190,354)</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(15,184)</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(9,281)</w:t>
      </w:r>
    </w:p>
    <w:p>
      <w:pPr>
        <w:spacing w:after="0" w:line="3" w:lineRule="exact"/>
        <w:rPr>
          <w:sz w:val="20"/>
          <w:szCs w:val="20"/>
          <w:color w:val="auto"/>
        </w:rPr>
      </w:pPr>
    </w:p>
    <w:p>
      <w:pPr>
        <w:ind w:left="246"/>
        <w:spacing w:after="0"/>
        <w:rPr>
          <w:sz w:val="20"/>
          <w:szCs w:val="20"/>
          <w:color w:val="auto"/>
        </w:rPr>
      </w:pPr>
      <w:r>
        <w:rPr>
          <w:rFonts w:ascii="Arial" w:cs="Arial" w:eastAsia="Arial" w:hAnsi="Arial"/>
          <w:sz w:val="15"/>
          <w:szCs w:val="15"/>
          <w:color w:val="auto"/>
        </w:rPr>
        <w:t>11,330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197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ind w:left="166"/>
        <w:spacing w:after="0"/>
        <w:rPr>
          <w:sz w:val="20"/>
          <w:szCs w:val="20"/>
          <w:color w:val="auto"/>
        </w:rPr>
      </w:pPr>
      <w:r>
        <w:rPr>
          <w:rFonts w:ascii="Arial" w:cs="Arial" w:eastAsia="Arial" w:hAnsi="Arial"/>
          <w:sz w:val="14"/>
          <w:szCs w:val="14"/>
          <w:color w:val="auto"/>
        </w:rPr>
        <w:t>658,136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197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(205,510)</w:t>
      </w:r>
    </w:p>
    <w:p>
      <w:pPr>
        <w:spacing w:after="0" w:line="15"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(753)</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(249,358)</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(6,104)</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(461,725)</w:t>
      </w:r>
    </w:p>
    <w:p>
      <w:pPr>
        <w:spacing w:after="0" w:line="180" w:lineRule="exact"/>
        <w:rPr>
          <w:sz w:val="20"/>
          <w:szCs w:val="20"/>
          <w:color w:val="auto"/>
        </w:rPr>
      </w:pPr>
    </w:p>
    <w:p>
      <w:pPr>
        <w:ind w:left="166"/>
        <w:spacing w:after="0"/>
        <w:rPr>
          <w:sz w:val="20"/>
          <w:szCs w:val="20"/>
          <w:color w:val="auto"/>
        </w:rPr>
      </w:pPr>
      <w:r>
        <w:rPr>
          <w:rFonts w:ascii="Arial" w:cs="Arial" w:eastAsia="Arial" w:hAnsi="Arial"/>
          <w:sz w:val="14"/>
          <w:szCs w:val="14"/>
          <w:color w:val="auto"/>
        </w:rPr>
        <w:t>450,000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(350,000)</w:t>
      </w:r>
    </w:p>
    <w:p>
      <w:pPr>
        <w:spacing w:after="0" w:line="17" w:lineRule="exact"/>
        <w:rPr>
          <w:sz w:val="20"/>
          <w:szCs w:val="20"/>
          <w:color w:val="auto"/>
        </w:rPr>
      </w:pPr>
    </w:p>
    <w:p>
      <w:pPr>
        <w:ind w:left="166"/>
        <w:spacing w:after="0"/>
        <w:rPr>
          <w:sz w:val="20"/>
          <w:szCs w:val="20"/>
          <w:color w:val="auto"/>
        </w:rPr>
      </w:pPr>
      <w:r>
        <w:rPr>
          <w:rFonts w:ascii="Arial" w:cs="Arial" w:eastAsia="Arial" w:hAnsi="Arial"/>
          <w:sz w:val="14"/>
          <w:szCs w:val="14"/>
          <w:color w:val="auto"/>
        </w:rPr>
        <w:t>643,919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(360,912)</w:t>
      </w:r>
    </w:p>
    <w:p>
      <w:pPr>
        <w:spacing w:after="0" w:line="3" w:lineRule="exact"/>
        <w:rPr>
          <w:sz w:val="20"/>
          <w:szCs w:val="20"/>
          <w:color w:val="auto"/>
        </w:rPr>
      </w:pPr>
    </w:p>
    <w:p>
      <w:pPr>
        <w:ind w:left="246"/>
        <w:spacing w:after="0"/>
        <w:rPr>
          <w:sz w:val="20"/>
          <w:szCs w:val="20"/>
          <w:color w:val="auto"/>
        </w:rPr>
      </w:pPr>
      <w:r>
        <w:rPr>
          <w:rFonts w:ascii="Arial" w:cs="Arial" w:eastAsia="Arial" w:hAnsi="Arial"/>
          <w:sz w:val="15"/>
          <w:szCs w:val="15"/>
          <w:color w:val="auto"/>
        </w:rPr>
        <w:t>97,850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(164,061)</w:t>
      </w:r>
    </w:p>
    <w:p>
      <w:pPr>
        <w:spacing w:after="0" w:line="3"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(1,411)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(240)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color w:val="auto"/>
        </w:rPr>
        <w:t>$ 479,446</w:t>
      </w:r>
      <w:r>
        <w:rPr>
          <w:sz w:val="20"/>
          <w:szCs w:val="20"/>
          <w:color w:val="auto"/>
        </w:rPr>
        <w:tab/>
      </w:r>
      <w:r>
        <w:rPr>
          <w:rFonts w:ascii="Arial" w:cs="Arial" w:eastAsia="Arial" w:hAnsi="Arial"/>
          <w:sz w:val="14"/>
          <w:szCs w:val="14"/>
          <w:color w:val="auto"/>
        </w:rPr>
        <w:t>$  354,396</w:t>
      </w:r>
    </w:p>
    <w:p>
      <w:pPr>
        <w:spacing w:after="0" w:line="179"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4"/>
          <w:szCs w:val="14"/>
          <w:color w:val="auto"/>
        </w:rPr>
        <w:t>205,772</w:t>
      </w:r>
      <w:r>
        <w:rPr>
          <w:sz w:val="20"/>
          <w:szCs w:val="20"/>
          <w:color w:val="auto"/>
        </w:rPr>
        <w:tab/>
      </w:r>
      <w:r>
        <w:rPr>
          <w:rFonts w:ascii="Arial" w:cs="Arial" w:eastAsia="Arial" w:hAnsi="Arial"/>
          <w:sz w:val="14"/>
          <w:szCs w:val="14"/>
          <w:color w:val="auto"/>
        </w:rPr>
        <w:t>211,224</w:t>
      </w:r>
    </w:p>
    <w:p>
      <w:pPr>
        <w:spacing w:after="0" w:line="30"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ind w:left="240"/>
        <w:spacing w:after="0"/>
        <w:tabs>
          <w:tab w:leader="none" w:pos="1100" w:val="left"/>
        </w:tabs>
        <w:rPr>
          <w:sz w:val="20"/>
          <w:szCs w:val="20"/>
          <w:color w:val="auto"/>
        </w:rPr>
      </w:pPr>
      <w:r>
        <w:rPr>
          <w:rFonts w:ascii="Arial" w:cs="Arial" w:eastAsia="Arial" w:hAnsi="Arial"/>
          <w:sz w:val="15"/>
          <w:szCs w:val="15"/>
          <w:color w:val="auto"/>
        </w:rPr>
        <w:t>38,550</w:t>
      </w:r>
      <w:r>
        <w:rPr>
          <w:sz w:val="20"/>
          <w:szCs w:val="20"/>
          <w:color w:val="auto"/>
        </w:rPr>
        <w:tab/>
      </w:r>
      <w:r>
        <w:rPr>
          <w:rFonts w:ascii="Arial" w:cs="Arial" w:eastAsia="Arial" w:hAnsi="Arial"/>
          <w:sz w:val="15"/>
          <w:szCs w:val="15"/>
          <w:color w:val="auto"/>
        </w:rPr>
        <w:t>47,476</w:t>
      </w:r>
    </w:p>
    <w:p>
      <w:pPr>
        <w:spacing w:after="0" w:line="3"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5"/>
          <w:szCs w:val="15"/>
          <w:color w:val="auto"/>
        </w:rPr>
        <w:t>(13,950)</w:t>
      </w:r>
      <w:r>
        <w:rPr>
          <w:sz w:val="20"/>
          <w:szCs w:val="20"/>
          <w:color w:val="auto"/>
        </w:rPr>
        <w:tab/>
      </w:r>
      <w:r>
        <w:rPr>
          <w:rFonts w:ascii="Arial" w:cs="Arial" w:eastAsia="Arial" w:hAnsi="Arial"/>
          <w:sz w:val="13"/>
          <w:szCs w:val="13"/>
          <w:color w:val="auto"/>
        </w:rPr>
        <w:t>25,098</w:t>
      </w:r>
    </w:p>
    <w:p>
      <w:pPr>
        <w:spacing w:after="0" w:line="3"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5"/>
          <w:szCs w:val="15"/>
          <w:color w:val="auto"/>
        </w:rPr>
        <w:t>737</w:t>
      </w:r>
      <w:r>
        <w:rPr>
          <w:sz w:val="20"/>
          <w:szCs w:val="20"/>
          <w:color w:val="auto"/>
        </w:rPr>
        <w:tab/>
      </w:r>
      <w:r>
        <w:rPr>
          <w:rFonts w:ascii="Arial" w:cs="Arial" w:eastAsia="Arial" w:hAnsi="Arial"/>
          <w:sz w:val="15"/>
          <w:szCs w:val="15"/>
          <w:color w:val="auto"/>
        </w:rPr>
        <w:t>1,324</w:t>
      </w:r>
    </w:p>
    <w:p>
      <w:pPr>
        <w:spacing w:after="0" w:line="167" w:lineRule="exact"/>
        <w:rPr>
          <w:sz w:val="20"/>
          <w:szCs w:val="20"/>
          <w:color w:val="auto"/>
        </w:rPr>
      </w:pPr>
    </w:p>
    <w:p>
      <w:pPr>
        <w:jc w:val="both"/>
        <w:ind w:left="320"/>
        <w:spacing w:after="0"/>
        <w:tabs>
          <w:tab w:leader="none" w:pos="1040" w:val="left"/>
        </w:tabs>
        <w:rPr>
          <w:sz w:val="20"/>
          <w:szCs w:val="20"/>
          <w:color w:val="auto"/>
        </w:rPr>
      </w:pPr>
      <w:r>
        <w:rPr>
          <w:rFonts w:ascii="Arial" w:cs="Arial" w:eastAsia="Arial" w:hAnsi="Arial"/>
          <w:sz w:val="15"/>
          <w:szCs w:val="15"/>
          <w:color w:val="auto"/>
        </w:rPr>
        <w:t>6,589</w:t>
      </w:r>
      <w:r>
        <w:rPr>
          <w:sz w:val="20"/>
          <w:szCs w:val="20"/>
          <w:color w:val="auto"/>
        </w:rPr>
        <w:tab/>
      </w:r>
      <w:r>
        <w:rPr>
          <w:rFonts w:ascii="Arial" w:cs="Arial" w:eastAsia="Arial" w:hAnsi="Arial"/>
          <w:sz w:val="15"/>
          <w:szCs w:val="15"/>
          <w:color w:val="auto"/>
        </w:rPr>
        <w:t>(66,451)</w:t>
      </w:r>
    </w:p>
    <w:p>
      <w:pPr>
        <w:spacing w:after="0" w:line="15" w:lineRule="exact"/>
        <w:rPr>
          <w:sz w:val="20"/>
          <w:szCs w:val="20"/>
          <w:color w:val="auto"/>
        </w:rPr>
      </w:pPr>
    </w:p>
    <w:p>
      <w:pPr>
        <w:jc w:val="both"/>
        <w:ind w:left="240"/>
        <w:spacing w:after="0"/>
        <w:tabs>
          <w:tab w:leader="none" w:pos="1040" w:val="left"/>
        </w:tabs>
        <w:rPr>
          <w:sz w:val="20"/>
          <w:szCs w:val="20"/>
          <w:color w:val="auto"/>
        </w:rPr>
      </w:pPr>
      <w:r>
        <w:rPr>
          <w:rFonts w:ascii="Arial" w:cs="Arial" w:eastAsia="Arial" w:hAnsi="Arial"/>
          <w:sz w:val="15"/>
          <w:szCs w:val="15"/>
          <w:color w:val="auto"/>
        </w:rPr>
        <w:t>25,907</w:t>
      </w:r>
      <w:r>
        <w:rPr>
          <w:sz w:val="20"/>
          <w:szCs w:val="20"/>
          <w:color w:val="auto"/>
        </w:rPr>
        <w:tab/>
      </w:r>
      <w:r>
        <w:rPr>
          <w:rFonts w:ascii="Arial" w:cs="Arial" w:eastAsia="Arial" w:hAnsi="Arial"/>
          <w:sz w:val="15"/>
          <w:szCs w:val="15"/>
          <w:color w:val="auto"/>
        </w:rPr>
        <w:t>(18,736)</w:t>
      </w:r>
    </w:p>
    <w:p>
      <w:pPr>
        <w:spacing w:after="0" w:line="3"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15"/>
          <w:szCs w:val="15"/>
          <w:color w:val="auto"/>
        </w:rPr>
        <w:t>(1,635)</w:t>
      </w:r>
      <w:r>
        <w:rPr>
          <w:sz w:val="20"/>
          <w:szCs w:val="20"/>
          <w:color w:val="auto"/>
        </w:rPr>
        <w:tab/>
      </w:r>
      <w:r>
        <w:rPr>
          <w:rFonts w:ascii="Arial" w:cs="Arial" w:eastAsia="Arial" w:hAnsi="Arial"/>
          <w:sz w:val="13"/>
          <w:szCs w:val="13"/>
          <w:color w:val="auto"/>
        </w:rPr>
        <w:t>9,674</w:t>
      </w:r>
    </w:p>
    <w:p>
      <w:pPr>
        <w:spacing w:after="0" w:line="3"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3"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5"/>
          <w:szCs w:val="15"/>
          <w:color w:val="auto"/>
        </w:rPr>
        <w:t>(60,042)</w:t>
      </w:r>
      <w:r>
        <w:rPr>
          <w:sz w:val="20"/>
          <w:szCs w:val="20"/>
          <w:color w:val="auto"/>
        </w:rPr>
        <w:tab/>
      </w:r>
      <w:r>
        <w:rPr>
          <w:rFonts w:ascii="Arial" w:cs="Arial" w:eastAsia="Arial" w:hAnsi="Arial"/>
          <w:sz w:val="13"/>
          <w:szCs w:val="13"/>
          <w:color w:val="auto"/>
        </w:rPr>
        <w:t>25,348</w:t>
      </w:r>
    </w:p>
    <w:p>
      <w:pPr>
        <w:spacing w:after="0" w:line="3"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5"/>
          <w:szCs w:val="15"/>
          <w:color w:val="auto"/>
        </w:rPr>
        <w:t>(37,855)</w:t>
      </w:r>
      <w:r>
        <w:rPr>
          <w:sz w:val="20"/>
          <w:szCs w:val="20"/>
          <w:color w:val="auto"/>
        </w:rPr>
        <w:tab/>
      </w:r>
      <w:r>
        <w:rPr>
          <w:rFonts w:ascii="Arial" w:cs="Arial" w:eastAsia="Arial" w:hAnsi="Arial"/>
          <w:sz w:val="13"/>
          <w:szCs w:val="13"/>
          <w:color w:val="auto"/>
        </w:rPr>
        <w:t>7,650</w:t>
      </w:r>
    </w:p>
    <w:p>
      <w:pPr>
        <w:spacing w:after="0" w:line="3" w:lineRule="exact"/>
        <w:rPr>
          <w:sz w:val="20"/>
          <w:szCs w:val="20"/>
          <w:color w:val="auto"/>
        </w:rPr>
      </w:pPr>
    </w:p>
    <w:p>
      <w:pPr>
        <w:jc w:val="both"/>
        <w:ind w:left="320"/>
        <w:spacing w:after="0"/>
        <w:tabs>
          <w:tab w:leader="none" w:pos="1040" w:val="left"/>
        </w:tabs>
        <w:rPr>
          <w:sz w:val="20"/>
          <w:szCs w:val="20"/>
          <w:color w:val="auto"/>
        </w:rPr>
      </w:pPr>
      <w:r>
        <w:rPr>
          <w:rFonts w:ascii="Arial" w:cs="Arial" w:eastAsia="Arial" w:hAnsi="Arial"/>
          <w:sz w:val="15"/>
          <w:szCs w:val="15"/>
          <w:color w:val="auto"/>
        </w:rPr>
        <w:t>6,025</w:t>
      </w:r>
      <w:r>
        <w:rPr>
          <w:sz w:val="20"/>
          <w:szCs w:val="20"/>
          <w:color w:val="auto"/>
        </w:rPr>
        <w:tab/>
      </w:r>
      <w:r>
        <w:rPr>
          <w:rFonts w:ascii="Arial" w:cs="Arial" w:eastAsia="Arial" w:hAnsi="Arial"/>
          <w:sz w:val="15"/>
          <w:szCs w:val="15"/>
          <w:color w:val="auto"/>
        </w:rPr>
        <w:t>(31,036)</w:t>
      </w:r>
    </w:p>
    <w:p>
      <w:pPr>
        <w:spacing w:after="0" w:line="3" w:lineRule="exact"/>
        <w:rPr>
          <w:sz w:val="20"/>
          <w:szCs w:val="20"/>
          <w:color w:val="auto"/>
        </w:rPr>
      </w:pPr>
    </w:p>
    <w:p>
      <w:pPr>
        <w:jc w:val="both"/>
        <w:ind w:left="320"/>
        <w:spacing w:after="0"/>
        <w:tabs>
          <w:tab w:leader="none" w:pos="1120" w:val="left"/>
        </w:tabs>
        <w:rPr>
          <w:sz w:val="20"/>
          <w:szCs w:val="20"/>
          <w:color w:val="auto"/>
        </w:rPr>
      </w:pPr>
      <w:r>
        <w:rPr>
          <w:rFonts w:ascii="Arial" w:cs="Arial" w:eastAsia="Arial" w:hAnsi="Arial"/>
          <w:sz w:val="15"/>
          <w:szCs w:val="15"/>
          <w:color w:val="auto"/>
        </w:rPr>
        <w:t>6,833</w:t>
      </w:r>
      <w:r>
        <w:rPr>
          <w:sz w:val="20"/>
          <w:szCs w:val="20"/>
          <w:color w:val="auto"/>
        </w:rPr>
        <w:tab/>
      </w:r>
      <w:r>
        <w:rPr>
          <w:rFonts w:ascii="Arial" w:cs="Arial" w:eastAsia="Arial" w:hAnsi="Arial"/>
          <w:sz w:val="15"/>
          <w:szCs w:val="15"/>
          <w:color w:val="auto"/>
        </w:rPr>
        <w:t>(8,718)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9772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60"/>
        <w:spacing w:after="0"/>
        <w:tabs>
          <w:tab w:leader="none" w:pos="1020" w:val="left"/>
        </w:tabs>
        <w:rPr>
          <w:sz w:val="20"/>
          <w:szCs w:val="20"/>
          <w:color w:val="auto"/>
        </w:rPr>
      </w:pPr>
      <w:r>
        <w:rPr>
          <w:rFonts w:ascii="Arial" w:cs="Arial" w:eastAsia="Arial" w:hAnsi="Arial"/>
          <w:sz w:val="14"/>
          <w:szCs w:val="14"/>
          <w:color w:val="auto"/>
        </w:rPr>
        <w:t>656,377</w:t>
      </w:r>
      <w:r>
        <w:rPr>
          <w:sz w:val="20"/>
          <w:szCs w:val="20"/>
          <w:color w:val="auto"/>
        </w:rPr>
        <w:tab/>
      </w:r>
      <w:r>
        <w:rPr>
          <w:rFonts w:ascii="Arial" w:cs="Arial" w:eastAsia="Arial" w:hAnsi="Arial"/>
          <w:sz w:val="14"/>
          <w:szCs w:val="14"/>
          <w:color w:val="auto"/>
        </w:rPr>
        <w:t>557,249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9772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72"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5"/>
          <w:szCs w:val="15"/>
          <w:color w:val="auto"/>
        </w:rPr>
        <w:t>(128,086)</w:t>
      </w:r>
      <w:r>
        <w:rPr>
          <w:sz w:val="20"/>
          <w:szCs w:val="20"/>
          <w:color w:val="auto"/>
        </w:rPr>
        <w:tab/>
      </w:r>
      <w:r>
        <w:rPr>
          <w:rFonts w:ascii="Arial" w:cs="Arial" w:eastAsia="Arial" w:hAnsi="Arial"/>
          <w:sz w:val="14"/>
          <w:szCs w:val="14"/>
          <w:color w:val="auto"/>
        </w:rPr>
        <w:t>(231,146)</w:t>
      </w:r>
    </w:p>
    <w:p>
      <w:pPr>
        <w:spacing w:after="0" w:line="15"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4"/>
          <w:szCs w:val="14"/>
          <w:color w:val="auto"/>
        </w:rPr>
        <w:t>101,287</w:t>
      </w:r>
      <w:r>
        <w:rPr>
          <w:sz w:val="20"/>
          <w:szCs w:val="20"/>
          <w:color w:val="auto"/>
        </w:rPr>
        <w:tab/>
      </w:r>
      <w:r>
        <w:rPr>
          <w:rFonts w:ascii="Arial" w:cs="Arial" w:eastAsia="Arial" w:hAnsi="Arial"/>
          <w:sz w:val="14"/>
          <w:szCs w:val="14"/>
          <w:color w:val="auto"/>
        </w:rPr>
        <w:t>303,090</w:t>
      </w:r>
    </w:p>
    <w:p>
      <w:pPr>
        <w:spacing w:after="0" w:line="15" w:lineRule="exact"/>
        <w:rPr>
          <w:sz w:val="20"/>
          <w:szCs w:val="20"/>
          <w:color w:val="auto"/>
        </w:rPr>
      </w:pPr>
    </w:p>
    <w:p>
      <w:pPr>
        <w:jc w:val="both"/>
        <w:ind w:left="180" w:right="60" w:firstLine="242"/>
        <w:spacing w:after="0" w:line="244" w:lineRule="auto"/>
        <w:rPr>
          <w:sz w:val="20"/>
          <w:szCs w:val="20"/>
          <w:color w:val="auto"/>
        </w:rPr>
      </w:pPr>
      <w:r>
        <w:rPr>
          <w:rFonts w:ascii="Arial" w:cs="Arial" w:eastAsia="Arial" w:hAnsi="Arial"/>
          <w:sz w:val="15"/>
          <w:szCs w:val="15"/>
          <w:color w:val="auto"/>
        </w:rPr>
        <w:t>— (76,037) (60,572) (355,142)</w:t>
      </w:r>
    </w:p>
    <w:p>
      <w:pPr>
        <w:ind w:left="440"/>
        <w:spacing w:after="0"/>
        <w:rPr>
          <w:sz w:val="20"/>
          <w:szCs w:val="20"/>
          <w:color w:val="auto"/>
        </w:rPr>
      </w:pPr>
      <w:r>
        <w:rPr>
          <w:rFonts w:ascii="Arial" w:cs="Arial" w:eastAsia="Arial" w:hAnsi="Arial"/>
          <w:sz w:val="15"/>
          <w:szCs w:val="15"/>
          <w:color w:val="auto"/>
        </w:rPr>
        <w:t>615</w:t>
      </w:r>
      <w:r>
        <w:rPr>
          <w:rFonts w:ascii="Arial" w:cs="Arial" w:eastAsia="Arial" w:hAnsi="Arial"/>
          <w:sz w:val="13"/>
          <w:szCs w:val="13"/>
          <w:color w:val="auto"/>
        </w:rPr>
        <w:t>(3,157)</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(86,756)</w:t>
      </w:r>
      <w:r>
        <w:rPr>
          <w:rFonts w:ascii="Arial" w:cs="Arial" w:eastAsia="Arial" w:hAnsi="Arial"/>
          <w:sz w:val="14"/>
          <w:szCs w:val="14"/>
          <w:color w:val="auto"/>
        </w:rPr>
        <w:t>(362,392)</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120,000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(120,000)</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(398,057)</w:t>
      </w:r>
      <w:r>
        <w:rPr>
          <w:rFonts w:ascii="Arial" w:cs="Arial" w:eastAsia="Arial" w:hAnsi="Arial"/>
          <w:sz w:val="14"/>
          <w:szCs w:val="14"/>
          <w:color w:val="auto"/>
        </w:rPr>
        <w:t>(419,228)</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41,483</w:t>
      </w:r>
      <w:r>
        <w:rPr>
          <w:rFonts w:ascii="Arial" w:cs="Arial" w:eastAsia="Arial" w:hAnsi="Arial"/>
          <w:sz w:val="13"/>
          <w:szCs w:val="13"/>
          <w:color w:val="auto"/>
        </w:rPr>
        <w:t>81,280</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(147,616)</w:t>
      </w:r>
      <w:r>
        <w:rPr>
          <w:rFonts w:ascii="Arial" w:cs="Arial" w:eastAsia="Arial" w:hAnsi="Arial"/>
          <w:sz w:val="14"/>
          <w:szCs w:val="14"/>
          <w:color w:val="auto"/>
        </w:rPr>
        <w:t>(134,292)</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(4,776)</w:t>
      </w:r>
      <w:r>
        <w:rPr>
          <w:rFonts w:ascii="Arial" w:cs="Arial" w:eastAsia="Arial" w:hAnsi="Arial"/>
          <w:sz w:val="13"/>
          <w:szCs w:val="13"/>
          <w:color w:val="auto"/>
        </w:rPr>
        <w:t>47,013</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(7,470)—</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(336)</w:t>
      </w:r>
      <w:r>
        <w:rPr>
          <w:rFonts w:ascii="Arial" w:cs="Arial" w:eastAsia="Arial" w:hAnsi="Arial"/>
          <w:sz w:val="13"/>
          <w:szCs w:val="13"/>
          <w:color w:val="auto"/>
        </w:rPr>
        <w:t>(458)</w:t>
      </w:r>
    </w:p>
    <w:p>
      <w:pPr>
        <w:spacing w:after="0" w:line="1" w:lineRule="exact"/>
        <w:rPr>
          <w:sz w:val="20"/>
          <w:szCs w:val="20"/>
          <w:color w:val="auto"/>
        </w:rPr>
      </w:pPr>
    </w:p>
    <w:p>
      <w:pPr>
        <w:sectPr>
          <w:pgSz w:w="11900" w:h="16838" w:orient="portrait"/>
          <w:cols w:equalWidth="0" w:num="3">
            <w:col w:w="7874" w:space="720"/>
            <w:col w:w="706" w:space="200"/>
            <w:col w:w="164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20"/>
                <w:szCs w:val="20"/>
                <w:color w:val="auto"/>
              </w:rPr>
            </w:pPr>
            <w:r>
              <w:rPr>
                <w:rFonts w:ascii="Arial" w:cs="Arial" w:eastAsia="Arial" w:hAnsi="Arial"/>
                <w:sz w:val="15"/>
                <w:szCs w:val="15"/>
                <w:color w:val="auto"/>
              </w:rPr>
              <w:t>Net cash provided by (used in) financing activities</w:t>
            </w: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315,145</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(516,772</w:t>
            </w:r>
          </w:p>
        </w:tc>
        <w:tc>
          <w:tcPr>
            <w:tcW w:w="180" w:type="dxa"/>
            <w:vAlign w:val="bottom"/>
          </w:tcPr>
          <w:p>
            <w:pPr>
              <w:jc w:val="right"/>
              <w:ind w:right="44"/>
              <w:spacing w:after="0"/>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4"/>
              </w:rPr>
              <w:t>(425,685</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r>
      <w:tr>
        <w:trPr>
          <w:trHeight w:val="169"/>
        </w:trPr>
        <w:tc>
          <w:tcPr>
            <w:tcW w:w="8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increase (decrease) in cash and cash equivalents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511,556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52,849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4"/>
              </w:rPr>
              <w:t>(230,828</w:t>
            </w:r>
          </w:p>
        </w:tc>
        <w:tc>
          <w:tcPr>
            <w:tcW w:w="100" w:type="dxa"/>
            <w:vAlign w:val="bottom"/>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r>
      <w:tr>
        <w:trPr>
          <w:trHeight w:val="175"/>
        </w:trPr>
        <w:tc>
          <w:tcPr>
            <w:tcW w:w="8480" w:type="dxa"/>
            <w:vAlign w:val="bottom"/>
          </w:tcPr>
          <w:p>
            <w:pPr>
              <w:spacing w:after="0"/>
              <w:rPr>
                <w:sz w:val="20"/>
                <w:szCs w:val="20"/>
                <w:color w:val="auto"/>
              </w:rPr>
            </w:pPr>
            <w:r>
              <w:rPr>
                <w:rFonts w:ascii="Arial" w:cs="Arial" w:eastAsia="Arial" w:hAnsi="Arial"/>
                <w:sz w:val="15"/>
                <w:szCs w:val="15"/>
                <w:color w:val="auto"/>
              </w:rPr>
              <w:t>Cash and cash equivalents at beginning of year</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471,632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418,783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649,611</w:t>
            </w:r>
          </w:p>
        </w:tc>
        <w:tc>
          <w:tcPr>
            <w:tcW w:w="100" w:type="dxa"/>
            <w:vAlign w:val="bottom"/>
          </w:tcPr>
          <w:p>
            <w:pPr>
              <w:spacing w:after="0"/>
              <w:rPr>
                <w:sz w:val="15"/>
                <w:szCs w:val="15"/>
                <w:color w:val="auto"/>
              </w:rPr>
            </w:pPr>
          </w:p>
        </w:tc>
      </w:tr>
      <w:tr>
        <w:trPr>
          <w:trHeight w:val="209"/>
        </w:trPr>
        <w:tc>
          <w:tcPr>
            <w:tcW w:w="8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at end of year</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983,188</w:t>
            </w:r>
          </w:p>
        </w:tc>
        <w:tc>
          <w:tcPr>
            <w:tcW w:w="3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471,632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418,783</w:t>
            </w:r>
          </w:p>
        </w:tc>
        <w:tc>
          <w:tcPr>
            <w:tcW w:w="100" w:type="dxa"/>
            <w:vAlign w:val="bottom"/>
            <w:shd w:val="clear" w:color="auto" w:fill="CCEEFF"/>
          </w:tcPr>
          <w:p>
            <w:pPr>
              <w:spacing w:after="0"/>
              <w:rPr>
                <w:sz w:val="18"/>
                <w:szCs w:val="18"/>
                <w:color w:val="auto"/>
              </w:rPr>
            </w:pPr>
          </w:p>
        </w:tc>
      </w:tr>
      <w:tr>
        <w:trPr>
          <w:trHeight w:val="156"/>
        </w:trPr>
        <w:tc>
          <w:tcPr>
            <w:tcW w:w="8480" w:type="dxa"/>
            <w:vAlign w:val="bottom"/>
            <w:tcBorders>
              <w:top w:val="single" w:sz="8" w:color="CCEEFF"/>
            </w:tcBorders>
          </w:tcPr>
          <w:p>
            <w:pPr>
              <w:spacing w:after="0" w:line="156" w:lineRule="exact"/>
              <w:rPr>
                <w:sz w:val="20"/>
                <w:szCs w:val="20"/>
                <w:color w:val="auto"/>
              </w:rPr>
            </w:pPr>
            <w:r>
              <w:rPr>
                <w:rFonts w:ascii="Arial" w:cs="Arial" w:eastAsia="Arial" w:hAnsi="Arial"/>
                <w:sz w:val="15"/>
                <w:szCs w:val="15"/>
                <w:b w:val="1"/>
                <w:bCs w:val="1"/>
                <w:color w:val="auto"/>
              </w:rPr>
              <w:t>Supplementary Cash Flow Information</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5"/>
        </w:trPr>
        <w:tc>
          <w:tcPr>
            <w:tcW w:w="8480" w:type="dxa"/>
            <w:vAlign w:val="bottom"/>
            <w:shd w:val="clear" w:color="auto" w:fill="CCEEFF"/>
          </w:tcPr>
          <w:p>
            <w:pPr>
              <w:spacing w:after="0"/>
              <w:rPr>
                <w:sz w:val="20"/>
                <w:szCs w:val="20"/>
                <w:color w:val="auto"/>
              </w:rPr>
            </w:pPr>
            <w:r>
              <w:rPr>
                <w:rFonts w:ascii="Arial" w:cs="Arial" w:eastAsia="Arial" w:hAnsi="Arial"/>
                <w:sz w:val="15"/>
                <w:szCs w:val="15"/>
                <w:color w:val="auto"/>
              </w:rPr>
              <w:t>Interest and Income Taxes Paid</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8480" w:type="dxa"/>
            <w:vAlign w:val="bottom"/>
          </w:tcPr>
          <w:p>
            <w:pPr>
              <w:spacing w:after="0"/>
              <w:rPr>
                <w:sz w:val="20"/>
                <w:szCs w:val="20"/>
                <w:color w:val="auto"/>
              </w:rPr>
            </w:pPr>
            <w:r>
              <w:rPr>
                <w:rFonts w:ascii="Arial" w:cs="Arial" w:eastAsia="Arial" w:hAnsi="Arial"/>
                <w:sz w:val="15"/>
                <w:szCs w:val="15"/>
                <w:color w:val="auto"/>
              </w:rPr>
              <w:t>Cash paid for:</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45,398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75,790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55,938</w:t>
            </w:r>
          </w:p>
        </w:tc>
      </w:tr>
      <w:tr>
        <w:trPr>
          <w:trHeight w:val="194"/>
        </w:trPr>
        <w:tc>
          <w:tcPr>
            <w:tcW w:w="8480" w:type="dxa"/>
            <w:vAlign w:val="bottom"/>
          </w:tcPr>
          <w:p>
            <w:pPr>
              <w:ind w:left="300"/>
              <w:spacing w:after="0"/>
              <w:rPr>
                <w:sz w:val="20"/>
                <w:szCs w:val="20"/>
                <w:color w:val="auto"/>
              </w:rPr>
            </w:pPr>
            <w:r>
              <w:rPr>
                <w:rFonts w:ascii="Arial" w:cs="Arial" w:eastAsia="Arial" w:hAnsi="Arial"/>
                <w:sz w:val="15"/>
                <w:szCs w:val="15"/>
                <w:color w:val="auto"/>
              </w:rPr>
              <w:t>Interest(2)</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5,392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4"/>
              <w:spacing w:after="0"/>
              <w:rPr>
                <w:sz w:val="20"/>
                <w:szCs w:val="20"/>
                <w:color w:val="auto"/>
              </w:rPr>
            </w:pPr>
            <w:r>
              <w:rPr>
                <w:rFonts w:ascii="Arial" w:cs="Arial" w:eastAsia="Arial" w:hAnsi="Arial"/>
                <w:sz w:val="15"/>
                <w:szCs w:val="15"/>
                <w:color w:val="auto"/>
              </w:rPr>
              <w:t>7,348</w:t>
            </w:r>
          </w:p>
        </w:tc>
        <w:tc>
          <w:tcPr>
            <w:tcW w:w="120" w:type="dxa"/>
            <w:vAlign w:val="bottom"/>
          </w:tcPr>
          <w:p>
            <w:pPr>
              <w:spacing w:after="0"/>
              <w:rPr>
                <w:sz w:val="16"/>
                <w:szCs w:val="16"/>
                <w:color w:val="auto"/>
              </w:rPr>
            </w:pPr>
          </w:p>
        </w:tc>
        <w:tc>
          <w:tcPr>
            <w:tcW w:w="680" w:type="dxa"/>
            <w:vAlign w:val="bottom"/>
            <w:gridSpan w:val="2"/>
          </w:tcPr>
          <w:p>
            <w:pPr>
              <w:jc w:val="right"/>
              <w:ind w:right="62"/>
              <w:spacing w:after="0"/>
              <w:rPr>
                <w:sz w:val="20"/>
                <w:szCs w:val="20"/>
                <w:color w:val="auto"/>
              </w:rPr>
            </w:pPr>
            <w:r>
              <w:rPr>
                <w:rFonts w:ascii="Arial" w:cs="Arial" w:eastAsia="Arial" w:hAnsi="Arial"/>
                <w:sz w:val="15"/>
                <w:szCs w:val="15"/>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540" w:right="40" w:hanging="424"/>
        <w:spacing w:after="0" w:line="212" w:lineRule="auto"/>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under “Purchase of property and equipment, net”, include proceeds from sale of property and equipment of $194, $151 and $459 for the year ended September 30, 2020, 2019 and 2018, respectively, and proceeds of $9,676 relating to refund of betterment levy for the year ended September 30, 2019 ($4,776 of which was a refund to the noncontrolling interest).</w:t>
      </w:r>
    </w:p>
    <w:p>
      <w:pPr>
        <w:ind w:left="540" w:hanging="424"/>
        <w:spacing w:after="0"/>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under “Interest” include payments of interest to financial institution, tax authorities and other.</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86"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offering.</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 and are denominated in U.S. dollars.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years 2020, 2019 and 2018 the new entity had negligible earnings or losses and, therefore, an immaterial effect on consolidated financial statements of Amdocs Limited.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8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classifies all of its short-term interest-bearing investments as available-for-sale securities. Such short-term interest-bearing investments consist primarily of bank deposits, money market funds and corporate bonds, which are stated at market value. Unrealized gains and losses are comprised of the difference between market value and amortized costs of such securities and are reflected, net of tax, as “accumulated other comprehensive income (loss)” in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4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Company capitalizes the expenditures related to the new campus in Israel, which are classified as building and land. Amortization will begin when the new campus is ready for use and will be amortized on the straight-line basis over the estimated useful life.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As discussed below under “</w:t>
      </w:r>
      <w:r>
        <w:rPr>
          <w:rFonts w:ascii="Arial" w:cs="Arial" w:eastAsia="Arial" w:hAnsi="Arial"/>
          <w:sz w:val="18"/>
          <w:szCs w:val="18"/>
          <w:b w:val="1"/>
          <w:bCs w:val="1"/>
          <w:i w:val="1"/>
          <w:iCs w:val="1"/>
          <w:color w:val="auto"/>
        </w:rPr>
        <w:t>Adoption of New Accounting Standards”</w:t>
      </w:r>
      <w:r>
        <w:rPr>
          <w:rFonts w:ascii="Arial" w:cs="Arial" w:eastAsia="Arial" w:hAnsi="Arial"/>
          <w:sz w:val="18"/>
          <w:szCs w:val="18"/>
          <w:color w:val="auto"/>
        </w:rPr>
        <w:t xml:space="preserve">,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lessee, substantially all of the Company’s lease obligation is for office real estate. The significant judgments used in determining its lease obligation include whether a contract is or contains a lease and the determination of the discount rate used to calculate the lease liability. The Company’s leases may include the option to extend or terminate before the end of the contractual term and are often non-cancelable or cancelable only by the payment of penalties.</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lease assets and liabilities include these options in the lease term when it is reasonably certain that they will be exercised. In certain cases, the Company subleases excess office real estate to third-party tenants in immaterial amounts. 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Effective October 1, 2019, when the Company is the lessee, all leases are recognized as lease liabilities and associated lease assets on the Consolidated Balance Sheet.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 Operating lease expense is recorded on a straight-line basis over the lease term.</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7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8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320" w:hanging="213"/>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380" w:hanging="273"/>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420" w:hanging="313"/>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Any earn-out which is not considered a contingent consideration is recognized as compensation expense over expected service period.</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Although the Company believes the assumptions and estimates of fair value it has made in the past have been reasonable and appropriate, they are based in part on historical experience and information obtained from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8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 See Note 11 to the consolidated financial statements.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86"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i w:val="1"/>
          <w:iCs w:val="1"/>
          <w:color w:val="auto"/>
        </w:rPr>
        <w:t xml:space="preserve">Revenue Recognition for projects </w:t>
      </w:r>
      <w:r>
        <w:rPr>
          <w:rFonts w:ascii="Arial" w:cs="Arial" w:eastAsia="Arial" w:hAnsi="Arial"/>
          <w:sz w:val="17"/>
          <w:szCs w:val="17"/>
          <w:color w:val="auto"/>
        </w:rPr>
        <w:t>— The Company usually sells its software licenses as part of an overall solution offered to a customer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7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Revenue Recognition for ongoing services </w:t>
      </w:r>
      <w:r>
        <w:rPr>
          <w:rFonts w:ascii="Arial" w:cs="Arial" w:eastAsia="Arial" w:hAnsi="Arial"/>
          <w:sz w:val="17"/>
          <w:szCs w:val="17"/>
          <w:color w:val="auto"/>
        </w:rPr>
        <w:t>— Revenue from ongoing support services is recognized as work is performed, revenue from other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Revenue Recognition for managed services arrangement </w:t>
      </w:r>
      <w:r>
        <w:rPr>
          <w:rFonts w:ascii="Arial" w:cs="Arial" w:eastAsia="Arial" w:hAnsi="Arial"/>
          <w:sz w:val="18"/>
          <w:szCs w:val="18"/>
          <w:color w:val="auto"/>
        </w:rPr>
        <w:t>— Managed services arrangements include management of data center operations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84"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performed, using one method of measuring performance such as time elapsed, output produced, volume of data processed or subscriber count that provides the most faithful depiction of the transfer of services, pursuant to the specific contract terms of the managed services arrangement. Typically, managed services arrangements are long term in duration and are not subject to significant seasonality.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86"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 xml:space="preserve">Revenue Recognition for third-party hardware and software </w:t>
      </w:r>
      <w:r>
        <w:rPr>
          <w:rFonts w:ascii="Arial" w:cs="Arial" w:eastAsia="Arial" w:hAnsi="Arial"/>
          <w:sz w:val="17"/>
          <w:szCs w:val="17"/>
          <w:color w:val="auto"/>
        </w:rPr>
        <w:t>— Third-party hardware sales are recognized upon delivery or installation,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third-party software sales is recognized upon delivery. Maintenance revenue is recognized ratably over the term of the maintenance agreement Revenue from third-party hardware and software sales is recorded at gross amount for transactions in which the Company control the third-party hardware and software prior to fulfilling the performance obligation. In specific circumstances where the Company do not meet the above criteria, revenue is recognized on a net basis. In certain arrangements, the Company may earn revenue from other third-party services which is recorded at a gross amount as it controls the services before transferring them to the customer.</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Arrangements with Multiple Performance Obligations </w:t>
      </w:r>
      <w:r>
        <w:rPr>
          <w:rFonts w:ascii="Arial" w:cs="Arial" w:eastAsia="Arial" w:hAnsi="Arial"/>
          <w:sz w:val="17"/>
          <w:szCs w:val="17"/>
          <w:color w:val="auto"/>
        </w:rPr>
        <w:t>— Many of the Company’s agreements include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Billing terms and conditions generally vary by contract category. Amounts are typically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considers whether a significant financing component exists. The Company elected to use the practical expedient in assessing the financing component in contracts where the time between cash collection and performance is less than one year.</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 xml:space="preserve">Accounts Receivable — Billed </w:t>
      </w:r>
      <w:r>
        <w:rPr>
          <w:rFonts w:ascii="Arial" w:cs="Arial" w:eastAsia="Arial" w:hAnsi="Arial"/>
          <w:sz w:val="18"/>
          <w:szCs w:val="18"/>
          <w:color w:val="auto"/>
        </w:rPr>
        <w:t>— Billed accounts receivables include all outstanding invoices to customers, as well as amounts allowed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according to contractual billing terms with customers.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Accounts Receivable — Unbilled </w:t>
      </w:r>
      <w:r>
        <w:rPr>
          <w:rFonts w:ascii="Arial" w:cs="Arial" w:eastAsia="Arial" w:hAnsi="Arial"/>
          <w:sz w:val="18"/>
          <w:szCs w:val="18"/>
          <w:color w:val="auto"/>
        </w:rPr>
        <w:t>— Unbilled accounts receivable include all revenue amounts that had not been billed as of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contractual billing terms with customers. Unbilled accounts receivable that are expected to be billed beyond the next 12 months are considered long-term unbilled receivables and included in other noncurrent assets.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 Deferred revenue represents billings to customers for which revenue has not yet been recognized. Deferred revenue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recognized beyond the next 12 months is considered long-term deferred revenue and included in other noncurrent liabilities.</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Assets Recognized from the Costs to Obtain a Contract with a Customer </w:t>
      </w:r>
      <w:r>
        <w:rPr>
          <w:rFonts w:ascii="Arial" w:cs="Arial" w:eastAsia="Arial" w:hAnsi="Arial"/>
          <w:sz w:val="18"/>
          <w:szCs w:val="18"/>
          <w:color w:val="auto"/>
        </w:rPr>
        <w:t>— Incremental costs of obtaining a contract (e.g., sales commissions)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Cost of revenue consists of all costs associated with providing software licenses and services to customers, third party hardware and software including identified losses on contracts. Estimated losses on contracts satisfied over time as work performed are recognized in the period in which the loss is identified.</w:t>
      </w:r>
    </w:p>
    <w:p>
      <w:pPr>
        <w:spacing w:after="0" w:line="184"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15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evaluates accounts receivable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The allowance for doubtful accounts as of September 30, 2020 and 2019, was $23,419 and $36,121, respectively. As of September 30, 2020, the Company had one customer with an accounts receivable balance of more than 10% of total accounts receivable, amounting to 22%, which was lower than its respective portion of total revenue. As of September 30, 2019, the Company had one customer with an accounts receivable balance of more than 10% of total accounts receivable, amounting to 16%, which was lower than its respective portion of total revenue.</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March 2020, the Financial Accounting Standards Board, or FASB, issued Accounting Standard Update, or ASU No. 2020-04: “</w:t>
      </w:r>
      <w:r>
        <w:rPr>
          <w:rFonts w:ascii="Arial" w:cs="Arial" w:eastAsia="Arial" w:hAnsi="Arial"/>
          <w:sz w:val="16"/>
          <w:szCs w:val="16"/>
          <w:i w:val="1"/>
          <w:iCs w:val="1"/>
          <w:color w:val="auto"/>
        </w:rPr>
        <w:t>Reference Rate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Reform: Facilitation of the Effects of Reference Rate Reform on Financial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temporary optional expedients and exceptions on certain contract modifications, hedge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In December 2019, the FASB issued Accounting Standard Update, or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This ASU will be effective for the Company on October 1, 2021, and early adoption is permitted. The Company currently expects that adoption of this ASU will not have a material impact on its consolidated financial statements.</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November 2018, the FASB, issued ASU No. 2018-18</w:t>
      </w:r>
      <w:r>
        <w:rPr>
          <w:rFonts w:ascii="Arial" w:cs="Arial" w:eastAsia="Arial" w:hAnsi="Arial"/>
          <w:sz w:val="18"/>
          <w:szCs w:val="18"/>
          <w:i w:val="1"/>
          <w:iCs w:val="1"/>
          <w:color w:val="auto"/>
        </w:rPr>
        <w:t>, “Collaborative Arrangements</w:t>
      </w:r>
      <w:r>
        <w:rPr>
          <w:rFonts w:ascii="Arial" w:cs="Arial" w:eastAsia="Arial" w:hAnsi="Arial"/>
          <w:sz w:val="18"/>
          <w:szCs w:val="18"/>
          <w:color w:val="auto"/>
        </w:rPr>
        <w:t>”. The ASU clarifies the interaction between collaborative arrangements and the new revenue standards. This ASU will be effective for the Company on October 1, 2020. The Company currently expects that adoption of this ASU will not have a material impact on its consolidated financial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The Company currently expects that adoption of this ASU will not have a material impact on its consolidated financial statements.</w:t>
      </w:r>
    </w:p>
    <w:p>
      <w:pPr>
        <w:spacing w:after="0" w:line="188"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The Company currently expects that adoption of this ASU may result in changes to its financial statements disclosure but will not have a material impact on its consolidated financial statements.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This ASU will be effective for the Company on October 1, 2020. The Company expects that the adoption of this ASU will not have a material impact on its consolidated financial statements.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The Company currently expects that adoption of this ASU will not have a material impact on its consolidated financial statements.</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In January 2017, the FASB, issued an Accounting Standard Update, or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ASU simplifies the accounting for goodwill impairment by removing Step 2 of the goodwill impairment test. This ASU will be effective for the Company on October 1, 2020. The Company currently expects that adoption of this ASU will not have an impact on its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The Company currently expects that the adoption of this ASU will not have a material impact on its consolidated financial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As of October 1, 2019, the Company adopted this ASU using the modified retrospective transition approach. Prior period amounts were not adjusted. The Company elected the package of practical expedients which does not require reassessment of prior conclusions related to identifying leases, lease classification or initial direct costs. The Company also elected the practical expedient not to separate non-lease components from lease components and instead to account for each separate lease component and the non-lease components associated with that lease component as a single lease component for its real estate and vehicle leases. The adoption of this ASU did not have a material impact on its consolidated statement of income and on its consolidated statement of cash flow.</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impact of adopting this ASU on the Company’s Consolidated Balance Sheets was as follows: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Balance as of</w:t>
            </w:r>
          </w:p>
        </w:tc>
        <w:tc>
          <w:tcPr>
            <w:tcW w:w="34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 due</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Balance as of</w:t>
            </w:r>
          </w:p>
        </w:tc>
      </w:tr>
      <w:tr>
        <w:trPr>
          <w:trHeight w:val="17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7"/>
              </w:rPr>
              <w:t>to ASC 842</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October 1, 2019</w:t>
            </w:r>
          </w:p>
        </w:tc>
      </w:tr>
      <w:tr>
        <w:trPr>
          <w:trHeight w:val="189"/>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Balance Sheet:</w:t>
            </w:r>
          </w:p>
        </w:tc>
        <w:tc>
          <w:tcPr>
            <w:tcW w:w="37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216,084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(6,697)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209,387</w:t>
            </w: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281,785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281,785</w:t>
            </w: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423,941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421,186</w:t>
            </w: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(647,657)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(644,104)</w:t>
            </w: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Lease liabilities (current)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(63,351)</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(63,351)</w:t>
            </w: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 (non-current)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(221,050)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(221,050)</w:t>
            </w:r>
          </w:p>
        </w:tc>
      </w:tr>
      <w:tr>
        <w:trPr>
          <w:trHeight w:val="23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Other noncurrent liabilities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(334,922)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8,515</w:t>
            </w: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(326,407)</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16 to the consolidated financial statements for further details.</w:t>
      </w:r>
    </w:p>
    <w:p>
      <w:pPr>
        <w:spacing w:after="0" w:line="225"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ASU aligns the measurement and classification for share-based payments to nonemployees with the guidance for share-based payments to employees, with certain exceptions. The Company prospectively adopted this ASU effective October 1, 2019. As of the date of the adoption there was no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2020, the Company acquired three companies and other intangible assets for total consideration of approximately $291,459, among them the largest</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86"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is Openet, which offers cloud-native capabilities, network pedigree, and deep 5G charging, policy and data management expertise and whose solutions complement the Amdocs portfolio. During fiscal year 2019, we acquired three companies for total consideration of approximately $64,963, among them the largest is TTS Wireless a leading provider of mobile network engineering services, specializing in network optimization, planning and software-enabled solutions. See Note 9 to the consolidated financial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Accounts receivable — billed (net of allowances for doubtful accounts of $23,419 and $36,121 as of</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685,485</w:t>
            </w:r>
          </w:p>
        </w:tc>
        <w:tc>
          <w:tcPr>
            <w:tcW w:w="6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760,797</w:t>
            </w:r>
          </w:p>
        </w:tc>
        <w:tc>
          <w:tcPr>
            <w:tcW w:w="0" w:type="dxa"/>
            <w:vAlign w:val="bottom"/>
          </w:tcPr>
          <w:p>
            <w:pPr>
              <w:spacing w:after="0"/>
              <w:rPr>
                <w:sz w:val="1"/>
                <w:szCs w:val="1"/>
                <w:color w:val="auto"/>
              </w:rPr>
            </w:pPr>
          </w:p>
        </w:tc>
      </w:tr>
      <w:tr>
        <w:trPr>
          <w:trHeight w:val="217"/>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and 2019, respectively)</w:t>
            </w:r>
          </w:p>
        </w:tc>
        <w:tc>
          <w:tcPr>
            <w:tcW w:w="16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175,548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227,061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42,089</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09"/>
        </w:trPr>
        <w:tc>
          <w:tcPr>
            <w:tcW w:w="866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(126,841)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(118,182)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(16,529)</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(143,370)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(141,967)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Revenue recognized during the year ended September 30, 2020, which was included in deferred revenue (current) as of September 30, 2019 was $104,648. Revenue recognized during the year ended September 30, 2019, which was included in deferred revenue (current) as of October 1, 2018 was $93,508.</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 from Contracts with Customer</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September 30, 2020, the aggregate amount of the transaction price allocated to remaining performance obligations that are unsatisfied or partially unsatisfied was approximately $5.1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 see Note 22 — Segment Information and Sales to Significant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86"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advantageous market in which it would transact and it considers assumptions that market participants would use when pricing the asset or liability.</w:t>
      </w:r>
    </w:p>
    <w:p>
      <w:pPr>
        <w:spacing w:after="0" w:line="23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560" w:right="26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2020 and 2019:</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9"/>
              </w:rPr>
              <w:t>As of September 30,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8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6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820" w:type="dxa"/>
            <w:vAlign w:val="bottom"/>
            <w:gridSpan w:val="3"/>
          </w:tcPr>
          <w:p>
            <w:pPr>
              <w:spacing w:after="0"/>
              <w:rPr>
                <w:sz w:val="20"/>
                <w:szCs w:val="20"/>
                <w:color w:val="auto"/>
              </w:rPr>
            </w:pPr>
            <w:r>
              <w:rPr>
                <w:rFonts w:ascii="Arial" w:cs="Arial" w:eastAsia="Arial" w:hAnsi="Arial"/>
                <w:sz w:val="18"/>
                <w:szCs w:val="18"/>
                <w:color w:val="auto"/>
              </w:rPr>
              <w:t>$558,633</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558,633</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86"/>
              </w:rPr>
              <w:t>558,633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w w:val="79"/>
              </w:rPr>
              <w:t>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559,385</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24,211</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8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20,636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(19,641)</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(19,641)</w:t>
            </w:r>
          </w:p>
        </w:tc>
        <w:tc>
          <w:tcPr>
            <w:tcW w:w="100" w:type="dxa"/>
            <w:vAlign w:val="bottom"/>
            <w:shd w:val="clear" w:color="auto" w:fill="CCEEFF"/>
          </w:tcPr>
          <w:p>
            <w:pPr>
              <w:spacing w:after="0"/>
              <w:rPr>
                <w:sz w:val="18"/>
                <w:szCs w:val="18"/>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584,591</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73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9"/>
              </w:rPr>
              <w:t>As of September 30, 2019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360" w:type="dxa"/>
            <w:vAlign w:val="bottom"/>
          </w:tcPr>
          <w:p>
            <w:pPr>
              <w:spacing w:after="0"/>
              <w:rPr>
                <w:sz w:val="12"/>
                <w:szCs w:val="12"/>
                <w:color w:val="auto"/>
              </w:rPr>
            </w:pPr>
          </w:p>
        </w:tc>
        <w:tc>
          <w:tcPr>
            <w:tcW w:w="8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spacing w:after="0"/>
              <w:rPr>
                <w:sz w:val="20"/>
                <w:szCs w:val="20"/>
                <w:color w:val="auto"/>
              </w:rPr>
            </w:pPr>
            <w:r>
              <w:rPr>
                <w:rFonts w:ascii="Arial" w:cs="Arial" w:eastAsia="Arial" w:hAnsi="Arial"/>
                <w:sz w:val="18"/>
                <w:szCs w:val="18"/>
                <w:color w:val="auto"/>
                <w:w w:val="96"/>
              </w:rPr>
              <w:t>$ 69,370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69,370</w:t>
            </w:r>
          </w:p>
        </w:tc>
      </w:tr>
      <w:tr>
        <w:trPr>
          <w:trHeight w:val="20"/>
        </w:trPr>
        <w:tc>
          <w:tcPr>
            <w:tcW w:w="7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69,370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69,370</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Equity Investments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18,008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Other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(29,805)</w:t>
            </w:r>
          </w:p>
        </w:tc>
        <w:tc>
          <w:tcPr>
            <w:tcW w:w="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(29,805)</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$ 69,370</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$ 7,890</w:t>
            </w:r>
          </w:p>
        </w:tc>
        <w:tc>
          <w:tcPr>
            <w:tcW w:w="1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(11,797)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65,463</w:t>
            </w:r>
          </w:p>
        </w:tc>
      </w:tr>
      <w:tr>
        <w:trPr>
          <w:trHeight w:val="20"/>
        </w:trPr>
        <w:tc>
          <w:tcPr>
            <w:tcW w:w="7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702"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2020. Level 3 liabilities relate to certain acquisition-related liabilities, which were generally valued using a Monte-Carlo simulation model. These liabilities were included in both accrued expenses and other current liabilities and other noncurrent liabilities as of September 30, 2020 and 2019. The decrease in Level 3 liabilities is mainly a result of payments of certain acquisition-related liabilities during fiscal year 2020. Level 3 assets relate to equity investments, which were valued based on price changes in orderly transactions for similar private investments of the same issuer. The increase in Level 3 assets is as a result of changes in the fair value was recorded in the consolidated statement of income.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other current liabilities, accrued personnel costs and short-term financing arrangements approximate their fair value because of the relatively short maturity of these items.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Available-For-Sale Securities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fiscal year 2019 the Company sold most of its available-for-sale securities, in total amount of $101,287, the realized losses recognized from this sale were immaterial and were recorded in the consolidated statements of income. In Fiscal year 2020, the Company didn’t have any sale of Available-for-sale securities.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$558,633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559,387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559,385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60" w:hanging="424"/>
        <w:spacing w:after="0" w:line="279"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2020, $752 of securities were classified as short-term interest-bearing investments and $558,633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As of September 30, 2019</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Gross</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w w:val="86"/>
              </w:rPr>
              <w:t>Losses</w:t>
            </w:r>
          </w:p>
        </w:tc>
        <w:tc>
          <w:tcPr>
            <w:tcW w:w="4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$ 69,370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$ 69,370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$ 69,370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$ 69,370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660" w:hanging="424"/>
        <w:spacing w:after="0" w:line="31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2019, all the securities were classified as cash and cash equivalents.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of September 30, 2020, the immaterial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2020, 2019 and 2018. Realized gains and losses on available-for-sale securities were included in earning and are derived using the first-in-first-out (FIFO) method for determining the cost of securities.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2020,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558,633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752</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559,385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$20,636 as of September 30, 2020. The Company has limited its credit risk by entering into derivative transactions exclusively with investment-grade rated financial institutions and monitors the creditworthiness of these financial institutions on an ongoing basis.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2020. Notional values are in U.S. dollars and are translated and calculated based on forward rates as of September 30, 2020 for forward contracts, and based on spot rates as of September 30, 2020 for options.</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1,220,000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2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see Note 5 to the consolidated financial statements. The fair value of the open foreign exchange contracts recorded as an asset or a liability by the Company on its consolidated balance sheets as of September 30, 2020 and September 30, 2019, is as follows: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5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$21,153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$ 9,344</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1,317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520" w:type="dxa"/>
            <w:vAlign w:val="bottom"/>
            <w:gridSpan w:val="3"/>
          </w:tcPr>
          <w:p>
            <w:pPr>
              <w:jc w:val="right"/>
              <w:ind w:right="520"/>
              <w:spacing w:after="0"/>
              <w:rPr>
                <w:sz w:val="20"/>
                <w:szCs w:val="20"/>
                <w:color w:val="auto"/>
              </w:rPr>
            </w:pPr>
            <w:r>
              <w:rPr>
                <w:rFonts w:ascii="Arial" w:cs="Arial" w:eastAsia="Arial" w:hAnsi="Arial"/>
                <w:sz w:val="18"/>
                <w:szCs w:val="18"/>
                <w:color w:val="auto"/>
              </w:rPr>
              <w:t>(2,089)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(2,977)</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r>
      <w:tr>
        <w:trPr>
          <w:trHeight w:val="209"/>
        </w:trPr>
        <w:tc>
          <w:tcPr>
            <w:tcW w:w="5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5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3,068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5,086</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w:t>
            </w:r>
          </w:p>
        </w:tc>
      </w:tr>
      <w:tr>
        <w:trPr>
          <w:trHeight w:val="209"/>
        </w:trPr>
        <w:tc>
          <w:tcPr>
            <w:tcW w:w="5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80" w:type="dxa"/>
            <w:vAlign w:val="bottom"/>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20,636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$ 7,890</w:t>
            </w:r>
          </w:p>
        </w:tc>
      </w:tr>
      <w:tr>
        <w:trPr>
          <w:trHeight w:val="20"/>
        </w:trPr>
        <w:tc>
          <w:tcPr>
            <w:tcW w:w="5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320" w:lineRule="auto"/>
        <w:rPr>
          <w:sz w:val="20"/>
          <w:szCs w:val="20"/>
          <w:color w:val="auto"/>
        </w:rPr>
      </w:pPr>
      <w:r>
        <w:rPr>
          <w:rFonts w:ascii="Arial" w:cs="Arial" w:eastAsia="Arial" w:hAnsi="Arial"/>
          <w:sz w:val="15"/>
          <w:szCs w:val="15"/>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2020 is scheduled to mature within the next 12 months.</w:t>
      </w:r>
    </w:p>
    <w:p>
      <w:pPr>
        <w:spacing w:after="0" w:line="14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86"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2020, 2019 and 2018, respectively, which partially offsets the foreign currency impact from the underlying exposures, is summarized as follows:</w:t>
      </w:r>
    </w:p>
    <w:p>
      <w:pPr>
        <w:spacing w:after="0" w:line="10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0"/>
              </w:rPr>
              <w:t>Gains (Losses) Reclassified from</w:t>
            </w:r>
          </w:p>
        </w:tc>
      </w:tr>
      <w:tr>
        <w:trPr>
          <w:trHeight w:val="148"/>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9"/>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Other Comprehensive Income (Loss)</w:t>
            </w:r>
          </w:p>
        </w:tc>
      </w:tr>
      <w:tr>
        <w:trPr>
          <w:trHeight w:val="149"/>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4"/>
          </w:tcPr>
          <w:p>
            <w:pPr>
              <w:jc w:val="center"/>
              <w:ind w:left="142"/>
              <w:spacing w:after="0" w:line="149" w:lineRule="exact"/>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4,166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15,877</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CEEFF"/>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9,146</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(12,976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21,337</w:t>
            </w:r>
          </w:p>
        </w:tc>
        <w:tc>
          <w:tcPr>
            <w:tcW w:w="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gridSpan w:val="8"/>
          </w:tcPr>
          <w:p>
            <w:pPr>
              <w:jc w:val="right"/>
              <w:ind w:right="681"/>
              <w:spacing w:after="0"/>
              <w:rPr>
                <w:sz w:val="20"/>
                <w:szCs w:val="20"/>
                <w:color w:val="auto"/>
              </w:rPr>
            </w:pPr>
            <w:r>
              <w:rPr>
                <w:rFonts w:ascii="Arial" w:cs="Arial" w:eastAsia="Arial" w:hAnsi="Arial"/>
                <w:sz w:val="14"/>
                <w:szCs w:val="14"/>
                <w:b w:val="1"/>
                <w:bCs w:val="1"/>
                <w:color w:val="auto"/>
                <w:w w:val="91"/>
              </w:rPr>
              <w:t>Year Ended September 30,</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cash flow hedges, net of tax, beginning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(26,608)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$ 24,508</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21,903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19,228</w:t>
            </w:r>
          </w:p>
        </w:tc>
        <w:tc>
          <w:tcPr>
            <w:tcW w:w="260" w:type="dxa"/>
            <w:vAlign w:val="bottom"/>
          </w:tcPr>
          <w:p>
            <w:pPr>
              <w:spacing w:after="0"/>
              <w:rPr>
                <w:sz w:val="18"/>
                <w:szCs w:val="18"/>
                <w:color w:val="auto"/>
              </w:rPr>
            </w:pPr>
          </w:p>
        </w:tc>
        <w:tc>
          <w:tcPr>
            <w:tcW w:w="940" w:type="dxa"/>
            <w:vAlign w:val="bottom"/>
            <w:gridSpan w:val="3"/>
          </w:tcPr>
          <w:p>
            <w:pPr>
              <w:jc w:val="right"/>
              <w:ind w:right="1"/>
              <w:spacing w:after="0"/>
              <w:rPr>
                <w:sz w:val="20"/>
                <w:szCs w:val="20"/>
                <w:color w:val="auto"/>
              </w:rPr>
            </w:pPr>
            <w:r>
              <w:rPr>
                <w:rFonts w:ascii="Arial" w:cs="Arial" w:eastAsia="Arial" w:hAnsi="Arial"/>
                <w:sz w:val="18"/>
                <w:szCs w:val="18"/>
                <w:color w:val="auto"/>
              </w:rPr>
              <w:t>(31,908)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 loss into earnings,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4"/>
              </w:rPr>
              <w:t>(7,012)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11,325</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(19,208)</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Net unrealized gain (loss) on cash flow hedges, net of tax, end of period</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(26,608</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Net unrealized gain (loss) from cash flow hedges recognized in other comprehensive income (loss) were $26,408, $20,035 and $(34,260), or $21,903, $19,228 and $(31,908), net of taxes, during the fiscal years ended September 30, 2020, 2019 and 2018, respectively.</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(loss) as of September 30, 2020, a net gain of $15,721 will be reclassified into earnings during fiscal 2021 and will partially offset the foreign currency impact from the underlying exposures. The amount ultimately realized in earnings will likely differ due to future changes in foreign exchange rates.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2020, 2019 and 2018, was not material.</w:t>
      </w:r>
    </w:p>
    <w:p>
      <w:pPr>
        <w:spacing w:after="0" w:line="17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8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2020, 2019 and 2018, respectively, which partially offsets the foreign currency impact from the underlying exposure, is summarized as follows:</w:t>
      </w:r>
    </w:p>
    <w:p>
      <w:pPr>
        <w:spacing w:after="0" w:line="175"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(Losses) Gains</w:t>
      </w:r>
    </w:p>
    <w:p>
      <w:pPr>
        <w:jc w:val="center"/>
        <w:ind w:left="648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480"/>
        <w:spacing w:after="0" w:line="232" w:lineRule="auto"/>
        <w:rPr>
          <w:sz w:val="20"/>
          <w:szCs w:val="20"/>
          <w:color w:val="auto"/>
        </w:rPr>
      </w:pPr>
      <w:r>
        <w:rPr>
          <w:rFonts w:ascii="Arial" w:cs="Arial" w:eastAsia="Arial" w:hAnsi="Arial"/>
          <w:sz w:val="14"/>
          <w:szCs w:val="14"/>
          <w:b w:val="1"/>
          <w:bCs w:val="1"/>
          <w:color w:val="auto"/>
        </w:rPr>
        <w:t>Year Ended September 30,</w:t>
      </w:r>
    </w:p>
    <w:tbl>
      <w:tblPr>
        <w:tblLayout w:type="fixed"/>
        <w:tblInd w:w="12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70"/>
              </w:rPr>
              <w:t>2019</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item in statements of income:</w:t>
            </w:r>
          </w:p>
        </w:tc>
        <w:tc>
          <w:tcPr>
            <w:tcW w:w="16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60" w:type="dxa"/>
            <w:vAlign w:val="bottom"/>
            <w:gridSpan w:val="4"/>
          </w:tcPr>
          <w:p>
            <w:pPr>
              <w:jc w:val="right"/>
              <w:ind w:right="20"/>
              <w:spacing w:after="0"/>
              <w:rPr>
                <w:sz w:val="20"/>
                <w:szCs w:val="20"/>
                <w:color w:val="auto"/>
              </w:rPr>
            </w:pPr>
            <w:r>
              <w:rPr>
                <w:rFonts w:ascii="Arial" w:cs="Arial" w:eastAsia="Arial" w:hAnsi="Arial"/>
                <w:sz w:val="18"/>
                <w:szCs w:val="18"/>
                <w:color w:val="auto"/>
              </w:rPr>
              <w:t>$  (718)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60" w:type="dxa"/>
            <w:vAlign w:val="bottom"/>
            <w:gridSpan w:val="4"/>
          </w:tcPr>
          <w:p>
            <w:pPr>
              <w:jc w:val="right"/>
              <w:ind w:right="20"/>
              <w:spacing w:after="0"/>
              <w:rPr>
                <w:sz w:val="20"/>
                <w:szCs w:val="20"/>
                <w:color w:val="auto"/>
              </w:rPr>
            </w:pPr>
            <w:r>
              <w:rPr>
                <w:rFonts w:ascii="Arial" w:cs="Arial" w:eastAsia="Arial" w:hAnsi="Arial"/>
                <w:sz w:val="18"/>
                <w:szCs w:val="18"/>
                <w:color w:val="auto"/>
              </w:rPr>
              <w:t>(559)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5,845</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(679)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(528)</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(2,042)</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6,026</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1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3"/>
          </w:tcPr>
          <w:p>
            <w:pPr>
              <w:ind w:left="440"/>
              <w:spacing w:after="0"/>
              <w:rPr>
                <w:sz w:val="20"/>
                <w:szCs w:val="20"/>
                <w:color w:val="auto"/>
              </w:rPr>
            </w:pPr>
            <w:r>
              <w:rPr>
                <w:rFonts w:ascii="Arial" w:cs="Arial" w:eastAsia="Arial" w:hAnsi="Arial"/>
                <w:sz w:val="18"/>
                <w:szCs w:val="18"/>
                <w:color w:val="auto"/>
              </w:rPr>
              <w:t>The components of property and equipment, net are:</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2020</w:t>
            </w: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28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$ 1,163,807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$1,109,465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Building and land(1)</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177,255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109,446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234,777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Furniture, fixtures and other</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51,831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28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1,627,670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1,497,541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980" w:type="dxa"/>
            <w:vAlign w:val="bottom"/>
            <w:gridSpan w:val="2"/>
          </w:tcPr>
          <w:p>
            <w:pPr>
              <w:spacing w:after="0"/>
              <w:rPr>
                <w:sz w:val="18"/>
                <w:szCs w:val="18"/>
                <w:color w:val="auto"/>
              </w:rPr>
            </w:pPr>
          </w:p>
        </w:tc>
        <w:tc>
          <w:tcPr>
            <w:tcW w:w="1220" w:type="dxa"/>
            <w:vAlign w:val="bottom"/>
            <w:gridSpan w:val="5"/>
          </w:tcPr>
          <w:p>
            <w:pPr>
              <w:jc w:val="right"/>
              <w:ind w:right="213"/>
              <w:spacing w:after="0"/>
              <w:rPr>
                <w:sz w:val="20"/>
                <w:szCs w:val="20"/>
                <w:color w:val="auto"/>
              </w:rPr>
            </w:pPr>
            <w:r>
              <w:rPr>
                <w:rFonts w:ascii="Arial" w:cs="Arial" w:eastAsia="Arial" w:hAnsi="Arial"/>
                <w:sz w:val="18"/>
                <w:szCs w:val="18"/>
                <w:color w:val="auto"/>
                <w:w w:val="97"/>
              </w:rPr>
              <w:t>(1,019,719)</w:t>
            </w:r>
          </w:p>
        </w:tc>
        <w:tc>
          <w:tcPr>
            <w:tcW w:w="12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(972,227)</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607,951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525,314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more details, see also note 2.</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Total depreciation expense for fiscal years 2020, 2019 and 2018, was $117,632, $111,387 and $105,439, respectively.</w:t>
      </w:r>
    </w:p>
    <w:p>
      <w:pPr>
        <w:spacing w:after="0" w:line="117"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As of September 30, 2020 and 2019, the costs, net of accumulated depreciation of software assets developed for internal use were $179,837 and $171,331, respectively.</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86" w:right="4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38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00" w:type="dxa"/>
            <w:vAlign w:val="bottom"/>
          </w:tcPr>
          <w:p>
            <w:pPr>
              <w:jc w:val="center"/>
              <w:ind w:left="890"/>
              <w:spacing w:after="0"/>
              <w:rPr>
                <w:sz w:val="20"/>
                <w:szCs w:val="20"/>
                <w:color w:val="auto"/>
              </w:rPr>
            </w:pPr>
            <w:r>
              <w:rPr>
                <w:rFonts w:ascii="Arial" w:cs="Arial" w:eastAsia="Arial" w:hAnsi="Arial"/>
                <w:sz w:val="18"/>
                <w:szCs w:val="18"/>
                <w:b w:val="1"/>
                <w:bCs w:val="1"/>
                <w:color w:val="auto"/>
              </w:rPr>
              <w:t>AMDOCS LIMITED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00" w:type="dxa"/>
            <w:vAlign w:val="bottom"/>
          </w:tcPr>
          <w:p>
            <w:pPr>
              <w:jc w:val="center"/>
              <w:ind w:left="91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50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(dollar and share amounts in thousands, except per share data)</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1160" w:type="dxa"/>
            <w:vAlign w:val="bottom"/>
            <w:vMerge w:val="restart"/>
          </w:tcPr>
          <w:p>
            <w:pPr>
              <w:spacing w:after="0"/>
              <w:rPr>
                <w:sz w:val="18"/>
                <w:szCs w:val="18"/>
                <w:color w:val="auto"/>
              </w:rPr>
            </w:pPr>
          </w:p>
        </w:tc>
        <w:tc>
          <w:tcPr>
            <w:tcW w:w="60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$2,444,895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 resulting from acquisitions(1)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As of September 30, 2019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$2,462,835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acquisitions(2)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2020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2,578,645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ind w:left="540" w:right="120" w:hanging="424"/>
        <w:spacing w:after="0" w:line="26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Mainly relates to the acquisition of TTS. In allocating the total purchase price for TTS, based on estimated fair values, the Company recorded $8,218 of goodwill, $29,500 of customer relationships to be amortized over approximately six years, $2,100 of core technology to be amortized over approximately six years and $1,300 of trade mark to be amortized over four years.</w:t>
      </w:r>
    </w:p>
    <w:p>
      <w:pPr>
        <w:spacing w:after="0" w:line="102" w:lineRule="exact"/>
        <w:rPr>
          <w:rFonts w:ascii="Arial" w:cs="Arial" w:eastAsia="Arial" w:hAnsi="Arial"/>
          <w:sz w:val="18"/>
          <w:szCs w:val="18"/>
          <w:color w:val="auto"/>
        </w:rPr>
      </w:pPr>
    </w:p>
    <w:p>
      <w:pPr>
        <w:ind w:left="540" w:right="300" w:hanging="424"/>
        <w:spacing w:after="0" w:line="286"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Mainly relates to the acquisition of Openet. In allocating the total preliminary purchase price for Openet, based on estimated fair values, the Company recorded $102,898 of goodwill, $40,409 of customer relationships to be amortized over approximately eight years, $53,614 of core technology to be amortized over approximately five years and $2,594 of trade mark to be amortized over two years.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2020, 2019 or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11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Core technology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896,814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(735,534)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(517,670)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(37,391)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1,586,929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1"/>
              </w:rPr>
              <w:t>(1,290,595)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(690,961)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594,555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(483,313)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(35,544)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1,414,980</w:t>
            </w: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(1,209,818</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amortization expenses related to the Company’s definite-lived purchased intangible assets were $80,777, $94,385 and $105,785 for the years ended 2020, 2019 and 2018, respectively.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86" w:right="5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2020 is as follows: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78,345</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63,819</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46,672</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38,954</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34,534</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34,010</w:t>
            </w:r>
          </w:p>
        </w:tc>
        <w:tc>
          <w:tcPr>
            <w:tcW w:w="60" w:type="dxa"/>
            <w:vAlign w:val="bottom"/>
            <w:shd w:val="clear" w:color="auto" w:fill="CCEEFF"/>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296,334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Non-recurring charges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During fiscal year 2018 the Company incurred non-recurring charges of a loss incurred to settle a long-running legal dispute in total amount of $55,000 including legal costs and also incurred restructuring charges of $30,057 primarily related to employee severance expenses. During fiscal year 2019 the Company paid the settlement amount of $50,000 and $5,000 in legal and other fees. During fiscal years 2020, 2019 and 2018 the Company paid most of the restructuring charges, and the remaining amount will be paid over the next several quarters.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60" w:type="dxa"/>
            <w:vAlign w:val="bottom"/>
            <w:gridSpan w:val="8"/>
          </w:tcPr>
          <w:p>
            <w:pPr>
              <w:ind w:left="5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102,391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w:t>
            </w:r>
          </w:p>
        </w:tc>
        <w:tc>
          <w:tcPr>
            <w:tcW w:w="2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(13,950)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25,098</w:t>
            </w:r>
          </w:p>
        </w:tc>
        <w:tc>
          <w:tcPr>
            <w:tcW w:w="8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67,145</w:t>
            </w:r>
          </w:p>
        </w:tc>
        <w:tc>
          <w:tcPr>
            <w:tcW w:w="80" w:type="dxa"/>
            <w:vAlign w:val="bottom"/>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maintained a tax receivable balance of $58,336 and $53,143 as of September 30, 2020 and 2019, respectively, which is included in Prepaid expenses and other current assets.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702"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481"/>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5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01"/>
              <w:spacing w:after="0"/>
              <w:rPr>
                <w:sz w:val="20"/>
                <w:szCs w:val="20"/>
                <w:color w:val="auto"/>
              </w:rPr>
            </w:pPr>
            <w:r>
              <w:rPr>
                <w:rFonts w:ascii="Arial" w:cs="Arial" w:eastAsia="Arial" w:hAnsi="Arial"/>
                <w:sz w:val="18"/>
                <w:szCs w:val="18"/>
                <w:color w:val="auto"/>
              </w:rPr>
              <w:t>25,252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30,659</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compensation and benefits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75,689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76,327</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1"/>
              <w:spacing w:after="0"/>
              <w:rPr>
                <w:sz w:val="20"/>
                <w:szCs w:val="20"/>
                <w:color w:val="auto"/>
              </w:rPr>
            </w:pPr>
            <w:r>
              <w:rPr>
                <w:rFonts w:ascii="Arial" w:cs="Arial" w:eastAsia="Arial" w:hAnsi="Arial"/>
                <w:sz w:val="18"/>
                <w:szCs w:val="18"/>
                <w:color w:val="auto"/>
              </w:rPr>
              <w:t>18,705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11,805</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net capital and operating loss carryforwards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142,718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153,062</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1"/>
              <w:spacing w:after="0"/>
              <w:rPr>
                <w:sz w:val="20"/>
                <w:szCs w:val="20"/>
                <w:color w:val="auto"/>
              </w:rPr>
            </w:pPr>
            <w:r>
              <w:rPr>
                <w:rFonts w:ascii="Arial" w:cs="Arial" w:eastAsia="Arial" w:hAnsi="Arial"/>
                <w:sz w:val="18"/>
                <w:szCs w:val="18"/>
                <w:color w:val="auto"/>
              </w:rPr>
              <w:t>71,204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73,249</w:t>
            </w: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386,179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345,102</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(69,455)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(85,533)</w:t>
            </w:r>
          </w:p>
        </w:tc>
      </w:tr>
      <w:tr>
        <w:trPr>
          <w:trHeight w:val="209"/>
        </w:trPr>
        <w:tc>
          <w:tcPr>
            <w:tcW w:w="5440" w:type="dxa"/>
            <w:vAlign w:val="bottom"/>
          </w:tcPr>
          <w:p>
            <w:pPr>
              <w:ind w:left="360"/>
              <w:spacing w:after="0"/>
              <w:rPr>
                <w:sz w:val="20"/>
                <w:szCs w:val="20"/>
                <w:color w:val="auto"/>
              </w:rPr>
            </w:pPr>
            <w:r>
              <w:rPr>
                <w:rFonts w:ascii="Arial" w:cs="Arial" w:eastAsia="Arial" w:hAnsi="Arial"/>
                <w:sz w:val="18"/>
                <w:szCs w:val="18"/>
                <w:color w:val="auto"/>
              </w:rPr>
              <w:t>Total deferred tax assets, net</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316,724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259,569</w:t>
            </w:r>
          </w:p>
        </w:tc>
        <w:tc>
          <w:tcPr>
            <w:tcW w:w="80" w:type="dxa"/>
            <w:vAlign w:val="bottom"/>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Anticipated withholdings on subsidiaries’ earnings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1"/>
              <w:spacing w:after="0"/>
              <w:rPr>
                <w:sz w:val="20"/>
                <w:szCs w:val="20"/>
                <w:color w:val="auto"/>
              </w:rPr>
            </w:pPr>
            <w:r>
              <w:rPr>
                <w:rFonts w:ascii="Arial" w:cs="Arial" w:eastAsia="Arial" w:hAnsi="Arial"/>
                <w:sz w:val="18"/>
                <w:szCs w:val="18"/>
                <w:color w:val="auto"/>
              </w:rPr>
              <w:t>(81,489)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(70,961)</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w w:val="90"/>
              </w:rPr>
              <w:t>(114,772)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(104,926)</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1"/>
              <w:spacing w:after="0"/>
              <w:rPr>
                <w:sz w:val="20"/>
                <w:szCs w:val="20"/>
                <w:color w:val="auto"/>
              </w:rPr>
            </w:pPr>
            <w:r>
              <w:rPr>
                <w:rFonts w:ascii="Arial" w:cs="Arial" w:eastAsia="Arial" w:hAnsi="Arial"/>
                <w:sz w:val="18"/>
                <w:szCs w:val="18"/>
                <w:color w:val="auto"/>
              </w:rPr>
              <w:t>(69,215)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(90,825)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(81,736)</w:t>
            </w: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(356,301</w:t>
            </w:r>
          </w:p>
        </w:tc>
        <w:tc>
          <w:tcPr>
            <w:tcW w:w="400" w:type="dxa"/>
            <w:vAlign w:val="bottom"/>
            <w:gridSpan w:val="2"/>
          </w:tcPr>
          <w:p>
            <w:pPr>
              <w:jc w:val="right"/>
              <w:ind w:right="2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(257,623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assets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(39,577</w:t>
            </w:r>
          </w:p>
        </w:tc>
        <w:tc>
          <w:tcPr>
            <w:tcW w:w="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effective income tax rate varied from the statutory Guernsey tax rate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Year Ended 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0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Foreign taxes(1)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14.7%</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0"/>
        </w:trPr>
        <w:tc>
          <w:tcPr>
            <w:tcW w:w="6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income before income tax expense is considered to be foreign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Foreign taxes for the year ended Sep 30, 2020:</w:t>
      </w:r>
    </w:p>
    <w:p>
      <w:pPr>
        <w:spacing w:after="0" w:line="117" w:lineRule="exact"/>
        <w:rPr>
          <w:sz w:val="20"/>
          <w:szCs w:val="20"/>
          <w:color w:val="auto"/>
        </w:rPr>
      </w:pPr>
    </w:p>
    <w:p>
      <w:pPr>
        <w:ind w:left="560" w:firstLine="423"/>
        <w:spacing w:after="0" w:line="301" w:lineRule="auto"/>
        <w:rPr>
          <w:sz w:val="20"/>
          <w:szCs w:val="20"/>
          <w:color w:val="auto"/>
        </w:rPr>
      </w:pPr>
      <w:r>
        <w:rPr>
          <w:rFonts w:ascii="Arial" w:cs="Arial" w:eastAsia="Arial" w:hAnsi="Arial"/>
          <w:sz w:val="16"/>
          <w:szCs w:val="16"/>
          <w:color w:val="auto"/>
        </w:rPr>
        <w:t>In fiscal year 2020, foreign taxes included a total amount of releases of gross unrecognized tax benefits of $47,582 relating to effectively settled arrangements with tax authorities, changes in facts and circumstances resulting in a change in measurement of certain positions and expiration of the periods set forth in statutes of limitations in certain jurisdictions. The majority of the release was offset by decrease in tax assets and increase in tax liabilities and as a result a net benefit of $14,971 was included within income tax expense for fiscal year 2020.</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00"/>
          </w:cols>
          <w:pgMar w:left="320" w:top="486" w:right="5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jc w:val="both"/>
        <w:ind w:left="560" w:firstLine="423"/>
        <w:spacing w:after="0" w:line="342" w:lineRule="auto"/>
        <w:rPr>
          <w:sz w:val="20"/>
          <w:szCs w:val="20"/>
          <w:color w:val="auto"/>
        </w:rPr>
      </w:pPr>
      <w:r>
        <w:rPr>
          <w:rFonts w:ascii="Arial" w:cs="Arial" w:eastAsia="Arial" w:hAnsi="Arial"/>
          <w:sz w:val="16"/>
          <w:szCs w:val="16"/>
          <w:color w:val="auto"/>
        </w:rPr>
        <w:t>Foreign taxes in fiscal year 2020 also included a benefit of $15,438 resulting from the release of valuation allowances on deferred tax assets at certain of the Company’s subsidiaries, which will, more likely than not, be realized due to the Company’s projections of future taxable income.</w:t>
      </w:r>
    </w:p>
    <w:p>
      <w:pPr>
        <w:spacing w:after="0" w:line="124"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in the usage of net operating losses, interest deductions and payroll benefits. Furthermore, other governments have offered and may continue to offer support to companies who operate in those countries.</w:t>
      </w:r>
    </w:p>
    <w:p>
      <w:pPr>
        <w:spacing w:after="0" w:line="18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Foreign taxes in fiscal year 2020 also included a tax benefit of $4,964 resulting from tax enactments related to the COVID-19 in certain jurisdictions.</w:t>
      </w:r>
    </w:p>
    <w:p>
      <w:pPr>
        <w:spacing w:after="0" w:line="278"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Foreign taxes for the year ended Sep 30, 2019:</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In fiscal year 2019, foreign taxes included a benefit of $26,529 that was primarily attributable to the expiration of the periods set forth in statutes of limitations and to a lesser extent from the conclusions of tax audits related to unrecognized tax benefits accumulated over several years in certain jurisdictions.</w:t>
      </w:r>
    </w:p>
    <w:p>
      <w:pPr>
        <w:spacing w:after="0" w:line="184" w:lineRule="exact"/>
        <w:rPr>
          <w:sz w:val="20"/>
          <w:szCs w:val="20"/>
          <w:color w:val="auto"/>
        </w:rPr>
      </w:pPr>
    </w:p>
    <w:p>
      <w:pPr>
        <w:jc w:val="both"/>
        <w:ind w:left="560" w:firstLine="423"/>
        <w:spacing w:after="0" w:line="342" w:lineRule="auto"/>
        <w:rPr>
          <w:sz w:val="20"/>
          <w:szCs w:val="20"/>
          <w:color w:val="auto"/>
        </w:rPr>
      </w:pPr>
      <w:r>
        <w:rPr>
          <w:rFonts w:ascii="Arial" w:cs="Arial" w:eastAsia="Arial" w:hAnsi="Arial"/>
          <w:sz w:val="16"/>
          <w:szCs w:val="16"/>
          <w:color w:val="auto"/>
        </w:rPr>
        <w:t>Foreign taxes in fiscal year 2019 also included a benefit of $12,650 resulting from the release of valuation allowances on deferred tax assets at certain of the Company’s subsidiaries, which will, more likely than not, be realized due to the Company’s projections of future taxable income.</w:t>
      </w:r>
    </w:p>
    <w:p>
      <w:pPr>
        <w:spacing w:after="0" w:line="272"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taxes for the year ended Sep 30, 2018:</w:t>
      </w:r>
    </w:p>
    <w:p>
      <w:pPr>
        <w:spacing w:after="0" w:line="117" w:lineRule="exact"/>
        <w:rPr>
          <w:sz w:val="20"/>
          <w:szCs w:val="20"/>
          <w:color w:val="auto"/>
        </w:rPr>
      </w:pPr>
    </w:p>
    <w:p>
      <w:pPr>
        <w:ind w:left="560" w:right="80" w:firstLine="423"/>
        <w:spacing w:after="0" w:line="273" w:lineRule="auto"/>
        <w:rPr>
          <w:sz w:val="20"/>
          <w:szCs w:val="20"/>
          <w:color w:val="auto"/>
        </w:rPr>
      </w:pPr>
      <w:r>
        <w:rPr>
          <w:rFonts w:ascii="Arial" w:cs="Arial" w:eastAsia="Arial" w:hAnsi="Arial"/>
          <w:sz w:val="17"/>
          <w:szCs w:val="17"/>
          <w:color w:val="auto"/>
        </w:rPr>
        <w:t>In fiscal year 2018, foreign taxes included a benefit of $9,564 due to conclusions of tax audits in certain jurisdictions, which resulted in an increase to the Company’s tax credits carryforwards and a reduction to the Company’s provision for gross unrecognized tax benefits. In addition, foreign taxes in fiscal year 2018 included a benefit of $18,022 that was attributable to the expiration of the periods set forth in statutes of limitations related to unrecognized tax benefits accumulated over several years in certain jurisdictions. Foreign taxes in fiscal year 2018 also included a tax expenses of $12,032 resulting from the creation of valuation allowances on deferred tax assets at certain of the Company’s subsidiaries, which may not be realized based on the Company’s projections of future taxable income.</w:t>
      </w:r>
    </w:p>
    <w:p>
      <w:pPr>
        <w:spacing w:after="0" w:line="178" w:lineRule="exact"/>
        <w:rPr>
          <w:sz w:val="20"/>
          <w:szCs w:val="20"/>
          <w:color w:val="auto"/>
        </w:rPr>
      </w:pPr>
    </w:p>
    <w:p>
      <w:pPr>
        <w:ind w:left="560" w:right="80" w:firstLine="423"/>
        <w:spacing w:after="0" w:line="259" w:lineRule="auto"/>
        <w:rPr>
          <w:sz w:val="20"/>
          <w:szCs w:val="20"/>
          <w:color w:val="auto"/>
        </w:rPr>
      </w:pPr>
      <w:r>
        <w:rPr>
          <w:rFonts w:ascii="Arial" w:cs="Arial" w:eastAsia="Arial" w:hAnsi="Arial"/>
          <w:sz w:val="18"/>
          <w:szCs w:val="18"/>
          <w:color w:val="auto"/>
        </w:rPr>
        <w:t>In addition, foreign taxes in fiscal year 2018 included a provisional expense of $2,321 relating to changes in tax law in the United States pursuant to SAB No. 118. The provisional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187" w:lineRule="exact"/>
        <w:rPr>
          <w:sz w:val="20"/>
          <w:szCs w:val="20"/>
          <w:color w:val="auto"/>
        </w:rPr>
      </w:pPr>
    </w:p>
    <w:p>
      <w:pPr>
        <w:ind w:left="560" w:right="60" w:firstLine="423"/>
        <w:spacing w:after="0" w:line="263" w:lineRule="auto"/>
        <w:rPr>
          <w:sz w:val="20"/>
          <w:szCs w:val="20"/>
          <w:color w:val="auto"/>
        </w:rPr>
      </w:pPr>
      <w:r>
        <w:rPr>
          <w:rFonts w:ascii="Arial" w:cs="Arial" w:eastAsia="Arial" w:hAnsi="Arial"/>
          <w:sz w:val="18"/>
          <w:szCs w:val="18"/>
          <w:color w:val="auto"/>
        </w:rPr>
        <w:t>As an indirect consequence to the changes in tax law in the United States the Company no longer makes a permanently reinvest assertion relating to one of its subsidiaries, therefore, a provisional tax liability of $4,059 was recorded related to the tax implications of remitting earnings that were previously asserted as permanently reinvested.</w:t>
      </w:r>
    </w:p>
    <w:p>
      <w:pPr>
        <w:spacing w:after="0" w:line="184" w:lineRule="exact"/>
        <w:rPr>
          <w:sz w:val="20"/>
          <w:szCs w:val="20"/>
          <w:color w:val="auto"/>
        </w:rPr>
      </w:pPr>
    </w:p>
    <w:p>
      <w:pPr>
        <w:ind w:left="560" w:right="220" w:firstLine="423"/>
        <w:spacing w:after="0" w:line="308" w:lineRule="auto"/>
        <w:rPr>
          <w:sz w:val="20"/>
          <w:szCs w:val="20"/>
          <w:color w:val="auto"/>
        </w:rPr>
      </w:pPr>
      <w:r>
        <w:rPr>
          <w:rFonts w:ascii="Arial" w:cs="Arial" w:eastAsia="Arial" w:hAnsi="Arial"/>
          <w:sz w:val="17"/>
          <w:szCs w:val="17"/>
          <w:color w:val="auto"/>
        </w:rPr>
        <w:t>During fiscal year 2018, as a result of funding decisions for the construction of the Company’s new campus in Israel, see also Note 2, the Company recorded a tax benefit of $28,795 related to the release of withholding and income tax reserves for unremitted earnings.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60"/>
          </w:cols>
          <w:pgMar w:left="320" w:top="486"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September 30, 2020 and 2019, the Company continues to indefinitely reinvest certain undistributed earnings of its foreign subsidiary and as a result has not recorded deferred tax liabilities in an amount of $28,795.</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fiscal year 2020, the net decrease in valuation allowances was $16,078. The valuation allowances, related to the uncertainty of realizing tax benefits primarily for tax credits, net capital and operating loss carryforwards related to certain of the Company’s subsidiaries. As of September 30, 2020, the Company had tax credits, net capital and operating loss carryforwards of $829,260 of which $245,843 have expiration dates through 2040, and the remainder do not expire.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fiscal year 2019, the net decrease in valuation allowances was $27,194. The valuation allowances, related to the uncertainty of realizing tax benefits primarily for tax credits, net capital and operating loss carryforwards related to certain of the Company’s subsidiaries. As of September 30, 2019, the Company had tax credits, net capital and operating loss carryforwards of $797,091 of which $244,711 have expiration dates through 2039, and the remainder do not expire.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$ 169,322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$187,646</w:t>
            </w:r>
          </w:p>
        </w:tc>
        <w:tc>
          <w:tcPr>
            <w:tcW w:w="5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$ 193,024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23,154</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19,530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5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Reductions for tax positions of prior years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(15,214)</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(2,578)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with tax authorities(1)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(29,400)</w:t>
            </w:r>
          </w:p>
        </w:tc>
        <w:tc>
          <w:tcPr>
            <w:tcW w:w="1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(37,672)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Lapse of statute of limitations</w:t>
            </w:r>
          </w:p>
        </w:tc>
        <w:tc>
          <w:tcPr>
            <w:tcW w:w="4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(2,968)</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(25,162)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5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4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vMerge w:val="continue"/>
          </w:tcPr>
          <w:p>
            <w:pPr>
              <w:spacing w:after="0"/>
              <w:rPr>
                <w:sz w:val="18"/>
                <w:szCs w:val="18"/>
                <w:color w:val="auto"/>
              </w:rPr>
            </w:pPr>
          </w:p>
        </w:tc>
        <w:tc>
          <w:tcPr>
            <w:tcW w:w="5480" w:type="dxa"/>
            <w:vAlign w:val="bottom"/>
            <w:gridSpan w:val="2"/>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$ 168,186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169,322</w:t>
            </w:r>
          </w:p>
        </w:tc>
        <w:tc>
          <w:tcPr>
            <w:tcW w:w="5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$ 187,646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34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changes in the year ended September 30, 2020, in the balance of the Company’s gross unrecognized tax benefits that relate to settlements with tax authorities is $29,400, the majority of which was offset by income tax payments and increase in Tax Payables and Deferred Tax Liabilities.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$168,186 as of September 30, 2020, and $169,322 as of September 30, 2019, all of which would affect the effective tax rate if realized.</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As of September 30, 2020, the Company had accrued $15,812 in income taxes payable for interest and penalties relating to unrecognized tax benefits. Total amount of interest and penalty releases, net that was recognized in the statements of income in fiscal year 2020 was $15,396. As of September 30, 2019, the Company had accrued $31,108 in income taxes payable for interest and penalties relating to unrecognized tax benefits, of which a benefit of $4,679 was recognized in the statements of income in fiscal year 2019, net of interest and penalty reversals.</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is currently under tax audit in several jurisdictions for the tax years 2007 and onwards. Timing of the resolution of audits is highly uncertain and therefore, as of September 30, 2020, the Company cannot estimate the change in unrecognized tax benefits resulting from these audits within the next 12 months.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86"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up to $15,446 during fiscal year 2021 as a result of lapse of statutes of limitations in jurisdictions in which the Company operates.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Repurchase of Shares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On November 12, 2019, the Company’s Board of Directors adopted another share repurchase plan authorizing the repurchase of up to an additional $800,000 of the Company’s outstanding ordinary shares with no expiration date. In May 2020, the Company completed the repurchase of the remaining authorized amount of ordinary shares under the November 2017 plan and initiated repurchases of the Company’s outstanding ordinary shares pursuant to the November 2019 plan. In the year ended September 30, 2020, the Company repurchased 5,668 ordinary shares at an average price of $63.66 per share (excluding broker and transaction fees). The November 2019 plan permits the Company to purchase its ordinary shares in the open market or through privately negotiated transactions at times and prices that it considers appropriate. As of September 30, 2020, the Company had remaining authority to repurchase up to $678,344 of its outstanding ordinary shares under the November 2019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Financing Arrangements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December 2011, the Company entered into the unsecured $500,000 five-year revolving credit facility with a syndicate of banks (the “Revolving Credit Facility”).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In March 2020, the Company drew an aggregate of $300,000 under the Revolving Credit Facility and repaid it in full in June 2020 in connection with the issuance of our Senior Notes. As of September 30, 2020, the Company was in compliance with the financial covenants and had no outstanding borrowings under the Revolving Credit Facility.</w:t>
      </w:r>
    </w:p>
    <w:p>
      <w:pPr>
        <w:spacing w:after="0" w:line="70" w:lineRule="exact"/>
        <w:rPr>
          <w:sz w:val="20"/>
          <w:szCs w:val="20"/>
          <w:color w:val="auto"/>
        </w:rPr>
      </w:pPr>
    </w:p>
    <w:p>
      <w:pPr>
        <w:jc w:val="both"/>
        <w:ind w:left="120" w:right="60" w:firstLine="440"/>
        <w:spacing w:after="0" w:line="271" w:lineRule="auto"/>
        <w:rPr>
          <w:sz w:val="20"/>
          <w:szCs w:val="20"/>
          <w:color w:val="auto"/>
        </w:rPr>
      </w:pPr>
      <w:r>
        <w:rPr>
          <w:rFonts w:ascii="Arial" w:cs="Arial" w:eastAsia="Arial" w:hAnsi="Arial"/>
          <w:sz w:val="18"/>
          <w:szCs w:val="18"/>
          <w:color w:val="auto"/>
        </w:rPr>
        <w:t>In addition, unassociated with the Revolving Credit Facility discussed above, in the second quarter of fiscal year 2020, the Company entered into a $50,000 short-term loan and repaid it in full in June 2020 in connection with the issuance of our Senior Notes. In May 2020 the Company entered into an additional $100,000 short-term loan which remained outstanding as of September 30, 2020.</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total interest expenses recognized in connection of the Senior Notes for the year ended September 30, 2020 were $4,562. The accrued interest on the Senior Notes is included in accrued expenses and other current liabilities and was $4,418 as of September 30, 2020. As of September 30, 2020, the noncurrent outstanding principal portion was $650,000.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86"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total estimated fair value of the Senior Notes as of September 30, 2020 was $674,512. The fair value was determined based on the closing trading price of Senior Notes as of September 30, 2020 and is deemed a Level 2 liability within the fair value measurement framework.</w:t>
      </w:r>
    </w:p>
    <w:p>
      <w:pPr>
        <w:spacing w:after="0" w:line="14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September 30, 2020, the Company had additional uncommitted lines of credit available for general corporate and other specific purposes and had outstanding letters of credit and bank guarantees from various banks totaling $93,554.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Accrued Expenses and Other Current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$217,133</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$259,661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121,658</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140,701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25,739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28,335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Dividends payable(1)</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43,084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38,413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4,902</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5,053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181,092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175,494</w:t>
            </w:r>
          </w:p>
        </w:tc>
      </w:tr>
      <w:tr>
        <w:trPr>
          <w:trHeight w:val="20"/>
        </w:trPr>
        <w:tc>
          <w:tcPr>
            <w:tcW w:w="4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593,608</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647,657</w:t>
            </w:r>
          </w:p>
        </w:tc>
      </w:tr>
      <w:tr>
        <w:trPr>
          <w:trHeight w:val="20"/>
        </w:trPr>
        <w:tc>
          <w:tcPr>
            <w:tcW w:w="4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372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amounts payable as a result of the August 5, 2020 and the August 7, 2019 dividend declarations. See Note 20 to the consolidated financial statements.</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See Note 7 to the consolidated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Interest and other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(4,233)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$(6,225)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$(6,602)</w:t>
            </w:r>
          </w:p>
        </w:tc>
      </w:tr>
      <w:tr>
        <w:trPr>
          <w:trHeight w:val="216"/>
        </w:trPr>
        <w:tc>
          <w:tcPr>
            <w:tcW w:w="8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expense(1)</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10,427</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3,911</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11,436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$ 6,766</w:t>
            </w:r>
          </w:p>
        </w:tc>
        <w:tc>
          <w:tcPr>
            <w:tcW w:w="16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13"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further details, see Note 13 to the consolidated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As discussed in Note 2,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operating lease expense is recorded on a straight-line basis over the lease term.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60"/>
          </w:cols>
          <w:pgMar w:left="320" w:top="486" w:right="6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ectPr>
          <w:pgSz w:w="11900" w:h="16838" w:orient="portrait"/>
          <w:cols w:equalWidth="0" w:num="1">
            <w:col w:w="10940"/>
          </w:cols>
          <w:pgMar w:left="320" w:top="486" w:right="639" w:bottom="1440" w:gutter="0" w:footer="0" w:header="0"/>
        </w:sectPr>
      </w:pPr>
    </w:p>
    <w:p>
      <w:pPr>
        <w:spacing w:after="0" w:line="117" w:lineRule="exact"/>
        <w:rPr>
          <w:sz w:val="20"/>
          <w:szCs w:val="20"/>
          <w:color w:val="auto"/>
        </w:rPr>
      </w:pPr>
    </w:p>
    <w:p>
      <w:pPr>
        <w:jc w:val="cente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left="3060"/>
        <w:spacing w:after="0"/>
        <w:rPr>
          <w:sz w:val="20"/>
          <w:szCs w:val="20"/>
          <w:color w:val="auto"/>
        </w:rPr>
      </w:pPr>
      <w:r>
        <w:rPr>
          <w:rFonts w:ascii="Arial" w:cs="Arial" w:eastAsia="Arial" w:hAnsi="Arial"/>
          <w:sz w:val="17"/>
          <w:szCs w:val="17"/>
          <w:b w:val="1"/>
          <w:bCs w:val="1"/>
          <w:color w:val="auto"/>
        </w:rPr>
        <w:t>(dollar and share amounts in thousands, except per share data)</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net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Variable lease cost is immaterial</w:t>
      </w:r>
    </w:p>
    <w:p>
      <w:pPr>
        <w:spacing w:after="0" w:line="22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Supplemental information related to operating lease transactions was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Lease liability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Lease assets obtained in exchange for liabilities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0" w:right="2000"/>
        <w:spacing w:after="0" w:line="359" w:lineRule="auto"/>
        <w:rPr>
          <w:sz w:val="20"/>
          <w:szCs w:val="20"/>
          <w:color w:val="auto"/>
        </w:rPr>
      </w:pPr>
      <w:r>
        <w:rPr>
          <w:rFonts w:ascii="Arial" w:cs="Arial" w:eastAsia="Arial" w:hAnsi="Arial"/>
          <w:sz w:val="16"/>
          <w:szCs w:val="16"/>
          <w:color w:val="auto"/>
        </w:rPr>
        <w:t>Weighted average remaining lease term — Operating leases Weighted 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-339725</wp:posOffset>
            </wp:positionV>
            <wp:extent cx="474916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September 30,</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2020</w:t>
      </w:r>
    </w:p>
    <w:p>
      <w:pPr>
        <w:spacing w:after="0" w:line="15" w:lineRule="exact"/>
        <w:rPr>
          <w:sz w:val="20"/>
          <w:szCs w:val="20"/>
          <w:color w:val="auto"/>
        </w:rPr>
      </w:pPr>
    </w:p>
    <w:p>
      <w:pPr>
        <w:ind w:left="540" w:hanging="388"/>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91,025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Year ended</w:t>
      </w:r>
    </w:p>
    <w:p>
      <w:pPr>
        <w:jc w:val="center"/>
        <w:ind w:right="1580"/>
        <w:spacing w:after="0" w:line="221" w:lineRule="auto"/>
        <w:rPr>
          <w:sz w:val="20"/>
          <w:szCs w:val="20"/>
          <w:color w:val="auto"/>
        </w:rPr>
      </w:pPr>
      <w:r>
        <w:rPr>
          <w:rFonts w:ascii="Arial" w:cs="Arial" w:eastAsia="Arial" w:hAnsi="Arial"/>
          <w:sz w:val="14"/>
          <w:szCs w:val="14"/>
          <w:b w:val="1"/>
          <w:bCs w:val="1"/>
          <w:color w:val="auto"/>
        </w:rPr>
        <w:t>September 30,</w:t>
      </w:r>
    </w:p>
    <w:p>
      <w:pPr>
        <w:ind w:left="400"/>
        <w:spacing w:after="0"/>
        <w:rPr>
          <w:sz w:val="20"/>
          <w:szCs w:val="20"/>
          <w:color w:val="auto"/>
        </w:rPr>
      </w:pPr>
      <w:r>
        <w:rPr>
          <w:rFonts w:ascii="Arial" w:cs="Arial" w:eastAsia="Arial" w:hAnsi="Arial"/>
          <w:sz w:val="14"/>
          <w:szCs w:val="14"/>
          <w:b w:val="1"/>
          <w:bCs w:val="1"/>
          <w:color w:val="auto"/>
        </w:rPr>
        <w:t>2020</w:t>
      </w:r>
    </w:p>
    <w:p>
      <w:pPr>
        <w:spacing w:after="0" w:line="9" w:lineRule="exact"/>
        <w:rPr>
          <w:sz w:val="20"/>
          <w:szCs w:val="20"/>
          <w:color w:val="auto"/>
        </w:rPr>
      </w:pPr>
    </w:p>
    <w:p>
      <w:pPr>
        <w:ind w:left="480" w:hanging="38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88,272</w:t>
      </w:r>
    </w:p>
    <w:p>
      <w:pPr>
        <w:spacing w:after="0" w:line="7" w:lineRule="exact"/>
        <w:rPr>
          <w:rFonts w:ascii="Arial" w:cs="Arial" w:eastAsia="Arial" w:hAnsi="Arial"/>
          <w:sz w:val="18"/>
          <w:szCs w:val="18"/>
          <w:color w:val="auto"/>
        </w:rPr>
      </w:pPr>
    </w:p>
    <w:p>
      <w:pPr>
        <w:ind w:left="480" w:hanging="38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87,820</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 of</w:t>
      </w:r>
    </w:p>
    <w:p>
      <w:pPr>
        <w:spacing w:after="0" w:line="226" w:lineRule="auto"/>
        <w:rPr>
          <w:sz w:val="20"/>
          <w:szCs w:val="20"/>
          <w:color w:val="auto"/>
        </w:rPr>
      </w:pPr>
      <w:r>
        <w:rPr>
          <w:rFonts w:ascii="Arial" w:cs="Arial" w:eastAsia="Arial" w:hAnsi="Arial"/>
          <w:sz w:val="14"/>
          <w:szCs w:val="14"/>
          <w:b w:val="1"/>
          <w:bCs w:val="1"/>
          <w:color w:val="auto"/>
        </w:rPr>
        <w:t>September 30,</w:t>
      </w:r>
    </w:p>
    <w:p>
      <w:pPr>
        <w:ind w:left="300"/>
        <w:spacing w:after="0"/>
        <w:rPr>
          <w:sz w:val="20"/>
          <w:szCs w:val="20"/>
          <w:color w:val="auto"/>
        </w:rPr>
      </w:pPr>
      <w:r>
        <w:rPr>
          <w:rFonts w:ascii="Arial" w:cs="Arial" w:eastAsia="Arial" w:hAnsi="Arial"/>
          <w:sz w:val="14"/>
          <w:szCs w:val="14"/>
          <w:b w:val="1"/>
          <w:bCs w:val="1"/>
          <w:color w:val="auto"/>
        </w:rPr>
        <w:t>2020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6.8 Years</w:t>
      </w:r>
    </w:p>
    <w:p>
      <w:pPr>
        <w:spacing w:after="0" w:line="8"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3.5%</w:t>
      </w:r>
    </w:p>
    <w:p>
      <w:pPr>
        <w:spacing w:after="0" w:line="210" w:lineRule="exact"/>
        <w:rPr>
          <w:sz w:val="20"/>
          <w:szCs w:val="20"/>
          <w:color w:val="auto"/>
        </w:rPr>
      </w:pPr>
    </w:p>
    <w:p>
      <w:pPr>
        <w:sectPr>
          <w:pgSz w:w="11900" w:h="16838" w:orient="portrait"/>
          <w:cols w:equalWidth="0" w:num="2">
            <w:col w:w="8200" w:space="80"/>
            <w:col w:w="2660"/>
          </w:cols>
          <w:pgMar w:left="320" w:top="486" w:right="63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September 30, 2020</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70,485</w:t>
            </w:r>
          </w:p>
        </w:tc>
        <w:tc>
          <w:tcPr>
            <w:tcW w:w="10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2022</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63,315</w:t>
            </w:r>
          </w:p>
        </w:tc>
        <w:tc>
          <w:tcPr>
            <w:tcW w:w="10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41,799</w:t>
            </w:r>
          </w:p>
        </w:tc>
        <w:tc>
          <w:tcPr>
            <w:tcW w:w="10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2024</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33,343</w:t>
            </w:r>
          </w:p>
        </w:tc>
        <w:tc>
          <w:tcPr>
            <w:tcW w:w="10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28,088</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107,216</w:t>
            </w:r>
          </w:p>
        </w:tc>
        <w:tc>
          <w:tcPr>
            <w:tcW w:w="100" w:type="dxa"/>
            <w:vAlign w:val="bottom"/>
            <w:tcBorders>
              <w:bottom w:val="single" w:sz="8" w:color="CCEEFF"/>
            </w:tcBorders>
          </w:tcPr>
          <w:p>
            <w:pPr>
              <w:spacing w:after="0"/>
              <w:rPr>
                <w:sz w:val="18"/>
                <w:szCs w:val="18"/>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344,246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(55,070)</w:t>
            </w:r>
          </w:p>
        </w:tc>
      </w:tr>
      <w:tr>
        <w:trPr>
          <w:trHeight w:val="223"/>
        </w:trPr>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289,176</w:t>
            </w:r>
          </w:p>
        </w:tc>
        <w:tc>
          <w:tcPr>
            <w:tcW w:w="100" w:type="dxa"/>
            <w:vAlign w:val="bottom"/>
            <w:tcBorders>
              <w:top w:val="single" w:sz="8" w:color="CCEEFF"/>
            </w:tcBorders>
            <w:shd w:val="clear" w:color="auto" w:fill="CCEEFF"/>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Future minimum rental commitments under non-cancelable operating leases as of September 30, 2019, which were accounted for per prior lease accounting (ASC 840), were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69,043</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60,544</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51,863</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31,951</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24,350</w:t>
            </w: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331,596</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740" w:type="dxa"/>
            <w:vAlign w:val="bottom"/>
            <w:gridSpan w:val="2"/>
          </w:tcPr>
          <w:p>
            <w:pPr>
              <w:jc w:val="right"/>
              <w:ind w:right="2900"/>
              <w:spacing w:after="0"/>
              <w:rPr>
                <w:sz w:val="20"/>
                <w:szCs w:val="20"/>
                <w:color w:val="auto"/>
              </w:rPr>
            </w:pPr>
            <w:r>
              <w:rPr>
                <w:rFonts w:ascii="Arial" w:cs="Arial" w:eastAsia="Arial" w:hAnsi="Arial"/>
                <w:sz w:val="18"/>
                <w:szCs w:val="18"/>
                <w:color w:val="auto"/>
              </w:rPr>
              <w:t>F-38</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0"/>
          </w:cols>
          <w:pgMar w:left="320" w:top="486" w:right="6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2020, the Company had no material finance leases.</w:t>
      </w:r>
    </w:p>
    <w:p>
      <w:pPr>
        <w:spacing w:after="0" w:line="225" w:lineRule="exact"/>
        <w:rPr>
          <w:sz w:val="20"/>
          <w:szCs w:val="20"/>
          <w:color w:val="auto"/>
        </w:rPr>
      </w:pPr>
    </w:p>
    <w:p>
      <w:pPr>
        <w:ind w:left="120" w:right="1040" w:firstLine="440"/>
        <w:spacing w:after="0" w:line="277" w:lineRule="auto"/>
        <w:rPr>
          <w:sz w:val="20"/>
          <w:szCs w:val="20"/>
          <w:color w:val="auto"/>
        </w:rPr>
      </w:pPr>
      <w:r>
        <w:rPr>
          <w:rFonts w:ascii="Arial" w:cs="Arial" w:eastAsia="Arial" w:hAnsi="Arial"/>
          <w:sz w:val="18"/>
          <w:szCs w:val="18"/>
          <w:color w:val="auto"/>
        </w:rPr>
        <w:t>Rent expense per prior lease accounting (ASC 840), net of sublease income was approximately $65,692 and $63,603 for fiscal years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Contingencies and Commitments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Between 2014 and 2018, the Company defended a lawsuit against certain of its subsidiaries in the U.S. District Court in Oregon alleging breach of contract and trade secret misappropriation.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fiscal year 2019 the Company paid the settlement amount of $50,000 and $5,000 in legal and other fees which were accrued as of September 30, 2018.</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2020, 2019 and 2018.</w:t>
      </w:r>
    </w:p>
    <w:p>
      <w:pPr>
        <w:spacing w:after="0" w:line="14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Employee Benefits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accrues severance pay mainly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$270,985 and $266,209 as of September 30, 2020 and 2019, respectively, and is included as accrued employee costs in other noncurrent liabilities. This liability is partially funded by amounts on deposit with insurance companies that totaled $211,566 and $206,752 as of September 30, 2020 and 2019, respectively, and are included in other noncurrent assets. The accrued severance expenses were $33,354, $33,355 and $28,472 for fiscal years 2020, 2019 and 2018, respectively.</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2020, 2019 and 2018 under such plans were not material compared to total operating expenses.</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2020, 2019 and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Stock Option and Incentive Plan</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 based conditions and stock options have a term of ten years. Also, in accordance with the Equity Incentive Plan, options are issued at or above the market price at the time of the grant.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80"/>
          </w:cols>
          <w:pgMar w:left="320" w:top="48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2020:</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2019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6,837</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2020(1)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2020(1)</w:t>
            </w: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20" w:type="dxa"/>
            <w:vAlign w:val="bottom"/>
            <w:gridSpan w:val="2"/>
            <w:vMerge w:val="restart"/>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2,401</w:t>
            </w:r>
          </w:p>
        </w:tc>
        <w:tc>
          <w:tcPr>
            <w:tcW w:w="20" w:type="dxa"/>
            <w:vAlign w:val="bottom"/>
            <w:tcBorders>
              <w:bottom w:val="single" w:sz="8" w:color="auto"/>
            </w:tcBorders>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372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5" w:lineRule="exact"/>
        <w:rPr>
          <w:sz w:val="20"/>
          <w:szCs w:val="20"/>
          <w:color w:val="auto"/>
        </w:rPr>
      </w:pPr>
    </w:p>
    <w:p>
      <w:pPr>
        <w:ind w:left="540" w:right="48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of September 30, 2020, the weighted average remaining contractual life of outstanding and exercisable options was 7.16 and 5.68 years,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2019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937</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659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1,097</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intrinsic value of options exercised during fiscal years 2020, 2019 and 2018 was $31,220, $13,081 and $38,025,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restricted shares vested during fiscal years 2020, 2019 and 2018 was $28,727, $28,430 and $35,801,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2020 was $14,064 and $12,938, respectively.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years ended September 30, 2020, 2019 and 2018 was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6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4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25,747</w:t>
            </w:r>
          </w:p>
        </w:tc>
        <w:tc>
          <w:tcPr>
            <w:tcW w:w="80" w:type="dxa"/>
            <w:vAlign w:val="bottom"/>
            <w:shd w:val="clear" w:color="auto" w:fill="CCEEFF"/>
          </w:tcPr>
          <w:p>
            <w:pPr>
              <w:spacing w:after="0"/>
              <w:rPr>
                <w:sz w:val="18"/>
                <w:szCs w:val="18"/>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42,434</w:t>
            </w:r>
          </w:p>
        </w:tc>
        <w:tc>
          <w:tcPr>
            <w:tcW w:w="4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38,550</w:t>
            </w:r>
          </w:p>
        </w:tc>
        <w:tc>
          <w:tcPr>
            <w:tcW w:w="4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47,476</w:t>
            </w:r>
          </w:p>
        </w:tc>
        <w:tc>
          <w:tcPr>
            <w:tcW w:w="8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480" w:type="dxa"/>
            <w:vAlign w:val="bottom"/>
          </w:tcPr>
          <w:p>
            <w:pPr>
              <w:spacing w:after="0"/>
              <w:rPr>
                <w:sz w:val="24"/>
                <w:szCs w:val="24"/>
                <w:color w:val="auto"/>
              </w:rPr>
            </w:pPr>
          </w:p>
        </w:tc>
        <w:tc>
          <w:tcPr>
            <w:tcW w:w="3620" w:type="dxa"/>
            <w:vAlign w:val="bottom"/>
            <w:gridSpan w:val="2"/>
          </w:tcPr>
          <w:p>
            <w:pPr>
              <w:jc w:val="right"/>
              <w:ind w:right="2222"/>
              <w:spacing w:after="0"/>
              <w:rPr>
                <w:sz w:val="20"/>
                <w:szCs w:val="20"/>
                <w:color w:val="auto"/>
              </w:rPr>
            </w:pPr>
            <w:r>
              <w:rPr>
                <w:rFonts w:ascii="Arial" w:cs="Arial" w:eastAsia="Arial" w:hAnsi="Arial"/>
                <w:sz w:val="18"/>
                <w:szCs w:val="18"/>
                <w:color w:val="auto"/>
              </w:rPr>
              <w:t>F-41</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2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2.64%</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6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2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17.8%</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2920" w:type="dxa"/>
            <w:vAlign w:val="bottom"/>
            <w:gridSpan w:val="3"/>
          </w:tcPr>
          <w:p>
            <w:pPr>
              <w:jc w:val="right"/>
              <w:ind w:right="240"/>
              <w:spacing w:after="0"/>
              <w:rPr>
                <w:sz w:val="20"/>
                <w:szCs w:val="20"/>
                <w:color w:val="auto"/>
              </w:rPr>
            </w:pPr>
            <w:r>
              <w:rPr>
                <w:rFonts w:ascii="Arial" w:cs="Arial" w:eastAsia="Arial" w:hAnsi="Arial"/>
                <w:sz w:val="18"/>
                <w:szCs w:val="18"/>
                <w:color w:val="auto"/>
              </w:rPr>
              <w:t>1.75%</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1.82%</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$8.70</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3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Risk-free interest rate is based upon U.S. Treasury yield curve appropriate for the term of the Company’s employee stock options.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2020, 2019 and 2018:</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320" w:type="dxa"/>
            <w:vAlign w:val="bottom"/>
            <w:gridSpan w:val="2"/>
          </w:tcPr>
          <w:p>
            <w:pPr>
              <w:ind w:left="1040"/>
              <w:spacing w:after="0"/>
              <w:rPr>
                <w:sz w:val="20"/>
                <w:szCs w:val="20"/>
                <w:color w:val="auto"/>
              </w:rPr>
            </w:pPr>
            <w:r>
              <w:rPr>
                <w:rFonts w:ascii="Arial" w:cs="Arial" w:eastAsia="Arial" w:hAnsi="Arial"/>
                <w:sz w:val="14"/>
                <w:szCs w:val="14"/>
                <w:b w:val="1"/>
                <w:bCs w:val="1"/>
                <w:color w:val="auto"/>
              </w:rPr>
              <w:t>Dividends Per</w:t>
            </w:r>
          </w:p>
        </w:tc>
        <w:tc>
          <w:tcPr>
            <w:tcW w:w="21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Record Date</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Amount</w:t>
            </w:r>
          </w:p>
        </w:tc>
        <w:tc>
          <w:tcPr>
            <w:tcW w:w="17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2320" w:type="dxa"/>
            <w:vAlign w:val="bottom"/>
            <w:gridSpan w:val="2"/>
          </w:tcPr>
          <w:p>
            <w:pPr>
              <w:ind w:left="980"/>
              <w:spacing w:after="0"/>
              <w:rPr>
                <w:sz w:val="20"/>
                <w:szCs w:val="20"/>
                <w:color w:val="auto"/>
              </w:rPr>
            </w:pPr>
            <w:r>
              <w:rPr>
                <w:rFonts w:ascii="Arial" w:cs="Arial" w:eastAsia="Arial" w:hAnsi="Arial"/>
                <w:sz w:val="14"/>
                <w:szCs w:val="14"/>
                <w:b w:val="1"/>
                <w:bCs w:val="1"/>
                <w:color w:val="auto"/>
              </w:rPr>
              <w:t>Ordinary Share</w:t>
            </w:r>
          </w:p>
        </w:tc>
        <w:tc>
          <w:tcPr>
            <w:tcW w:w="216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August 5, 2020</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0.3275</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September 30, 2020</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43,084</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October 23,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May 7, 2020</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0.3275</w:t>
            </w:r>
          </w:p>
        </w:tc>
        <w:tc>
          <w:tcPr>
            <w:tcW w:w="2160" w:type="dxa"/>
            <w:vAlign w:val="bottom"/>
          </w:tcPr>
          <w:p>
            <w:pPr>
              <w:ind w:left="380"/>
              <w:spacing w:after="0"/>
              <w:rPr>
                <w:sz w:val="20"/>
                <w:szCs w:val="20"/>
                <w:color w:val="auto"/>
              </w:rPr>
            </w:pPr>
            <w:r>
              <w:rPr>
                <w:rFonts w:ascii="Arial" w:cs="Arial" w:eastAsia="Arial" w:hAnsi="Arial"/>
                <w:sz w:val="18"/>
                <w:szCs w:val="18"/>
                <w:color w:val="auto"/>
              </w:rPr>
              <w:t>June 30, 2020</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43,568</w:t>
            </w:r>
          </w:p>
        </w:tc>
        <w:tc>
          <w:tcPr>
            <w:tcW w:w="1700" w:type="dxa"/>
            <w:vAlign w:val="bottom"/>
            <w:gridSpan w:val="2"/>
          </w:tcPr>
          <w:p>
            <w:pPr>
              <w:ind w:left="380"/>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0.3275</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31, 2020</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43,723</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12, 2019</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0.285</w:t>
            </w:r>
          </w:p>
        </w:tc>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December 31, 2019</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38,357</w:t>
            </w:r>
          </w:p>
        </w:tc>
        <w:tc>
          <w:tcPr>
            <w:tcW w:w="17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3"/>
              </w:rPr>
              <w:t>January 24,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August 7, 2019</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0.285</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September 30, 2019</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38,413</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October 25,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May 14, 2019</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0.285</w:t>
            </w:r>
          </w:p>
        </w:tc>
        <w:tc>
          <w:tcPr>
            <w:tcW w:w="2160" w:type="dxa"/>
            <w:vAlign w:val="bottom"/>
          </w:tcPr>
          <w:p>
            <w:pPr>
              <w:ind w:left="380"/>
              <w:spacing w:after="0"/>
              <w:rPr>
                <w:sz w:val="20"/>
                <w:szCs w:val="20"/>
                <w:color w:val="auto"/>
              </w:rPr>
            </w:pPr>
            <w:r>
              <w:rPr>
                <w:rFonts w:ascii="Arial" w:cs="Arial" w:eastAsia="Arial" w:hAnsi="Arial"/>
                <w:sz w:val="18"/>
                <w:szCs w:val="18"/>
                <w:color w:val="auto"/>
              </w:rPr>
              <w:t>June 28, 2019</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38,730</w:t>
            </w:r>
          </w:p>
        </w:tc>
        <w:tc>
          <w:tcPr>
            <w:tcW w:w="1700" w:type="dxa"/>
            <w:vAlign w:val="bottom"/>
            <w:gridSpan w:val="2"/>
          </w:tcPr>
          <w:p>
            <w:pPr>
              <w:ind w:left="38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0.285</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29, 2019</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39,084</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2018</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0.250</w:t>
            </w:r>
          </w:p>
        </w:tc>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December 31, 2018</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34,755</w:t>
            </w:r>
          </w:p>
        </w:tc>
        <w:tc>
          <w:tcPr>
            <w:tcW w:w="17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3"/>
              </w:rPr>
              <w:t>January 18,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July 31, 2018</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0.250</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September 28, 2018</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35,046</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October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May 10, 2018</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0.250</w:t>
            </w:r>
          </w:p>
        </w:tc>
        <w:tc>
          <w:tcPr>
            <w:tcW w:w="2160" w:type="dxa"/>
            <w:vAlign w:val="bottom"/>
          </w:tcPr>
          <w:p>
            <w:pPr>
              <w:ind w:left="380"/>
              <w:spacing w:after="0"/>
              <w:rPr>
                <w:sz w:val="20"/>
                <w:szCs w:val="20"/>
                <w:color w:val="auto"/>
              </w:rPr>
            </w:pPr>
            <w:r>
              <w:rPr>
                <w:rFonts w:ascii="Arial" w:cs="Arial" w:eastAsia="Arial" w:hAnsi="Arial"/>
                <w:sz w:val="18"/>
                <w:szCs w:val="18"/>
                <w:color w:val="auto"/>
              </w:rPr>
              <w:t>June 29, 2018</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35,363</w:t>
            </w:r>
          </w:p>
        </w:tc>
        <w:tc>
          <w:tcPr>
            <w:tcW w:w="1700" w:type="dxa"/>
            <w:vAlign w:val="bottom"/>
            <w:gridSpan w:val="2"/>
          </w:tcPr>
          <w:p>
            <w:pPr>
              <w:ind w:left="380"/>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0.250</w:t>
            </w:r>
          </w:p>
        </w:tc>
        <w:tc>
          <w:tcPr>
            <w:tcW w:w="2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30, 2018</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35,637</w:t>
            </w:r>
          </w:p>
        </w:tc>
        <w:tc>
          <w:tcPr>
            <w:tcW w:w="1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2017</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0.220</w:t>
            </w:r>
          </w:p>
        </w:tc>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December 29, 2017</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31,556</w:t>
            </w: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7"/>
              </w:rPr>
              <w:t>January 19, 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amounts payable as a result of the August 5, 2020, August 7, 2019 and July 31, 2018 declarations were included in accrued expenses and other current liabilities as of September 30, 2020, 2019 and 2018, respectively.</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On November 10, 2020, the Company’s Board of Directors approved quarterly dividend payment of $0.3275 per share, and set December 31, 2020 as the record date for determining the shareholders entitled to receive the dividend, which is payable on January 22, 2021.</w:t>
      </w:r>
    </w:p>
    <w:p>
      <w:pPr>
        <w:spacing w:after="0" w:line="12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November 10, 2020, the Company’s Board of Directors also approved, subject to shareholder approval at the January 2021 annual general meeting of shareholders, an increase in the quarterly cash dividend to $0.36 per share, anticipated to be paid in April 2021.</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760"/>
          </w:cols>
          <w:pgMar w:left="320" w:top="486" w:right="8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Year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497,840</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479,446</w:t>
            </w: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354,396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Net income and dividends attributable to participating restricted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494,177</w:t>
            </w: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476,151</w:t>
            </w:r>
          </w:p>
        </w:tc>
        <w:tc>
          <w:tcPr>
            <w:tcW w:w="5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351,746</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rPr>
              <w:t>Undistributed income allocated to participating restricted shares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2,417</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2,252</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494,188</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476,163</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351,760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133,590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137,418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132,607</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136,474</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141,357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w:t>
            </w:r>
          </w:p>
        </w:tc>
        <w:tc>
          <w:tcPr>
            <w:tcW w:w="5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133,249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137,165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w:t>
            </w: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w:t>
            </w:r>
          </w:p>
        </w:tc>
        <w:tc>
          <w:tcPr>
            <w:tcW w:w="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For the fiscal years ended September 30, 2020, 2019 and 2018, 2,634, 3,547 and 1,357 shares, respectively, on a weighted average basis, were attributable to antidilutive outstanding stock options and therefore were not included in the calculation of diluted earnings per share.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 Segment Information and Sales to Significant Customers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0780"/>
          </w:cols>
          <w:pgMar w:left="320" w:top="486" w:right="7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6"/>
              </w:rPr>
              <w:t>Year Ended September 30,</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9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2"/>
              </w:rPr>
              <w:t>Revenue</w:t>
            </w:r>
          </w:p>
        </w:tc>
        <w:tc>
          <w:tcPr>
            <w:tcW w:w="34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North America (mainly United States)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$ 2,720,911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$ 2,582,719</w:t>
            </w:r>
          </w:p>
        </w:tc>
        <w:tc>
          <w:tcPr>
            <w:tcW w:w="4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$ 2,550,234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613,751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598,731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572,196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14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834,377</w:t>
            </w:r>
          </w:p>
        </w:tc>
        <w:tc>
          <w:tcPr>
            <w:tcW w:w="5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905,219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852,407</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$ 4,169,039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$ 4,086,669</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$ 3,974,837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8"/>
          </w:tcPr>
          <w:p>
            <w:pPr>
              <w:ind w:left="26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0"/>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Long-lived Assets(1)</w:t>
            </w:r>
          </w:p>
        </w:tc>
        <w:tc>
          <w:tcPr>
            <w:tcW w:w="1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Europe</w:t>
            </w:r>
          </w:p>
        </w:tc>
        <w:tc>
          <w:tcPr>
            <w:tcW w:w="19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4"/>
          </w:tcPr>
          <w:p>
            <w:pPr>
              <w:jc w:val="right"/>
              <w:ind w:right="220"/>
              <w:spacing w:after="0"/>
              <w:rPr>
                <w:sz w:val="20"/>
                <w:szCs w:val="20"/>
                <w:color w:val="auto"/>
              </w:rPr>
            </w:pPr>
            <w:r>
              <w:rPr>
                <w:rFonts w:ascii="Arial" w:cs="Arial" w:eastAsia="Arial" w:hAnsi="Arial"/>
                <w:sz w:val="18"/>
                <w:szCs w:val="18"/>
                <w:color w:val="auto"/>
              </w:rPr>
              <w:t>$211,292</w:t>
            </w:r>
          </w:p>
        </w:tc>
        <w:tc>
          <w:tcPr>
            <w:tcW w:w="1040" w:type="dxa"/>
            <w:vAlign w:val="bottom"/>
            <w:tcBorders>
              <w:top w:val="single" w:sz="8" w:color="CCEEFF"/>
            </w:tcBorders>
            <w:gridSpan w:val="4"/>
          </w:tcPr>
          <w:p>
            <w:pPr>
              <w:jc w:val="right"/>
              <w:ind w:right="80"/>
              <w:spacing w:after="0"/>
              <w:rPr>
                <w:sz w:val="20"/>
                <w:szCs w:val="20"/>
                <w:color w:val="auto"/>
              </w:rPr>
            </w:pPr>
            <w:r>
              <w:rPr>
                <w:rFonts w:ascii="Arial" w:cs="Arial" w:eastAsia="Arial" w:hAnsi="Arial"/>
                <w:sz w:val="18"/>
                <w:szCs w:val="18"/>
                <w:color w:val="auto"/>
              </w:rPr>
              <w:t>$206,086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104,918</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95,876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Israel(2)</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237,561</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168,493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38,706</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36,546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15,474</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18,313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607,951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525,314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gridSpan w:val="2"/>
          </w:tcPr>
          <w:p>
            <w:pPr>
              <w:spacing w:after="0"/>
              <w:rPr>
                <w:sz w:val="10"/>
                <w:szCs w:val="10"/>
                <w:color w:val="auto"/>
              </w:rPr>
            </w:pPr>
          </w:p>
        </w:tc>
        <w:tc>
          <w:tcPr>
            <w:tcW w:w="19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6"/>
        </w:trPr>
        <w:tc>
          <w:tcPr>
            <w:tcW w:w="4800" w:type="dxa"/>
            <w:vAlign w:val="bottom"/>
            <w:gridSpan w:val="5"/>
          </w:tcPr>
          <w:p>
            <w:pPr>
              <w:spacing w:after="0"/>
              <w:rPr>
                <w:sz w:val="20"/>
                <w:szCs w:val="20"/>
                <w:color w:val="auto"/>
              </w:rPr>
            </w:pPr>
            <w:r>
              <w:rPr>
                <w:rFonts w:ascii="Arial" w:cs="Arial" w:eastAsia="Arial" w:hAnsi="Arial"/>
                <w:sz w:val="18"/>
                <w:szCs w:val="18"/>
                <w:color w:val="auto"/>
              </w:rPr>
              <w:t>(1)   Property and equipment, net.</w:t>
            </w: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800" w:type="dxa"/>
            <w:vAlign w:val="bottom"/>
            <w:gridSpan w:val="5"/>
          </w:tcPr>
          <w:p>
            <w:pPr>
              <w:spacing w:after="0"/>
              <w:rPr>
                <w:sz w:val="20"/>
                <w:szCs w:val="20"/>
                <w:color w:val="auto"/>
              </w:rPr>
            </w:pPr>
            <w:r>
              <w:rPr>
                <w:rFonts w:ascii="Arial" w:cs="Arial" w:eastAsia="Arial" w:hAnsi="Arial"/>
                <w:sz w:val="18"/>
                <w:szCs w:val="18"/>
                <w:color w:val="auto"/>
              </w:rPr>
              <w:t>(2)   For more details, see also note 2.</w:t>
            </w: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4800" w:type="dxa"/>
            <w:vAlign w:val="bottom"/>
            <w:gridSpan w:val="5"/>
          </w:tcPr>
          <w:p>
            <w:pPr>
              <w:ind w:left="220"/>
              <w:spacing w:after="0"/>
              <w:rPr>
                <w:sz w:val="20"/>
                <w:szCs w:val="20"/>
                <w:color w:val="auto"/>
              </w:rPr>
            </w:pPr>
            <w:r>
              <w:rPr>
                <w:rFonts w:ascii="Arial" w:cs="Arial" w:eastAsia="Arial" w:hAnsi="Arial"/>
                <w:sz w:val="18"/>
                <w:szCs w:val="18"/>
                <w:b w:val="1"/>
                <w:bCs w:val="1"/>
                <w:i w:val="1"/>
                <w:iCs w:val="1"/>
                <w:color w:val="auto"/>
              </w:rPr>
              <w:t>Revenue by nature of activities</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gridSpan w:val="10"/>
          </w:tcPr>
          <w:p>
            <w:pPr>
              <w:ind w:left="14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gridSpan w:val="2"/>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$ 2,398,691</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$ 2,246,279</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$ 2,051,589</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color w:val="auto"/>
              </w:rPr>
              <w:t>Others</w:t>
            </w:r>
          </w:p>
        </w:tc>
        <w:tc>
          <w:tcPr>
            <w:tcW w:w="1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1,770,348</w:t>
            </w:r>
          </w:p>
        </w:tc>
        <w:tc>
          <w:tcPr>
            <w:tcW w:w="540" w:type="dxa"/>
            <w:vAlign w:val="bottom"/>
            <w:gridSpan w:val="2"/>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1,840,390</w:t>
            </w:r>
          </w:p>
        </w:tc>
        <w:tc>
          <w:tcPr>
            <w:tcW w:w="540" w:type="dxa"/>
            <w:vAlign w:val="bottom"/>
            <w:gridSpan w:val="2"/>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1,923,248</w:t>
            </w:r>
          </w:p>
        </w:tc>
        <w:tc>
          <w:tcPr>
            <w:tcW w:w="10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$ 4,169,039</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$ 4,086,669</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$ 3,974,837</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percentage of sales to significant customer groups which accounted for at least ten percent of its total revenue in each of fiscal years 2020, 2019 and 2018.</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Year Ended 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Revenue</w:t>
            </w:r>
          </w:p>
        </w:tc>
        <w:tc>
          <w:tcPr>
            <w:tcW w:w="198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Customer 1</w:t>
            </w:r>
          </w:p>
        </w:tc>
        <w:tc>
          <w:tcPr>
            <w:tcW w:w="38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25.8%</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23.4%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2</w:t>
            </w:r>
          </w:p>
        </w:tc>
        <w:tc>
          <w:tcPr>
            <w:tcW w:w="38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60" w:type="dxa"/>
            <w:vAlign w:val="bottom"/>
            <w:gridSpan w:val="3"/>
          </w:tcPr>
          <w:p>
            <w:pPr>
              <w:ind w:left="1820"/>
              <w:spacing w:after="0"/>
              <w:rPr>
                <w:sz w:val="20"/>
                <w:szCs w:val="20"/>
                <w:color w:val="auto"/>
              </w:rPr>
            </w:pPr>
            <w:r>
              <w:rPr>
                <w:rFonts w:ascii="Arial" w:cs="Arial" w:eastAsia="Arial" w:hAnsi="Arial"/>
                <w:sz w:val="18"/>
                <w:szCs w:val="18"/>
                <w:color w:val="auto"/>
              </w:rPr>
              <w:t>F-44</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an amount of less than 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 Selected Quarterly Results of Operations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$ 1,052,948</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$1,026,201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$1,047,933</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$ 1,041,957</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146,938</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147,531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156,712</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143,577</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134,463</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120,407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127,038</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115,932</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0.90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0.86</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0.90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0.94</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0.85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$ 1,030,253</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$1,024,704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$1,019,657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$ 1,012,055</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144,154</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142,320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150,175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133,097</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122,027</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131,448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124,279</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101,692</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0.96</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0.73</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0.90</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0.96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0.90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0.72</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 Subsequent event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a company in which One Equity Partners is the primary institutional investor, and expects to complete the divestiture within the next few months. With this transaction, Amdocs is divesting a non-strategic asset in the mobile messaging domain and remaining laser-focused on its core strategic growth initiatives.</w:t>
      </w:r>
    </w:p>
    <w:p>
      <w:pPr>
        <w:spacing w:after="0" w:line="1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860"/>
          </w:cols>
          <w:pgMar w:left="320" w:top="486" w:right="7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Accounts Receivable</w:t>
            </w:r>
          </w:p>
        </w:tc>
        <w:tc>
          <w:tcPr>
            <w:tcW w:w="4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Valuation Allowances on</w:t>
            </w: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Allowances</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Net Deferred Tax Assets</w:t>
            </w:r>
          </w:p>
        </w:tc>
        <w:tc>
          <w:tcPr>
            <w:tcW w:w="280" w:type="dxa"/>
            <w:vAlign w:val="bottom"/>
          </w:tcPr>
          <w:p>
            <w:pPr>
              <w:spacing w:after="0"/>
              <w:rPr>
                <w:sz w:val="14"/>
                <w:szCs w:val="14"/>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28,726</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94,573</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6,134</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18,173</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6,121(1)</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8"/>
                <w:szCs w:val="18"/>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(14,875)(2)</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(6,140)</w:t>
            </w:r>
          </w:p>
        </w:tc>
      </w:tr>
      <w:tr>
        <w:trPr>
          <w:trHeight w:val="20"/>
        </w:trPr>
        <w:tc>
          <w:tcPr>
            <w:tcW w:w="6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21,211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112,727</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22,260</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6,008(1)</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8"/>
                <w:szCs w:val="18"/>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(9,756)(4)</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(34,211)(3)</w:t>
            </w:r>
          </w:p>
        </w:tc>
      </w:tr>
      <w:tr>
        <w:trPr>
          <w:trHeight w:val="20"/>
        </w:trPr>
        <w:tc>
          <w:tcPr>
            <w:tcW w:w="6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36,121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85,533</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18,465</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8,521</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(3,523)</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1,005(1)</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8"/>
                <w:szCs w:val="18"/>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(27,644)(6)</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(25,604)(5)</w:t>
            </w:r>
          </w:p>
        </w:tc>
      </w:tr>
      <w:tr>
        <w:trPr>
          <w:trHeight w:val="20"/>
        </w:trPr>
        <w:tc>
          <w:tcPr>
            <w:tcW w:w="6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23,419</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69,455</w:t>
            </w:r>
          </w:p>
        </w:tc>
      </w:tr>
      <w:tr>
        <w:trPr>
          <w:trHeight w:val="20"/>
        </w:trPr>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6"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w:t>
      </w:r>
    </w:p>
    <w:p>
      <w:pPr>
        <w:spacing w:after="0" w:line="23"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$6,659 of accounts receivable allowances were written off against the related accounts receivables, and the remaining deductions in the accounts receivable allowances were released to earnings.</w:t>
      </w:r>
    </w:p>
    <w:p>
      <w:pPr>
        <w:ind w:left="540" w:right="1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$7,588 of valuation allowances on deferred tax assets were written off against the related deferred tax assets, and the remaining deductions in the valuation allowances on net deferred tax assets were released to earnings.</w:t>
      </w:r>
    </w:p>
    <w:p>
      <w:pPr>
        <w:ind w:left="540" w:right="18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$3,539 of accounts receivable allowances were written off against the related accounts receivables, and the remaining deductions in the accounts receivable allowances were released to earnings.</w:t>
      </w:r>
    </w:p>
    <w:p>
      <w:pPr>
        <w:ind w:left="540" w:right="1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$2,283 of valuation allowances on deferred tax assets were written off against the related deferred tax assets, and the remaining deductions in the valuation allowances on net deferred tax assets were released to earnings.</w:t>
      </w:r>
    </w:p>
    <w:p>
      <w:pPr>
        <w:ind w:left="540" w:right="540" w:hanging="424"/>
        <w:spacing w:after="0" w:line="26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$4,969 of accounts receivable allowances were written off against the related accounts receivables, $7,089 were written off against deferred revenue and the remaining deductions in the accounts receivable allowances were released to earnings.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86"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rights of each applicable class of securities registered under Section 12 of the Securities Exchange Act of 1934</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2020, our ordinary shares are the only class of securities of the company that are registered under Section 12 of the Securities Exchange Act of 1934 (the “Exchange Act”), as amended. Our ordinary shares are listed on the NASDAQ Global Select Market under the symbol “DPX.” We are incorporated as a public company with limited liability under the laws of the Island of Guernsey.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and Class of Securities (Item 9.A.5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10. Additional information – Memorandum and Articles of Incorporation.” of the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 (Item 9.A.3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or Qualifications (Item 9.A.6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(Item 9.A.7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the Shares (Item 10.B.3 of Form 20-F)</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Amendments (Item 10.B.4 of Form 20-F)</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Rights to Own Shares (Item 10.B.6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Affecting Any Change of Control (Item 10.B.7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Threshold (Item 10.B.8 of Form 20-F)</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ectPr>
          <w:pgSz w:w="11900" w:h="16838" w:orient="portrait"/>
          <w:cols w:equalWidth="0" w:num="1">
            <w:col w:w="11020"/>
          </w:cols>
          <w:pgMar w:left="440" w:top="121"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Differences Between the Law of Different Jurisdictions (Item 10.B.9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 (Item 10.B.10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(Item 12.A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Rights (Item 12.B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 (Item 12.C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 (Items 12.D.1 and 12.D.2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25" w:name="page126"/>
    <w:bookmarkEnd w:id="125"/>
    <w:p>
      <w:pPr>
        <w:ind w:left="10044"/>
        <w:spacing w:after="0"/>
        <w:rPr>
          <w:sz w:val="20"/>
          <w:szCs w:val="20"/>
          <w:color w:val="auto"/>
        </w:rPr>
      </w:pPr>
      <w:r>
        <w:rPr>
          <w:rFonts w:ascii="Arial" w:cs="Arial" w:eastAsia="Arial" w:hAnsi="Arial"/>
          <w:sz w:val="16"/>
          <w:szCs w:val="16"/>
          <w:b w:val="1"/>
          <w:bCs w:val="1"/>
          <w:color w:val="auto"/>
        </w:rPr>
        <w:t>Exhibit 4.a.3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NOVATION AGREEMENT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 53258.M.001</w:t>
      </w:r>
    </w:p>
    <w:p>
      <w:pPr>
        <w:spacing w:after="0" w:line="225" w:lineRule="exact"/>
        <w:rPr>
          <w:sz w:val="20"/>
          <w:szCs w:val="20"/>
          <w:color w:val="auto"/>
        </w:rPr>
      </w:pPr>
    </w:p>
    <w:p>
      <w:pPr>
        <w:ind w:left="4" w:right="480"/>
        <w:spacing w:after="0" w:line="263" w:lineRule="auto"/>
        <w:rPr>
          <w:sz w:val="20"/>
          <w:szCs w:val="20"/>
          <w:color w:val="auto"/>
        </w:rPr>
      </w:pPr>
      <w:r>
        <w:rPr>
          <w:rFonts w:ascii="Arial" w:cs="Arial" w:eastAsia="Arial" w:hAnsi="Arial"/>
          <w:sz w:val="18"/>
          <w:szCs w:val="18"/>
          <w:color w:val="auto"/>
        </w:rPr>
        <w:t>THIS ASSIGNMENT AND NOVATION AGREEMENT (this “Agreement”) is made as of September 30, 2018, by and between Amdocs, Inc., a Delaware corporation (“Assignor”), and Amdocs Development Limited, a Cyprus corporation (“Assignee”), and AT&amp;T Services, Inc., a Delaware corporation (“AT&amp;T”).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WHEREAS, Assignor and AT&amp;T are parties to the Master Services Agreement Number 53258.C, dated February 28, 2017 (the “MSA”); and</w:t>
      </w:r>
    </w:p>
    <w:p>
      <w:pPr>
        <w:spacing w:after="0" w:line="237"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WHEREAS, Assignor desires to transfer and assign to Assignee its rights, duties and obligations under the MSA and all Orders entered into thereunder or subject thereto, as more fully set forth on SCHEDULE A hereto (the “Assigned Orders”); and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WHEREAS, Assignee desires to acquire the MSA and Assigned Orders from Assignor on the terms and conditions hereinafter set forth; and</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Assignor desires to be discharged from the performance of the obligations enumerated in the MSA and Assigned Orders; and</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WHEREAS, AT&amp;T is willing as of the effective date of this Agreement to release Assignor from the obligations enumerated in the MSA and Assigned Orders and to consent to Assignee assuming such obligations;</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NOW THEREFORE, in consideration of the mutual premises and covenants herein contained, and for good and valuable consideration, the receipt and sufficiency of which is hereby acknowledged, the parties agree for themselves, their successors and assigns, as follows:</w:t>
      </w:r>
    </w:p>
    <w:p>
      <w:pPr>
        <w:spacing w:after="0" w:line="76" w:lineRule="exact"/>
        <w:rPr>
          <w:sz w:val="20"/>
          <w:szCs w:val="20"/>
          <w:color w:val="auto"/>
        </w:rPr>
      </w:pPr>
    </w:p>
    <w:p>
      <w:pPr>
        <w:ind w:left="964" w:right="700" w:hanging="532"/>
        <w:spacing w:after="0" w:line="342" w:lineRule="auto"/>
        <w:tabs>
          <w:tab w:leader="none" w:pos="9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Assignor hereby assigns, transfers, conveys and delivers to Assignee, effective as of October 1, 2018 (the “Effective Date”), all of Assignor’s right, title and interest in, to and under the MSA and Assigned Orders free and clear of all liens and encumbrances.</w:t>
      </w:r>
    </w:p>
    <w:p>
      <w:pPr>
        <w:spacing w:after="0" w:line="29" w:lineRule="exact"/>
        <w:rPr>
          <w:rFonts w:ascii="Arial" w:cs="Arial" w:eastAsia="Arial" w:hAnsi="Arial"/>
          <w:sz w:val="16"/>
          <w:szCs w:val="16"/>
          <w:color w:val="auto"/>
        </w:rPr>
      </w:pPr>
    </w:p>
    <w:p>
      <w:pPr>
        <w:ind w:left="964" w:right="140" w:hanging="532"/>
        <w:spacing w:after="0" w:line="257" w:lineRule="auto"/>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Assignee hereby accepts such assignment and agrees to assume, from and after the Effective Date, all of Assignor’s rights, duties and obligations in, to and under the Agreement free and clear of all liens and encumbrances. Upon such assignment and assumption, Assignor shall be released from all further rights, duties and obligations with respect to the MSA and Assigned Orders, and Assignee agrees to reimburse Assignor for and hold Assignor harmless against any obligation to perform any of the assigned duties and obligations included in the MSA and Assigned Orders.</w:t>
      </w:r>
    </w:p>
    <w:p>
      <w:pPr>
        <w:spacing w:after="0" w:line="93" w:lineRule="exact"/>
        <w:rPr>
          <w:rFonts w:ascii="Arial" w:cs="Arial" w:eastAsia="Arial" w:hAnsi="Arial"/>
          <w:sz w:val="18"/>
          <w:szCs w:val="18"/>
          <w:color w:val="auto"/>
        </w:rPr>
      </w:pPr>
    </w:p>
    <w:p>
      <w:pPr>
        <w:ind w:left="964" w:right="120" w:hanging="532"/>
        <w:spacing w:after="0" w:line="301" w:lineRule="auto"/>
        <w:tabs>
          <w:tab w:leader="none" w:pos="9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Assignor, Assignee and AT&amp;T hereby agree that this Agreement shall constitute a novation of the obligations of Assignor under the MSA and Assigned Orders. Accordingly, all of the rights, duties and obligations of Assignor under the MSA and Assigned Orders are hereby extinguished, but only to the extent they have been assigned to and assumed by Assignee hereunder. AT&amp;T recognizes Assignee as Assignor’s successor in interest in and to all of Assignor’s rights, duties and obligations in, to and under the MSA and Assigned Orders.</w:t>
      </w:r>
    </w:p>
    <w:p>
      <w:pPr>
        <w:sectPr>
          <w:pgSz w:w="11900" w:h="16838" w:orient="portrait"/>
          <w:cols w:equalWidth="0" w:num="1">
            <w:col w:w="11024"/>
          </w:cols>
          <w:pgMar w:left="436" w:top="121" w:right="439" w:bottom="1440" w:gutter="0" w:footer="0" w:header="0"/>
        </w:sectPr>
      </w:pPr>
    </w:p>
    <w:bookmarkStart w:id="126" w:name="page127"/>
    <w:bookmarkEnd w:id="126"/>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Agreement No. 53258.M.001</w:t>
      </w:r>
    </w:p>
    <w:p>
      <w:pPr>
        <w:spacing w:after="0" w:line="158" w:lineRule="exact"/>
        <w:rPr>
          <w:sz w:val="20"/>
          <w:szCs w:val="20"/>
          <w:color w:val="auto"/>
        </w:rPr>
      </w:pPr>
    </w:p>
    <w:p>
      <w:pPr>
        <w:ind w:left="964" w:right="400" w:hanging="532"/>
        <w:spacing w:after="0" w:line="277"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successors and assigns from and after the Effective Date.</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hereto agree that they will take those actions reasonably necessary to carry out the matters contemplated by this Agreement or any of its provisions.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Capitalized terms used but not otherwise defined in this Agreement shall have the respective meanings as set forth in the MSA.</w:t>
      </w:r>
    </w:p>
    <w:p>
      <w:pPr>
        <w:spacing w:after="0" w:line="142" w:lineRule="exact"/>
        <w:rPr>
          <w:rFonts w:ascii="Arial" w:cs="Arial" w:eastAsia="Arial" w:hAnsi="Arial"/>
          <w:sz w:val="17"/>
          <w:szCs w:val="17"/>
          <w:color w:val="auto"/>
        </w:rPr>
      </w:pPr>
    </w:p>
    <w:p>
      <w:pPr>
        <w:ind w:left="964" w:right="40" w:hanging="532"/>
        <w:spacing w:after="0" w:line="259"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Agreement may be executed in multiple counterparts, each of which shall be deemed to constitute an original but all of which together shall constitute only one document.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undersigned have executed this Agreement as of the date first written above.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4"/>
          </w:tcPr>
          <w:p>
            <w:pPr>
              <w:spacing w:after="0"/>
              <w:rPr>
                <w:sz w:val="20"/>
                <w:szCs w:val="20"/>
                <w:color w:val="auto"/>
              </w:rPr>
            </w:pPr>
            <w:r>
              <w:rPr>
                <w:rFonts w:ascii="Arial" w:cs="Arial" w:eastAsia="Arial" w:hAnsi="Arial"/>
                <w:sz w:val="18"/>
                <w:szCs w:val="18"/>
                <w:color w:val="auto"/>
              </w:rPr>
              <w:t>/s/ Todd Cohen</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Todd Cohen</w:t>
            </w:r>
          </w:p>
        </w:tc>
        <w:tc>
          <w:tcPr>
            <w:tcW w:w="1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4"/>
          </w:tcPr>
          <w:p>
            <w:pPr>
              <w:spacing w:after="0"/>
              <w:rPr>
                <w:sz w:val="20"/>
                <w:szCs w:val="20"/>
                <w:color w:val="auto"/>
              </w:rPr>
            </w:pPr>
            <w:r>
              <w:rPr>
                <w:rFonts w:ascii="Arial" w:cs="Arial" w:eastAsia="Arial" w:hAnsi="Arial"/>
                <w:sz w:val="18"/>
                <w:szCs w:val="18"/>
                <w:color w:val="auto"/>
              </w:rPr>
              <w:t>Treasurer</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520" w:type="dxa"/>
            <w:vAlign w:val="bottom"/>
            <w:gridSpan w:val="5"/>
          </w:tcPr>
          <w:p>
            <w:pPr>
              <w:spacing w:after="0"/>
              <w:rPr>
                <w:sz w:val="20"/>
                <w:szCs w:val="20"/>
                <w:color w:val="auto"/>
              </w:rPr>
            </w:pPr>
            <w:r>
              <w:rPr>
                <w:rFonts w:ascii="Arial" w:cs="Arial" w:eastAsia="Arial" w:hAnsi="Arial"/>
                <w:sz w:val="18"/>
                <w:szCs w:val="18"/>
                <w:color w:val="auto"/>
              </w:rPr>
              <w:t>AMDOCS DEVELOPMENT LIMITED</w:t>
            </w:r>
          </w:p>
        </w:tc>
        <w:tc>
          <w:tcPr>
            <w:tcW w:w="3240" w:type="dxa"/>
            <w:vAlign w:val="bottom"/>
          </w:tcPr>
          <w:p>
            <w:pPr>
              <w:jc w:val="center"/>
              <w:ind w:left="750"/>
              <w:spacing w:after="0"/>
              <w:rPr>
                <w:sz w:val="20"/>
                <w:szCs w:val="20"/>
                <w:color w:val="auto"/>
              </w:rPr>
            </w:pPr>
            <w:r>
              <w:rPr>
                <w:rFonts w:ascii="Arial" w:cs="Arial" w:eastAsia="Arial" w:hAnsi="Arial"/>
                <w:sz w:val="18"/>
                <w:szCs w:val="18"/>
                <w:color w:val="auto"/>
                <w:w w:val="93"/>
              </w:rPr>
              <w:t>Amdocs Development Limited</w:t>
            </w:r>
          </w:p>
        </w:tc>
        <w:tc>
          <w:tcPr>
            <w:tcW w:w="0" w:type="dxa"/>
            <w:vAlign w:val="bottom"/>
          </w:tcPr>
          <w:p>
            <w:pPr>
              <w:spacing w:after="0"/>
              <w:rPr>
                <w:sz w:val="1"/>
                <w:szCs w:val="1"/>
                <w:color w:val="auto"/>
              </w:rPr>
            </w:pPr>
          </w:p>
        </w:tc>
      </w:tr>
      <w:tr>
        <w:trPr>
          <w:trHeight w:val="216"/>
        </w:trPr>
        <w:tc>
          <w:tcPr>
            <w:tcW w:w="5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/s/ Ecatbeini Chrysostomou   28.09.2018</w:t>
            </w:r>
          </w:p>
        </w:tc>
        <w:tc>
          <w:tcPr>
            <w:tcW w:w="3240" w:type="dxa"/>
            <w:vAlign w:val="bottom"/>
          </w:tcPr>
          <w:p>
            <w:pPr>
              <w:jc w:val="center"/>
              <w:ind w:left="750"/>
              <w:spacing w:after="0"/>
              <w:rPr>
                <w:sz w:val="20"/>
                <w:szCs w:val="20"/>
                <w:color w:val="auto"/>
              </w:rPr>
            </w:pPr>
            <w:r>
              <w:rPr>
                <w:rFonts w:ascii="Arial" w:cs="Arial" w:eastAsia="Arial" w:hAnsi="Arial"/>
                <w:sz w:val="18"/>
                <w:szCs w:val="18"/>
                <w:color w:val="auto"/>
                <w:w w:val="90"/>
              </w:rPr>
              <w:t>141 Omonia Avenue</w:t>
            </w:r>
          </w:p>
        </w:tc>
        <w:tc>
          <w:tcPr>
            <w:tcW w:w="0" w:type="dxa"/>
            <w:vAlign w:val="bottom"/>
          </w:tcPr>
          <w:p>
            <w:pPr>
              <w:spacing w:after="0"/>
              <w:rPr>
                <w:sz w:val="1"/>
                <w:szCs w:val="1"/>
                <w:color w:val="auto"/>
              </w:rPr>
            </w:pPr>
          </w:p>
        </w:tc>
      </w:tr>
      <w:tr>
        <w:trPr>
          <w:trHeight w:val="217"/>
        </w:trPr>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3"/>
            <w:vMerge w:val="continue"/>
          </w:tcPr>
          <w:p>
            <w:pPr>
              <w:spacing w:after="0"/>
              <w:rPr>
                <w:sz w:val="18"/>
                <w:szCs w:val="18"/>
                <w:color w:val="auto"/>
              </w:rPr>
            </w:pPr>
          </w:p>
        </w:tc>
        <w:tc>
          <w:tcPr>
            <w:tcW w:w="3240" w:type="dxa"/>
            <w:vAlign w:val="bottom"/>
          </w:tcPr>
          <w:p>
            <w:pPr>
              <w:jc w:val="center"/>
              <w:ind w:left="750"/>
              <w:spacing w:after="0"/>
              <w:rPr>
                <w:sz w:val="20"/>
                <w:szCs w:val="20"/>
                <w:color w:val="auto"/>
              </w:rPr>
            </w:pPr>
            <w:r>
              <w:rPr>
                <w:rFonts w:ascii="Arial" w:cs="Arial" w:eastAsia="Arial" w:hAnsi="Arial"/>
                <w:sz w:val="18"/>
                <w:szCs w:val="18"/>
                <w:color w:val="auto"/>
                <w:w w:val="92"/>
              </w:rPr>
              <w:t>The Maritime Centre</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10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Ecatbeini Chrysostomou</w:t>
            </w:r>
          </w:p>
        </w:tc>
        <w:tc>
          <w:tcPr>
            <w:tcW w:w="1900" w:type="dxa"/>
            <w:vAlign w:val="bottom"/>
            <w:gridSpan w:val="2"/>
          </w:tcPr>
          <w:p>
            <w:pPr>
              <w:spacing w:after="0"/>
              <w:rPr>
                <w:sz w:val="16"/>
                <w:szCs w:val="16"/>
                <w:color w:val="auto"/>
              </w:rPr>
            </w:pPr>
          </w:p>
        </w:tc>
        <w:tc>
          <w:tcPr>
            <w:tcW w:w="3240" w:type="dxa"/>
            <w:vAlign w:val="bottom"/>
          </w:tcPr>
          <w:p>
            <w:pPr>
              <w:jc w:val="center"/>
              <w:ind w:left="750"/>
              <w:spacing w:after="0" w:line="195" w:lineRule="exact"/>
              <w:rPr>
                <w:sz w:val="20"/>
                <w:szCs w:val="20"/>
                <w:color w:val="auto"/>
              </w:rPr>
            </w:pPr>
            <w:r>
              <w:rPr>
                <w:rFonts w:ascii="Arial" w:cs="Arial" w:eastAsia="Arial" w:hAnsi="Arial"/>
                <w:sz w:val="18"/>
                <w:szCs w:val="18"/>
                <w:color w:val="auto"/>
                <w:w w:val="92"/>
              </w:rPr>
              <w:t>PO Box 50483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Authorized Signatory</w:t>
            </w:r>
          </w:p>
        </w:tc>
        <w:tc>
          <w:tcPr>
            <w:tcW w:w="3240" w:type="dxa"/>
            <w:vAlign w:val="bottom"/>
          </w:tcPr>
          <w:p>
            <w:pPr>
              <w:jc w:val="center"/>
              <w:ind w:left="770"/>
              <w:spacing w:after="0"/>
              <w:rPr>
                <w:sz w:val="20"/>
                <w:szCs w:val="20"/>
                <w:color w:val="auto"/>
              </w:rPr>
            </w:pPr>
            <w:r>
              <w:rPr>
                <w:rFonts w:ascii="Arial" w:cs="Arial" w:eastAsia="Arial" w:hAnsi="Arial"/>
                <w:sz w:val="18"/>
                <w:szCs w:val="18"/>
                <w:color w:val="auto"/>
                <w:w w:val="91"/>
              </w:rPr>
              <w:t>3606 Limassol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40" w:type="dxa"/>
            <w:vAlign w:val="bottom"/>
          </w:tcPr>
          <w:p>
            <w:pPr>
              <w:jc w:val="center"/>
              <w:ind w:left="750"/>
              <w:spacing w:after="0"/>
              <w:rPr>
                <w:sz w:val="20"/>
                <w:szCs w:val="20"/>
                <w:color w:val="auto"/>
              </w:rPr>
            </w:pPr>
            <w:r>
              <w:rPr>
                <w:rFonts w:ascii="Arial" w:cs="Arial" w:eastAsia="Arial" w:hAnsi="Arial"/>
                <w:sz w:val="18"/>
                <w:szCs w:val="18"/>
                <w:color w:val="auto"/>
                <w:w w:val="91"/>
              </w:rPr>
              <w:t>Cyprus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40" w:type="dxa"/>
            <w:vAlign w:val="bottom"/>
          </w:tcPr>
          <w:p>
            <w:pPr>
              <w:jc w:val="center"/>
              <w:ind w:left="750"/>
              <w:spacing w:after="0"/>
              <w:rPr>
                <w:sz w:val="20"/>
                <w:szCs w:val="20"/>
                <w:color w:val="auto"/>
              </w:rPr>
            </w:pPr>
            <w:r>
              <w:rPr>
                <w:rFonts w:ascii="Arial" w:cs="Arial" w:eastAsia="Arial" w:hAnsi="Arial"/>
                <w:sz w:val="18"/>
                <w:szCs w:val="18"/>
                <w:color w:val="auto"/>
                <w:w w:val="91"/>
              </w:rPr>
              <w:t>Company Registration no. 87152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Pursuant to Article 3.4 of the MSA, AT&amp;T hereby approves, as of the Effective Date, the assignment and assumption of the MSA and Assigned Orders, as set forth in the foregoing Agreement, and agrees to the release of Assignor in paragraph (2) above and the novation of the MSA and Assigned Orders in paragraph (3) above.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17487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Michael W. Hall</w:t>
      </w:r>
    </w:p>
    <w:p>
      <w:pPr>
        <w:spacing w:after="0" w:line="2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Sourcing Manager</w:t>
      </w:r>
    </w:p>
    <w:p>
      <w:pPr>
        <w:sectPr>
          <w:pgSz w:w="11900" w:h="16838" w:orient="portrait"/>
          <w:cols w:equalWidth="0" w:num="1">
            <w:col w:w="11024"/>
          </w:cols>
          <w:pgMar w:left="436" w:top="274" w:right="439" w:bottom="1440" w:gutter="0" w:footer="0" w:header="0"/>
        </w:sectPr>
      </w:pPr>
    </w:p>
    <w:bookmarkStart w:id="127" w:name="page128"/>
    <w:bookmarkEnd w:id="127"/>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65"/>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60" w:type="dxa"/>
            <w:vAlign w:val="bottom"/>
            <w:gridSpan w:val="3"/>
          </w:tcPr>
          <w:p>
            <w:pPr>
              <w:ind w:left="1200"/>
              <w:spacing w:after="0"/>
              <w:rPr>
                <w:sz w:val="20"/>
                <w:szCs w:val="20"/>
                <w:color w:val="auto"/>
              </w:rPr>
            </w:pPr>
            <w:r>
              <w:rPr>
                <w:rFonts w:ascii="Arial" w:cs="Arial" w:eastAsia="Arial" w:hAnsi="Arial"/>
                <w:sz w:val="18"/>
                <w:szCs w:val="18"/>
                <w:b w:val="1"/>
                <w:bCs w:val="1"/>
                <w:color w:val="auto"/>
              </w:rPr>
              <w:t>SCHEDULE A – ASSIGNED ORDERS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0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28" w:name="page129"/>
    <w:bookmarkEnd w:id="12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1"/>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29" w:name="page130"/>
    <w:bookmarkEnd w:id="12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0" w:name="page131"/>
    <w:bookmarkEnd w:id="13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2"/>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2"/>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2"/>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1" w:name="page132"/>
    <w:bookmarkEnd w:id="13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2" w:name="page133"/>
    <w:bookmarkEnd w:id="13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3" w:name="page134"/>
    <w:bookmarkEnd w:id="13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1"/>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1"/>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1"/>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4" w:name="page135"/>
    <w:bookmarkEnd w:id="13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UNDER RULE 24b-2 UNDER THE SECURITIES EXCHANGE ACT OF 1934, AS AMENDED.</w:t>
      </w:r>
    </w:p>
    <w:p>
      <w:pPr>
        <w:spacing w:after="0" w:line="35" w:lineRule="exact"/>
        <w:rPr>
          <w:sz w:val="20"/>
          <w:szCs w:val="20"/>
          <w:color w:val="auto"/>
        </w:rPr>
      </w:pPr>
    </w:p>
    <w:p>
      <w:pPr>
        <w:ind w:left="4" w:right="460" w:hanging="4"/>
        <w:spacing w:after="0" w:line="260" w:lineRule="auto"/>
        <w:tabs>
          <w:tab w:leader="none" w:pos="4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INDICATES OMITTED MATERIAL THAT IS THE SUBJECT OF A CONFIDENTIAL TREATMENT REQUEST FILED SEPARATELY WITH THE COMMISSION. THE OMITTED MATERIAL HAS BEEN FILED SEPARATELY WITH THE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1"/>
              </w:rPr>
              <w:t>Assignment Agreement No. 53258.M.001</w:t>
            </w:r>
          </w:p>
        </w:tc>
      </w:tr>
      <w:tr>
        <w:trPr>
          <w:trHeight w:val="31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AT&amp;T Contract Number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WO Description</w:t>
            </w:r>
          </w:p>
        </w:tc>
        <w:tc>
          <w:tcPr>
            <w:tcW w:w="2320" w:type="dxa"/>
            <w:vAlign w:val="bottom"/>
          </w:tcPr>
          <w:p>
            <w:pPr>
              <w:jc w:val="center"/>
              <w:ind w:left="333"/>
              <w:spacing w:after="0"/>
              <w:rPr>
                <w:sz w:val="20"/>
                <w:szCs w:val="20"/>
                <w:color w:val="auto"/>
              </w:rPr>
            </w:pPr>
            <w:r>
              <w:rPr>
                <w:rFonts w:ascii="Arial" w:cs="Arial" w:eastAsia="Arial" w:hAnsi="Arial"/>
                <w:sz w:val="14"/>
                <w:szCs w:val="14"/>
                <w:b w:val="1"/>
                <w:bCs w:val="1"/>
                <w:color w:val="auto"/>
                <w:w w:val="93"/>
              </w:rPr>
              <w:t>Amdocs Contract Number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95"/>
        </w:trPr>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320" w:type="dxa"/>
            <w:vAlign w:val="bottom"/>
            <w:tcBorders>
              <w:top w:val="single" w:sz="8" w:color="auto"/>
            </w:tcBorders>
          </w:tcPr>
          <w:p>
            <w:pPr>
              <w:jc w:val="center"/>
              <w:ind w:left="333"/>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3"/>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3"/>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3"/>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320" w:type="dxa"/>
            <w:vAlign w:val="bottom"/>
          </w:tcPr>
          <w:p>
            <w:pPr>
              <w:jc w:val="center"/>
              <w:ind w:left="333"/>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20" w:type="dxa"/>
            <w:vAlign w:val="bottom"/>
          </w:tcPr>
          <w:p>
            <w:pPr>
              <w:jc w:val="center"/>
              <w:ind w:left="333"/>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4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4" w:right="439" w:bottom="1440" w:gutter="0" w:footer="0" w:header="0"/>
        </w:sectPr>
      </w:pPr>
    </w:p>
    <w:bookmarkStart w:id="135" w:name="page136"/>
    <w:bookmarkEnd w:id="135"/>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2"/>
          </w:tcPr>
          <w:p>
            <w:pPr>
              <w:ind w:left="2700"/>
              <w:spacing w:after="0"/>
              <w:rPr>
                <w:sz w:val="20"/>
                <w:szCs w:val="20"/>
                <w:color w:val="auto"/>
              </w:rPr>
            </w:pPr>
            <w:r>
              <w:rPr>
                <w:rFonts w:ascii="Arial" w:cs="Arial" w:eastAsia="Arial" w:hAnsi="Arial"/>
                <w:sz w:val="18"/>
                <w:szCs w:val="18"/>
                <w:b w:val="1"/>
                <w:bCs w:val="1"/>
                <w:color w:val="auto"/>
                <w:w w:val="95"/>
              </w:rPr>
              <w:t>Exhibit 8</w:t>
            </w:r>
          </w:p>
        </w:tc>
      </w:tr>
      <w:tr>
        <w:trPr>
          <w:trHeight w:val="432"/>
        </w:trPr>
        <w:tc>
          <w:tcPr>
            <w:tcW w:w="3440" w:type="dxa"/>
            <w:vAlign w:val="bottom"/>
          </w:tcPr>
          <w:p>
            <w:pPr>
              <w:spacing w:after="0"/>
              <w:rPr>
                <w:sz w:val="24"/>
                <w:szCs w:val="24"/>
                <w:color w:val="auto"/>
              </w:rPr>
            </w:pPr>
          </w:p>
        </w:tc>
        <w:tc>
          <w:tcPr>
            <w:tcW w:w="4160" w:type="dxa"/>
            <w:vAlign w:val="bottom"/>
            <w:gridSpan w:val="4"/>
          </w:tcPr>
          <w:p>
            <w:pPr>
              <w:ind w:left="400"/>
              <w:spacing w:after="0"/>
              <w:rPr>
                <w:sz w:val="20"/>
                <w:szCs w:val="20"/>
                <w:color w:val="auto"/>
              </w:rPr>
            </w:pPr>
            <w:r>
              <w:rPr>
                <w:rFonts w:ascii="Arial" w:cs="Arial" w:eastAsia="Arial" w:hAnsi="Arial"/>
                <w:sz w:val="18"/>
                <w:szCs w:val="18"/>
                <w:b w:val="1"/>
                <w:bCs w:val="1"/>
                <w:color w:val="auto"/>
              </w:rPr>
              <w:t>Significant Subsidiaries of Amdocs Limited</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Jurisdiction of</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Incorporation or</w:t>
            </w: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3440" w:type="dxa"/>
            <w:vAlign w:val="bottom"/>
          </w:tcPr>
          <w:p>
            <w:pPr>
              <w:spacing w:after="0"/>
              <w:rPr>
                <w:sz w:val="20"/>
                <w:szCs w:val="20"/>
                <w:color w:val="auto"/>
              </w:rPr>
            </w:pPr>
            <w:r>
              <w:rPr>
                <w:rFonts w:ascii="Arial" w:cs="Arial" w:eastAsia="Arial" w:hAnsi="Arial"/>
                <w:sz w:val="14"/>
                <w:szCs w:val="14"/>
                <w:color w:val="auto"/>
              </w:rPr>
              <w:t>List of the 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Organization</w:t>
            </w:r>
          </w:p>
        </w:tc>
        <w:tc>
          <w:tcPr>
            <w:tcW w:w="3440" w:type="dxa"/>
            <w:vAlign w:val="bottom"/>
            <w:gridSpan w:val="2"/>
          </w:tcPr>
          <w:p>
            <w:pPr>
              <w:ind w:left="1260"/>
              <w:spacing w:after="0"/>
              <w:rPr>
                <w:sz w:val="20"/>
                <w:szCs w:val="20"/>
                <w:color w:val="auto"/>
              </w:rPr>
            </w:pPr>
            <w:r>
              <w:rPr>
                <w:rFonts w:ascii="Arial" w:cs="Arial" w:eastAsia="Arial" w:hAnsi="Arial"/>
                <w:sz w:val="14"/>
                <w:szCs w:val="14"/>
                <w:color w:val="auto"/>
              </w:rPr>
              <w:t>Business Name</w:t>
            </w: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Amdocs Development Centre India LLP</w:t>
            </w: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Amdocs Development Centre India LLP</w:t>
            </w:r>
          </w:p>
        </w:tc>
        <w:tc>
          <w:tcPr>
            <w:tcW w:w="20" w:type="dxa"/>
            <w:vAlign w:val="bottom"/>
          </w:tcPr>
          <w:p>
            <w:pPr>
              <w:spacing w:after="0"/>
              <w:rPr>
                <w:sz w:val="19"/>
                <w:szCs w:val="19"/>
                <w:color w:val="auto"/>
              </w:rPr>
            </w:pPr>
          </w:p>
        </w:tc>
      </w:tr>
      <w:tr>
        <w:trPr>
          <w:trHeight w:val="310"/>
        </w:trPr>
        <w:tc>
          <w:tcPr>
            <w:tcW w:w="3440" w:type="dxa"/>
            <w:vAlign w:val="bottom"/>
          </w:tcPr>
          <w:p>
            <w:pPr>
              <w:spacing w:after="0"/>
              <w:rPr>
                <w:sz w:val="20"/>
                <w:szCs w:val="20"/>
                <w:color w:val="auto"/>
              </w:rPr>
            </w:pPr>
            <w:r>
              <w:rPr>
                <w:rFonts w:ascii="Arial" w:cs="Arial" w:eastAsia="Arial" w:hAnsi="Arial"/>
                <w:sz w:val="18"/>
                <w:szCs w:val="18"/>
                <w:color w:val="auto"/>
              </w:rPr>
              <w:t>Amdocs Development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Republic of Cyprus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Development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Inc.</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State of Delaware, USA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Inc.</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International GmbH</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Switzerland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International GmbH</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(Israel)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Israel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(Israel)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Management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Management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Software Systems Ltd.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Ireland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Software Systems Ltd.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(UK)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(UK)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Canadian Managed Services, Inc.</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Canada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w w:val="99"/>
              </w:rPr>
              <w:t>Amdocs Canadian Managed Services, Inc.</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Sypress, Inc.</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State of Delaware, USA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Sypress, Inc.</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European Software Marketing Ltd.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Island of Guernsey, Channel Islands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European Software Marketing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subsidiary listed is directly or indirectly wholly-owned by Amdocs Limited.</w:t>
      </w:r>
    </w:p>
    <w:p>
      <w:pPr>
        <w:sectPr>
          <w:pgSz w:w="11900" w:h="16838" w:orient="portrait"/>
          <w:cols w:equalWidth="0" w:num="1">
            <w:col w:w="11024"/>
          </w:cols>
          <w:pgMar w:left="436" w:top="121"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Shuky Sheffer, certify that:</w:t>
      </w:r>
    </w:p>
    <w:p>
      <w:pPr>
        <w:spacing w:after="0" w:line="117" w:lineRule="exact"/>
        <w:rPr>
          <w:sz w:val="20"/>
          <w:szCs w:val="20"/>
          <w:color w:val="auto"/>
        </w:rPr>
      </w:pPr>
    </w:p>
    <w:p>
      <w:pPr>
        <w:ind w:left="620" w:hanging="184"/>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2020</w:t>
      </w:r>
    </w:p>
    <w:p>
      <w:pPr>
        <w:sectPr>
          <w:pgSz w:w="11900" w:h="16838" w:orient="portrait"/>
          <w:cols w:equalWidth="0" w:num="1">
            <w:col w:w="11020"/>
          </w:cols>
          <w:pgMar w:left="440" w:top="121"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117" w:lineRule="exact"/>
        <w:rPr>
          <w:sz w:val="20"/>
          <w:szCs w:val="20"/>
          <w:color w:val="auto"/>
        </w:rPr>
      </w:pPr>
    </w:p>
    <w:p>
      <w:pPr>
        <w:ind w:left="620" w:hanging="184"/>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2020</w:t>
      </w:r>
    </w:p>
    <w:p>
      <w:pPr>
        <w:sectPr>
          <w:pgSz w:w="11900" w:h="16838" w:orient="portrait"/>
          <w:cols w:equalWidth="0" w:num="1">
            <w:col w:w="11020"/>
          </w:cols>
          <w:pgMar w:left="440" w:top="121" w:right="439" w:bottom="1440" w:gutter="0" w:footer="0" w:header="0"/>
        </w:sectPr>
      </w:pPr>
    </w:p>
    <w:bookmarkStart w:id="138" w:name="page139"/>
    <w:bookmarkEnd w:id="138"/>
    <w:p>
      <w:pPr>
        <w:ind w:left="988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2020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57" w:lineRule="exact"/>
        <w:rPr>
          <w:sz w:val="20"/>
          <w:szCs w:val="20"/>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436"/>
        <w:spacing w:after="0" w:line="277"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2020</w:t>
      </w:r>
    </w:p>
    <w:p>
      <w:pPr>
        <w:sectPr>
          <w:pgSz w:w="11900" w:h="16838" w:orient="portrait"/>
          <w:cols w:equalWidth="0" w:num="1">
            <w:col w:w="11020"/>
          </w:cols>
          <w:pgMar w:left="440" w:top="121" w:right="439" w:bottom="1440" w:gutter="0" w:footer="0" w:header="0"/>
        </w:sectPr>
      </w:pPr>
    </w:p>
    <w:bookmarkStart w:id="139" w:name="page140"/>
    <w:bookmarkEnd w:id="139"/>
    <w:p>
      <w:pPr>
        <w:ind w:left="988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2020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57" w:lineRule="exact"/>
        <w:rPr>
          <w:sz w:val="20"/>
          <w:szCs w:val="20"/>
          <w:color w:val="auto"/>
        </w:rPr>
      </w:pPr>
    </w:p>
    <w:p>
      <w:pPr>
        <w:ind w:left="1120" w:hanging="261"/>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2020</w:t>
      </w:r>
    </w:p>
    <w:p>
      <w:pPr>
        <w:sectPr>
          <w:pgSz w:w="11900" w:h="16838" w:orient="portrait"/>
          <w:cols w:equalWidth="0" w:num="1">
            <w:col w:w="11020"/>
          </w:cols>
          <w:pgMar w:left="440" w:top="121"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consent to the reference to our firm in the head note to Item 3. Key Information — Selected Financial Data included in this Form 20-F of Amdocs Limited and to the incorporation by reference in the following Registration Statements:</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333-193659</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333-222992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S-8, No. 333-248075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 F-3, No. 333-239163</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 our reports dated December 14, 2020, with respect to the consolidated financial statements, the related notes and the financial statement schedule of Amdocs Limited and the effectiveness of internal control over financial reporting of Amdocs Limited included in this Form 20-F of Amdocs Limited for the year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lvl w:ilvl="1">
      <w:lvlJc w:val="left"/>
      <w:lvlText w:val="•"/>
      <w:numFmt w:val="bullet"/>
      <w:start w:val="1"/>
    </w:lvl>
  </w:abstractNum>
  <w:abstractNum w:abstractNumId="21">
    <w:nsid w:val="75C6C33A"/>
    <w:multiLevelType w:val="hybridMultilevel"/>
    <w:lvl w:ilvl="0">
      <w:lvlJc w:val="left"/>
      <w:lvlText w:val="•"/>
      <w:numFmt w:val="bullet"/>
      <w:start w:val="1"/>
    </w:lvl>
    <w:lvl w:ilvl="1">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lowerRoman"/>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3"/>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lowerRoman"/>
      <w:start w:val="1"/>
    </w:lvl>
  </w:abstractNum>
  <w:abstractNum w:abstractNumId="35">
    <w:nsid w:val="354FE9F9"/>
    <w:multiLevelType w:val="hybridMultilevel"/>
    <w:lvl w:ilvl="0">
      <w:lvlJc w:val="left"/>
      <w:lvlText w:val="(%1)"/>
      <w:numFmt w:val="lowerRoman"/>
      <w:start w:val="2"/>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2"/>
      <w:numFmt w:val="bullet"/>
      <w:start w:val="1"/>
    </w:lvl>
  </w:abstractNum>
  <w:abstractNum w:abstractNumId="39">
    <w:nsid w:val="10233C99"/>
    <w:multiLevelType w:val="hybridMultilevel"/>
    <w:lvl w:ilvl="0">
      <w:lvlJc w:val="left"/>
      <w:lvlText w:val="8"/>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emdash "/>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lowerRoman"/>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decimal"/>
      <w:start w:val="4"/>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97" Type="http://schemas.openxmlformats.org/officeDocument/2006/relationships/hyperlink" Target="http://www.sec.gov/Archives/edgar/data/1062579/000095012309001258/y74186exv99w1.htm" TargetMode="External"/><Relationship Id="rId98" Type="http://schemas.openxmlformats.org/officeDocument/2006/relationships/hyperlink" Target="http://www.sec.gov/Archives/edgar/data/1062579/000095012310111454/y86844exv1w2.htm" TargetMode="External"/><Relationship Id="rId99" Type="http://schemas.openxmlformats.org/officeDocument/2006/relationships/hyperlink" Target="http://www.sec.gov/Archives/edgar/data/1062579/000119312520177631/d941398dex41.htm" TargetMode="External"/><Relationship Id="rId100" Type="http://schemas.openxmlformats.org/officeDocument/2006/relationships/hyperlink" Target="http://www.sec.gov/Archives/edgar/data/1062579/000119312520177631/d941398dex42.htm" TargetMode="External"/><Relationship Id="rId101" Type="http://schemas.openxmlformats.org/officeDocument/2006/relationships/hyperlink" Target="http://www.sec.gov/Archives/edgar/data/1062579/000119312517366393/d419646dex4b6.htm" TargetMode="External"/><Relationship Id="rId102" Type="http://schemas.openxmlformats.org/officeDocument/2006/relationships/hyperlink" Target="http://www.sec.gov/Archives/edgar/data/1062579/000119312518346169/d596048dex4a2.htm" TargetMode="External"/><Relationship Id="rId103" Type="http://schemas.openxmlformats.org/officeDocument/2006/relationships/hyperlink" Target="http://www.sec.gov/Archives/edgar/data/1062579/000119312519315234/d709976dex4a3.htm" TargetMode="External"/><Relationship Id="rId104" Type="http://schemas.openxmlformats.org/officeDocument/2006/relationships/hyperlink" Target="http://www.sec.gov/Archives/edgar/data/1062579/000119312519315234/d709976dex4a4.htm" TargetMode="External"/><Relationship Id="rId105" Type="http://schemas.openxmlformats.org/officeDocument/2006/relationships/hyperlink" Target="http://www.sec.gov/Archives/edgar/data/1062579/000119312518040404/d532355dex991.htm" TargetMode="External"/><Relationship Id="rId106" Type="http://schemas.openxmlformats.org/officeDocument/2006/relationships/hyperlink" Target="http://www.sec.gov/Archives/edgar/data/1062579/000119312517366393/d419646dex4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2020-12-14T15:35:36Z</dcterms:created>
  <dcterms:modified xsi:type="dcterms:W3CDTF">2020-12-14T15:35:36Z</dcterms:modified>
</cp:coreProperties>
</file>