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February 13,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20" w:type="dxa"/>
        <w:tblCellMar>
          <w:top w:w="0" w:type="dxa"/>
          <w:left w:w="0" w:type="dxa"/>
          <w:bottom w:w="0" w:type="dxa"/>
          <w:right w:w="0" w:type="dxa"/>
        </w:tblCellMar>
      </w:tblPr>
      <w:tr>
        <w:trPr>
          <w:trHeight w:val="212"/>
        </w:trPr>
        <w:tc>
          <w:tcPr>
            <w:tcW w:w="5800" w:type="dxa"/>
            <w:vAlign w:val="bottom"/>
          </w:tcPr>
          <w:p>
            <w:pPr>
              <w:jc w:val="center"/>
              <w:ind w:right="3814"/>
              <w:spacing w:after="0"/>
              <w:rPr>
                <w:sz w:val="20"/>
                <w:szCs w:val="20"/>
                <w:color w:val="auto"/>
              </w:rPr>
            </w:pPr>
            <w:r>
              <w:rPr>
                <w:rFonts w:ascii="Arial" w:cs="Arial" w:eastAsia="Arial" w:hAnsi="Arial"/>
                <w:sz w:val="18"/>
                <w:szCs w:val="18"/>
                <w:b w:val="1"/>
                <w:bCs w:val="1"/>
                <w:color w:val="auto"/>
                <w:w w:val="89"/>
              </w:rPr>
              <w:t>Guernsey</w:t>
            </w:r>
          </w:p>
        </w:tc>
        <w:tc>
          <w:tcPr>
            <w:tcW w:w="1300" w:type="dxa"/>
            <w:vAlign w:val="bottom"/>
          </w:tcPr>
          <w:p>
            <w:pPr>
              <w:jc w:val="center"/>
              <w:ind w:left="62"/>
              <w:spacing w:after="0"/>
              <w:rPr>
                <w:sz w:val="20"/>
                <w:szCs w:val="20"/>
                <w:color w:val="auto"/>
              </w:rPr>
            </w:pPr>
            <w:r>
              <w:rPr>
                <w:rFonts w:ascii="Arial" w:cs="Arial" w:eastAsia="Arial" w:hAnsi="Arial"/>
                <w:sz w:val="18"/>
                <w:szCs w:val="18"/>
                <w:b w:val="1"/>
                <w:bCs w:val="1"/>
                <w:color w:val="auto"/>
                <w:w w:val="92"/>
              </w:rPr>
              <w:t>Not Applicable</w:t>
            </w:r>
          </w:p>
        </w:tc>
      </w:tr>
      <w:tr>
        <w:trPr>
          <w:trHeight w:val="148"/>
        </w:trPr>
        <w:tc>
          <w:tcPr>
            <w:tcW w:w="5800" w:type="dxa"/>
            <w:vAlign w:val="bottom"/>
          </w:tcPr>
          <w:p>
            <w:pPr>
              <w:jc w:val="center"/>
              <w:ind w:right="381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00" w:type="dxa"/>
            <w:vAlign w:val="bottom"/>
          </w:tcPr>
          <w:p>
            <w:pPr>
              <w:jc w:val="center"/>
              <w:ind w:left="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00" w:type="dxa"/>
            <w:vAlign w:val="bottom"/>
          </w:tcPr>
          <w:p>
            <w:pPr>
              <w:jc w:val="center"/>
              <w:ind w:right="3794"/>
              <w:spacing w:after="0"/>
              <w:rPr>
                <w:sz w:val="20"/>
                <w:szCs w:val="20"/>
                <w:color w:val="auto"/>
              </w:rPr>
            </w:pPr>
            <w:r>
              <w:rPr>
                <w:rFonts w:ascii="Arial" w:cs="Arial" w:eastAsia="Arial" w:hAnsi="Arial"/>
                <w:sz w:val="14"/>
                <w:szCs w:val="14"/>
                <w:b w:val="1"/>
                <w:bCs w:val="1"/>
                <w:color w:val="auto"/>
                <w:w w:val="94"/>
              </w:rPr>
              <w:t>Incorporation or Organization)</w:t>
            </w:r>
          </w:p>
        </w:tc>
        <w:tc>
          <w:tcPr>
            <w:tcW w:w="1300" w:type="dxa"/>
            <w:vAlign w:val="bottom"/>
          </w:tcPr>
          <w:p>
            <w:pPr>
              <w:jc w:val="center"/>
              <w:ind w:left="62"/>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800" w:type="dxa"/>
            <w:vAlign w:val="bottom"/>
          </w:tcPr>
          <w:p>
            <w:pPr>
              <w:jc w:val="center"/>
              <w:ind w:left="1494"/>
              <w:spacing w:after="0"/>
              <w:rPr>
                <w:sz w:val="20"/>
                <w:szCs w:val="20"/>
                <w:color w:val="auto"/>
              </w:rPr>
            </w:pPr>
            <w:r>
              <w:rPr>
                <w:rFonts w:ascii="Arial" w:cs="Arial" w:eastAsia="Arial" w:hAnsi="Arial"/>
                <w:sz w:val="18"/>
                <w:szCs w:val="18"/>
                <w:b w:val="1"/>
                <w:bCs w:val="1"/>
                <w:color w:val="auto"/>
                <w:w w:val="91"/>
              </w:rPr>
              <w:t>Hirzel House, Smith Street,</w:t>
            </w:r>
          </w:p>
        </w:tc>
        <w:tc>
          <w:tcPr>
            <w:tcW w:w="1300" w:type="dxa"/>
            <w:vAlign w:val="bottom"/>
          </w:tcPr>
          <w:p>
            <w:pPr>
              <w:spacing w:after="0"/>
              <w:rPr>
                <w:sz w:val="24"/>
                <w:szCs w:val="24"/>
                <w:color w:val="auto"/>
              </w:rPr>
            </w:pPr>
          </w:p>
        </w:tc>
      </w:tr>
      <w:tr>
        <w:trPr>
          <w:trHeight w:val="216"/>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0"/>
              </w:rPr>
              <w:t>St. Peter Port, Guernsey,</w:t>
            </w:r>
          </w:p>
        </w:tc>
        <w:tc>
          <w:tcPr>
            <w:tcW w:w="1300" w:type="dxa"/>
            <w:vAlign w:val="bottom"/>
          </w:tcPr>
          <w:p>
            <w:pPr>
              <w:spacing w:after="0"/>
              <w:rPr>
                <w:sz w:val="18"/>
                <w:szCs w:val="18"/>
                <w:color w:val="auto"/>
              </w:rPr>
            </w:pPr>
          </w:p>
        </w:tc>
      </w:tr>
      <w:tr>
        <w:trPr>
          <w:trHeight w:val="212"/>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7"/>
              </w:rPr>
              <w:t>GY1 2NG</w:t>
            </w:r>
          </w:p>
        </w:tc>
        <w:tc>
          <w:tcPr>
            <w:tcW w:w="1300" w:type="dxa"/>
            <w:vAlign w:val="bottom"/>
          </w:tcPr>
          <w:p>
            <w:pPr>
              <w:spacing w:after="0"/>
              <w:rPr>
                <w:sz w:val="18"/>
                <w:szCs w:val="18"/>
                <w:color w:val="auto"/>
              </w:rPr>
            </w:pPr>
          </w:p>
        </w:tc>
      </w:tr>
      <w:tr>
        <w:trPr>
          <w:trHeight w:val="186"/>
        </w:trPr>
        <w:tc>
          <w:tcPr>
            <w:tcW w:w="5800" w:type="dxa"/>
            <w:vAlign w:val="bottom"/>
          </w:tcPr>
          <w:p>
            <w:pPr>
              <w:jc w:val="center"/>
              <w:ind w:left="1474"/>
              <w:spacing w:after="0"/>
              <w:rPr>
                <w:sz w:val="20"/>
                <w:szCs w:val="20"/>
                <w:color w:val="auto"/>
              </w:rPr>
            </w:pPr>
            <w:r>
              <w:rPr>
                <w:rFonts w:ascii="Arial" w:cs="Arial" w:eastAsia="Arial" w:hAnsi="Arial"/>
                <w:sz w:val="14"/>
                <w:szCs w:val="14"/>
                <w:b w:val="1"/>
                <w:bCs w:val="1"/>
                <w:color w:val="auto"/>
                <w:w w:val="91"/>
              </w:rPr>
              <w:t>(Address including zip code of Principal Executive Offices)</w:t>
            </w:r>
          </w:p>
        </w:tc>
        <w:tc>
          <w:tcPr>
            <w:tcW w:w="1300" w:type="dxa"/>
            <w:vAlign w:val="bottom"/>
          </w:tcPr>
          <w:p>
            <w:pPr>
              <w:spacing w:after="0"/>
              <w:rPr>
                <w:sz w:val="16"/>
                <w:szCs w:val="16"/>
                <w:color w:val="auto"/>
              </w:rPr>
            </w:pPr>
          </w:p>
        </w:tc>
      </w:tr>
      <w:tr>
        <w:trPr>
          <w:trHeight w:val="394"/>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89"/>
              </w:rPr>
              <w:t>2023 Employee Share Purchase Plan</w:t>
            </w:r>
          </w:p>
        </w:tc>
        <w:tc>
          <w:tcPr>
            <w:tcW w:w="1300" w:type="dxa"/>
            <w:vAlign w:val="bottom"/>
          </w:tcPr>
          <w:p>
            <w:pPr>
              <w:spacing w:after="0"/>
              <w:rPr>
                <w:sz w:val="24"/>
                <w:szCs w:val="24"/>
                <w:color w:val="auto"/>
              </w:rPr>
            </w:pPr>
          </w:p>
        </w:tc>
      </w:tr>
      <w:tr>
        <w:trPr>
          <w:trHeight w:val="186"/>
        </w:trPr>
        <w:tc>
          <w:tcPr>
            <w:tcW w:w="5800" w:type="dxa"/>
            <w:vAlign w:val="bottom"/>
          </w:tcPr>
          <w:p>
            <w:pPr>
              <w:jc w:val="center"/>
              <w:ind w:left="1474"/>
              <w:spacing w:after="0"/>
              <w:rPr>
                <w:sz w:val="20"/>
                <w:szCs w:val="20"/>
                <w:color w:val="auto"/>
              </w:rPr>
            </w:pPr>
            <w:r>
              <w:rPr>
                <w:rFonts w:ascii="Arial" w:cs="Arial" w:eastAsia="Arial" w:hAnsi="Arial"/>
                <w:sz w:val="14"/>
                <w:szCs w:val="14"/>
                <w:b w:val="1"/>
                <w:bCs w:val="1"/>
                <w:color w:val="auto"/>
                <w:w w:val="95"/>
              </w:rPr>
              <w:t>(Full Title of the Plan)</w:t>
            </w:r>
          </w:p>
        </w:tc>
        <w:tc>
          <w:tcPr>
            <w:tcW w:w="1300" w:type="dxa"/>
            <w:vAlign w:val="bottom"/>
          </w:tcPr>
          <w:p>
            <w:pPr>
              <w:spacing w:after="0"/>
              <w:rPr>
                <w:sz w:val="16"/>
                <w:szCs w:val="16"/>
                <w:color w:val="auto"/>
              </w:rPr>
            </w:pPr>
          </w:p>
        </w:tc>
      </w:tr>
      <w:tr>
        <w:trPr>
          <w:trHeight w:val="399"/>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1"/>
              </w:rPr>
              <w:t>c/o Matthew E. Smith, Amdocs Inc.</w:t>
            </w:r>
          </w:p>
        </w:tc>
        <w:tc>
          <w:tcPr>
            <w:tcW w:w="1300" w:type="dxa"/>
            <w:vAlign w:val="bottom"/>
          </w:tcPr>
          <w:p>
            <w:pPr>
              <w:spacing w:after="0"/>
              <w:rPr>
                <w:sz w:val="24"/>
                <w:szCs w:val="24"/>
                <w:color w:val="auto"/>
              </w:rPr>
            </w:pPr>
          </w:p>
        </w:tc>
      </w:tr>
      <w:tr>
        <w:trPr>
          <w:trHeight w:val="216"/>
        </w:trPr>
        <w:tc>
          <w:tcPr>
            <w:tcW w:w="5800" w:type="dxa"/>
            <w:vAlign w:val="bottom"/>
          </w:tcPr>
          <w:p>
            <w:pPr>
              <w:jc w:val="center"/>
              <w:ind w:left="1494"/>
              <w:spacing w:after="0"/>
              <w:rPr>
                <w:sz w:val="20"/>
                <w:szCs w:val="20"/>
                <w:color w:val="auto"/>
              </w:rPr>
            </w:pPr>
            <w:r>
              <w:rPr>
                <w:rFonts w:ascii="Arial" w:cs="Arial" w:eastAsia="Arial" w:hAnsi="Arial"/>
                <w:sz w:val="18"/>
                <w:szCs w:val="18"/>
                <w:b w:val="1"/>
                <w:bCs w:val="1"/>
                <w:color w:val="auto"/>
                <w:w w:val="92"/>
              </w:rPr>
              <w:t>625 Maryville Centre Drive, Suite 200</w:t>
            </w:r>
          </w:p>
        </w:tc>
        <w:tc>
          <w:tcPr>
            <w:tcW w:w="1300" w:type="dxa"/>
            <w:vAlign w:val="bottom"/>
          </w:tcPr>
          <w:p>
            <w:pPr>
              <w:spacing w:after="0"/>
              <w:rPr>
                <w:sz w:val="18"/>
                <w:szCs w:val="18"/>
                <w:color w:val="auto"/>
              </w:rPr>
            </w:pPr>
          </w:p>
        </w:tc>
      </w:tr>
      <w:tr>
        <w:trPr>
          <w:trHeight w:val="216"/>
        </w:trPr>
        <w:tc>
          <w:tcPr>
            <w:tcW w:w="5800" w:type="dxa"/>
            <w:vAlign w:val="bottom"/>
          </w:tcPr>
          <w:p>
            <w:pPr>
              <w:jc w:val="center"/>
              <w:ind w:left="1494"/>
              <w:spacing w:after="0"/>
              <w:rPr>
                <w:sz w:val="20"/>
                <w:szCs w:val="20"/>
                <w:color w:val="auto"/>
              </w:rPr>
            </w:pPr>
            <w:r>
              <w:rPr>
                <w:rFonts w:ascii="Arial" w:cs="Arial" w:eastAsia="Arial" w:hAnsi="Arial"/>
                <w:sz w:val="18"/>
                <w:szCs w:val="18"/>
                <w:b w:val="1"/>
                <w:bCs w:val="1"/>
                <w:color w:val="auto"/>
                <w:w w:val="90"/>
              </w:rPr>
              <w:t>Saint Louis, Missouri 63141</w:t>
            </w:r>
          </w:p>
        </w:tc>
        <w:tc>
          <w:tcPr>
            <w:tcW w:w="1300" w:type="dxa"/>
            <w:vAlign w:val="bottom"/>
          </w:tcPr>
          <w:p>
            <w:pPr>
              <w:spacing w:after="0"/>
              <w:rPr>
                <w:sz w:val="18"/>
                <w:szCs w:val="18"/>
                <w:color w:val="auto"/>
              </w:rPr>
            </w:pPr>
          </w:p>
        </w:tc>
      </w:tr>
      <w:tr>
        <w:trPr>
          <w:trHeight w:val="216"/>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87"/>
              </w:rPr>
              <w:t>Telephone:</w:t>
            </w:r>
          </w:p>
        </w:tc>
        <w:tc>
          <w:tcPr>
            <w:tcW w:w="1300" w:type="dxa"/>
            <w:vAlign w:val="bottom"/>
          </w:tcPr>
          <w:p>
            <w:pPr>
              <w:spacing w:after="0"/>
              <w:rPr>
                <w:sz w:val="18"/>
                <w:szCs w:val="18"/>
                <w:color w:val="auto"/>
              </w:rPr>
            </w:pPr>
          </w:p>
        </w:tc>
      </w:tr>
      <w:tr>
        <w:trPr>
          <w:trHeight w:val="212"/>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0"/>
              </w:rPr>
              <w:t>(314) 212-8328</w:t>
            </w:r>
          </w:p>
        </w:tc>
        <w:tc>
          <w:tcPr>
            <w:tcW w:w="1300" w:type="dxa"/>
            <w:vAlign w:val="bottom"/>
          </w:tcPr>
          <w:p>
            <w:pPr>
              <w:spacing w:after="0"/>
              <w:rPr>
                <w:sz w:val="18"/>
                <w:szCs w:val="18"/>
                <w:color w:val="auto"/>
              </w:rPr>
            </w:pPr>
          </w:p>
        </w:tc>
      </w:tr>
      <w:tr>
        <w:trPr>
          <w:trHeight w:val="186"/>
        </w:trPr>
        <w:tc>
          <w:tcPr>
            <w:tcW w:w="5800" w:type="dxa"/>
            <w:vAlign w:val="bottom"/>
          </w:tcPr>
          <w:p>
            <w:pPr>
              <w:jc w:val="center"/>
              <w:ind w:left="1474"/>
              <w:spacing w:after="0"/>
              <w:rPr>
                <w:sz w:val="20"/>
                <w:szCs w:val="20"/>
                <w:color w:val="auto"/>
              </w:rPr>
            </w:pPr>
            <w:r>
              <w:rPr>
                <w:rFonts w:ascii="Arial" w:cs="Arial" w:eastAsia="Arial" w:hAnsi="Arial"/>
                <w:sz w:val="14"/>
                <w:szCs w:val="14"/>
                <w:b w:val="1"/>
                <w:bCs w:val="1"/>
                <w:color w:val="auto"/>
                <w:w w:val="93"/>
              </w:rPr>
              <w:t>(Telephone Number, Including Area Code, of Agent For Service)</w:t>
            </w:r>
          </w:p>
        </w:tc>
        <w:tc>
          <w:tcPr>
            <w:tcW w:w="1300" w:type="dxa"/>
            <w:vAlign w:val="bottom"/>
          </w:tcPr>
          <w:p>
            <w:pPr>
              <w:spacing w:after="0"/>
              <w:rPr>
                <w:sz w:val="16"/>
                <w:szCs w:val="16"/>
                <w:color w:val="auto"/>
              </w:rPr>
            </w:pPr>
          </w:p>
        </w:tc>
      </w:tr>
      <w:tr>
        <w:trPr>
          <w:trHeight w:val="417"/>
        </w:trPr>
        <w:tc>
          <w:tcPr>
            <w:tcW w:w="5800" w:type="dxa"/>
            <w:vAlign w:val="bottom"/>
          </w:tcPr>
          <w:p>
            <w:pPr>
              <w:jc w:val="center"/>
              <w:ind w:left="1494"/>
              <w:spacing w:after="0"/>
              <w:rPr>
                <w:sz w:val="20"/>
                <w:szCs w:val="20"/>
                <w:color w:val="auto"/>
              </w:rPr>
            </w:pPr>
            <w:r>
              <w:rPr>
                <w:rFonts w:ascii="Arial" w:cs="Arial" w:eastAsia="Arial" w:hAnsi="Arial"/>
                <w:sz w:val="18"/>
                <w:szCs w:val="18"/>
                <w:b w:val="1"/>
                <w:bCs w:val="1"/>
                <w:i w:val="1"/>
                <w:iCs w:val="1"/>
                <w:color w:val="auto"/>
                <w:w w:val="84"/>
              </w:rPr>
              <w:t>Copy to:</w:t>
            </w:r>
          </w:p>
        </w:tc>
        <w:tc>
          <w:tcPr>
            <w:tcW w:w="1300" w:type="dxa"/>
            <w:vAlign w:val="bottom"/>
          </w:tcPr>
          <w:p>
            <w:pPr>
              <w:spacing w:after="0"/>
              <w:rPr>
                <w:sz w:val="24"/>
                <w:szCs w:val="24"/>
                <w:color w:val="auto"/>
              </w:rPr>
            </w:pPr>
          </w:p>
        </w:tc>
      </w:tr>
      <w:tr>
        <w:trPr>
          <w:trHeight w:val="306"/>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4"/>
              </w:rPr>
              <w:t>Michael Kaplan</w:t>
            </w:r>
          </w:p>
        </w:tc>
        <w:tc>
          <w:tcPr>
            <w:tcW w:w="1300" w:type="dxa"/>
            <w:vAlign w:val="bottom"/>
          </w:tcPr>
          <w:p>
            <w:pPr>
              <w:spacing w:after="0"/>
              <w:rPr>
                <w:sz w:val="24"/>
                <w:szCs w:val="24"/>
                <w:color w:val="auto"/>
              </w:rPr>
            </w:pPr>
          </w:p>
        </w:tc>
      </w:tr>
      <w:tr>
        <w:trPr>
          <w:trHeight w:val="216"/>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4"/>
              </w:rPr>
              <w:t>Davis Polk &amp; Wardwell LLP</w:t>
            </w:r>
          </w:p>
        </w:tc>
        <w:tc>
          <w:tcPr>
            <w:tcW w:w="1300" w:type="dxa"/>
            <w:vAlign w:val="bottom"/>
          </w:tcPr>
          <w:p>
            <w:pPr>
              <w:spacing w:after="0"/>
              <w:rPr>
                <w:sz w:val="18"/>
                <w:szCs w:val="18"/>
                <w:color w:val="auto"/>
              </w:rPr>
            </w:pPr>
          </w:p>
        </w:tc>
      </w:tr>
      <w:tr>
        <w:trPr>
          <w:trHeight w:val="216"/>
        </w:trPr>
        <w:tc>
          <w:tcPr>
            <w:tcW w:w="5800" w:type="dxa"/>
            <w:vAlign w:val="bottom"/>
          </w:tcPr>
          <w:p>
            <w:pPr>
              <w:jc w:val="center"/>
              <w:ind w:left="1494"/>
              <w:spacing w:after="0"/>
              <w:rPr>
                <w:sz w:val="20"/>
                <w:szCs w:val="20"/>
                <w:color w:val="auto"/>
              </w:rPr>
            </w:pPr>
            <w:r>
              <w:rPr>
                <w:rFonts w:ascii="Arial" w:cs="Arial" w:eastAsia="Arial" w:hAnsi="Arial"/>
                <w:sz w:val="18"/>
                <w:szCs w:val="18"/>
                <w:b w:val="1"/>
                <w:bCs w:val="1"/>
                <w:color w:val="auto"/>
                <w:w w:val="88"/>
              </w:rPr>
              <w:t>450 Lexington Avenue</w:t>
            </w:r>
          </w:p>
        </w:tc>
        <w:tc>
          <w:tcPr>
            <w:tcW w:w="1300" w:type="dxa"/>
            <w:vAlign w:val="bottom"/>
          </w:tcPr>
          <w:p>
            <w:pPr>
              <w:spacing w:after="0"/>
              <w:rPr>
                <w:sz w:val="18"/>
                <w:szCs w:val="18"/>
                <w:color w:val="auto"/>
              </w:rPr>
            </w:pPr>
          </w:p>
        </w:tc>
      </w:tr>
      <w:tr>
        <w:trPr>
          <w:trHeight w:val="216"/>
        </w:trPr>
        <w:tc>
          <w:tcPr>
            <w:tcW w:w="5800" w:type="dxa"/>
            <w:vAlign w:val="bottom"/>
          </w:tcPr>
          <w:p>
            <w:pPr>
              <w:jc w:val="center"/>
              <w:ind w:left="1494"/>
              <w:spacing w:after="0"/>
              <w:rPr>
                <w:sz w:val="20"/>
                <w:szCs w:val="20"/>
                <w:color w:val="auto"/>
              </w:rPr>
            </w:pPr>
            <w:r>
              <w:rPr>
                <w:rFonts w:ascii="Arial" w:cs="Arial" w:eastAsia="Arial" w:hAnsi="Arial"/>
                <w:sz w:val="18"/>
                <w:szCs w:val="18"/>
                <w:b w:val="1"/>
                <w:bCs w:val="1"/>
                <w:color w:val="auto"/>
                <w:w w:val="91"/>
              </w:rPr>
              <w:t>New York, New York 10017</w:t>
            </w:r>
          </w:p>
        </w:tc>
        <w:tc>
          <w:tcPr>
            <w:tcW w:w="1300" w:type="dxa"/>
            <w:vAlign w:val="bottom"/>
          </w:tcPr>
          <w:p>
            <w:pPr>
              <w:spacing w:after="0"/>
              <w:rPr>
                <w:sz w:val="18"/>
                <w:szCs w:val="18"/>
                <w:color w:val="auto"/>
              </w:rPr>
            </w:pPr>
          </w:p>
        </w:tc>
      </w:tr>
      <w:tr>
        <w:trPr>
          <w:trHeight w:val="234"/>
        </w:trPr>
        <w:tc>
          <w:tcPr>
            <w:tcW w:w="5800" w:type="dxa"/>
            <w:vAlign w:val="bottom"/>
          </w:tcPr>
          <w:p>
            <w:pPr>
              <w:jc w:val="center"/>
              <w:ind w:left="1474"/>
              <w:spacing w:after="0"/>
              <w:rPr>
                <w:sz w:val="20"/>
                <w:szCs w:val="20"/>
                <w:color w:val="auto"/>
              </w:rPr>
            </w:pPr>
            <w:r>
              <w:rPr>
                <w:rFonts w:ascii="Arial" w:cs="Arial" w:eastAsia="Arial" w:hAnsi="Arial"/>
                <w:sz w:val="18"/>
                <w:szCs w:val="18"/>
                <w:b w:val="1"/>
                <w:bCs w:val="1"/>
                <w:color w:val="auto"/>
                <w:w w:val="90"/>
              </w:rPr>
              <w:t>(212) 450-4000</w:t>
            </w:r>
          </w:p>
        </w:tc>
        <w:tc>
          <w:tcPr>
            <w:tcW w:w="13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51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2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29"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information specified in Item 1 and Item 2 of Part I is omitted from this filing and is included in documents sent or provided to participants in the Amdocs Limited 2023 Employee Share Purchase Plan (the “Plan”) covered by this Registration Statement on Form S-8 (this “Registration Statement”) pursuant to Rule 428(b)(1) of the Securities Act of 1933, as amended (the “Securities Act”).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3. INCORPORATION BY REFERENCE.</w:t>
      </w:r>
    </w:p>
    <w:p>
      <w:pPr>
        <w:spacing w:after="0" w:line="121"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Amdocs Limited (the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79" w:lineRule="exact"/>
        <w:rPr>
          <w:sz w:val="20"/>
          <w:szCs w:val="20"/>
          <w:color w:val="auto"/>
        </w:rPr>
      </w:pPr>
    </w:p>
    <w:p>
      <w:pPr>
        <w:ind w:right="400"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Annual Report on Form 20-F for the fiscal year ended September 30, 2022 (Registration No. 221459936), as filed by the Registrant on December 13, 2022.</w:t>
      </w:r>
    </w:p>
    <w:p>
      <w:pPr>
        <w:spacing w:after="0" w:line="170" w:lineRule="exact"/>
        <w:rPr>
          <w:rFonts w:ascii="Arial" w:cs="Arial" w:eastAsia="Arial" w:hAnsi="Arial"/>
          <w:sz w:val="18"/>
          <w:szCs w:val="18"/>
          <w:color w:val="auto"/>
        </w:rPr>
      </w:pPr>
    </w:p>
    <w:p>
      <w:pPr>
        <w:ind w:right="40" w:firstLine="436"/>
        <w:spacing w:after="0" w:line="308" w:lineRule="auto"/>
        <w:tabs>
          <w:tab w:leader="none" w:pos="695" w:val="left"/>
        </w:tabs>
        <w:numPr>
          <w:ilvl w:val="0"/>
          <w:numId w:val="1"/>
        </w:numPr>
        <w:rPr>
          <w:rFonts w:ascii="Arial" w:cs="Arial" w:eastAsia="Arial" w:hAnsi="Arial"/>
          <w:sz w:val="17"/>
          <w:szCs w:val="17"/>
          <w:color w:val="auto"/>
        </w:rPr>
      </w:pPr>
      <w:r>
        <w:rPr>
          <w:rFonts w:ascii="Arial" w:cs="Arial" w:eastAsia="Arial" w:hAnsi="Arial"/>
          <w:sz w:val="17"/>
          <w:szCs w:val="17"/>
          <w:color w:val="auto"/>
        </w:rPr>
        <w:t>All other reports filed pursuant to Section 13(a) or 15(d) of the Exchange Act since the end of the fiscal year covered by the document referred to in (a) above, including the Registrant’s Reports on Form 6-K filed on December 22, 2022, January 27, 2023 and February 13, 2023.</w:t>
      </w:r>
    </w:p>
    <w:p>
      <w:pPr>
        <w:spacing w:after="0" w:line="146" w:lineRule="exact"/>
        <w:rPr>
          <w:rFonts w:ascii="Arial" w:cs="Arial" w:eastAsia="Arial" w:hAnsi="Arial"/>
          <w:sz w:val="17"/>
          <w:szCs w:val="17"/>
          <w:color w:val="auto"/>
        </w:rPr>
      </w:pPr>
    </w:p>
    <w:p>
      <w:pPr>
        <w:ind w:right="640" w:firstLine="436"/>
        <w:spacing w:after="0" w:line="342" w:lineRule="auto"/>
        <w:tabs>
          <w:tab w:leader="none" w:pos="68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Registrant’s Ordinary Shares contained in the Registrant’s Registration Statement on Form 8-A as filed with the Commission on December 19, 2013 (Registration No. 131288798), including any amendment or report filed for updating such description.</w:t>
      </w:r>
    </w:p>
    <w:p>
      <w:pPr>
        <w:spacing w:after="0" w:line="12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addition, all documents subsequently filed by the Registrant pursuant to Sections 13(a), 13(c), 14 and 15(d) of the Exchange Act, prior to the filing of the post-effective amendment which indicates that all securities offered have been sold or which deregisters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 the Registration Statement and to be part thereof from the date of filing of such documents. The Registrant is not incorporating by reference any documents or portions thereof, whether specifically listed above or filed in the future, that are not deemed “filed” with the Commission.</w:t>
      </w:r>
    </w:p>
    <w:p>
      <w:pPr>
        <w:spacing w:after="0" w:line="17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0" w:right="459" w:bottom="1440" w:gutter="0" w:footer="0" w:header="0"/>
        </w:sectPr>
      </w:pPr>
    </w:p>
    <w:bookmarkStart w:id="2" w:name="page3"/>
    <w:bookmarkEnd w:id="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INDEMNIFICATION OF DIRECTORS AND OFFICERS.</w:t>
      </w:r>
    </w:p>
    <w:p>
      <w:pPr>
        <w:spacing w:after="0" w:line="229"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Under the Registrant’s Articles of Incorporation, directors, officers and other agents of the Registrant will be indemnified by the Registrant from and against all liabilities to the Registrant or third parties (including its shareholders) sustained in connection with their performance of their duties, except to the extent prohibited by the Companies (Guernsey) Law, 2008, as amended (the “Companies Law”). Under the Companies Law, the Registrant may not indemnify a director for certain excluded liabilities, which are:</w:t>
      </w:r>
    </w:p>
    <w:p>
      <w:pPr>
        <w:spacing w:after="0" w:line="92" w:lineRule="exact"/>
        <w:rPr>
          <w:sz w:val="20"/>
          <w:szCs w:val="20"/>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964" w:right="6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the Registrant or an affiliated company in which judgment is rendered against the director;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In addition to the excluded liabilities listed above, directors may also not be indemnified by the Registrant for liabilities to the Registrant or any of its subsidiaries arising out of negligence, default, breach of duty or breach of trust of a director in relation to the Registrant or any of its subsidiaries. The Companies Law authorizes Guernsey companies to purchase insurance against such liabilities to companies or to third parties for the benefit of directors. The Registrant currently maintains such insurance. Judicial relief is available for an officer charged with a neglect of duty if the court determines that such person acted honestly and reasonably, having regard to all the circumstances of the case.</w:t>
      </w:r>
    </w:p>
    <w:p>
      <w:pPr>
        <w:spacing w:after="0" w:line="2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Item 8.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3"/>
                <w:szCs w:val="23"/>
                <w:color w:val="auto"/>
              </w:rPr>
            </w:pPr>
          </w:p>
        </w:tc>
        <w:tc>
          <w:tcPr>
            <w:tcW w:w="9980" w:type="dxa"/>
            <w:vAlign w:val="bottom"/>
            <w:gridSpan w:val="6"/>
          </w:tcPr>
          <w:p>
            <w:pPr>
              <w:spacing w:after="0"/>
              <w:rPr>
                <w:sz w:val="20"/>
                <w:szCs w:val="20"/>
                <w:color w:val="auto"/>
              </w:rPr>
            </w:pPr>
            <w:r>
              <w:rPr>
                <w:rFonts w:ascii="Arial" w:cs="Arial" w:eastAsia="Arial" w:hAnsi="Arial"/>
                <w:sz w:val="18"/>
                <w:szCs w:val="18"/>
                <w:color w:val="0000EE"/>
              </w:rPr>
              <w:t>Opinion of Carey Olsen.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35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Carey Olsen (included in Exhibit 5.1).</w:t>
            </w:r>
          </w:p>
        </w:tc>
        <w:tc>
          <w:tcPr>
            <w:tcW w:w="6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23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Consent of Ernst &amp; Young LLP.</w:t>
            </w:r>
          </w:p>
        </w:tc>
        <w:tc>
          <w:tcPr>
            <w:tcW w:w="7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Power of Attorney (included on the signature page of this Registration Statement).</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Arial" w:cs="Arial" w:eastAsia="Arial" w:hAnsi="Arial"/>
                <w:sz w:val="18"/>
                <w:szCs w:val="18"/>
                <w:color w:val="0000EE"/>
              </w:rPr>
              <w:t>Amdocs Limited 2023 Employee Share Purchase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44" w:hanging="1044"/>
        <w:spacing w:after="0"/>
        <w:tabs>
          <w:tab w:leader="none" w:pos="10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684" w:hanging="244"/>
        <w:spacing w:after="0"/>
        <w:tabs>
          <w:tab w:leader="none" w:pos="6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4" w:hanging="212"/>
        <w:spacing w:after="0"/>
        <w:tabs>
          <w:tab w:leader="none" w:pos="160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4" w:right="80" w:firstLine="408"/>
        <w:spacing w:after="0" w:line="272" w:lineRule="auto"/>
        <w:tabs>
          <w:tab w:leader="none" w:pos="1650"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this Registration Statement; and</w:t>
      </w:r>
    </w:p>
    <w:p>
      <w:pPr>
        <w:sectPr>
          <w:pgSz w:w="11900" w:h="16838" w:orient="portrait"/>
          <w:cols w:equalWidth="0" w:num="1">
            <w:col w:w="11024"/>
          </w:cols>
          <w:pgMar w:left="436" w:top="270" w:right="439" w:bottom="1440" w:gutter="0" w:footer="0" w:header="0"/>
        </w:sectPr>
      </w:pPr>
    </w:p>
    <w:bookmarkStart w:id="3" w:name="page4"/>
    <w:bookmarkEnd w:id="3"/>
    <w:p>
      <w:pPr>
        <w:ind w:left="544" w:right="480" w:firstLine="408"/>
        <w:spacing w:after="0" w:line="277" w:lineRule="auto"/>
        <w:tabs>
          <w:tab w:leader="none" w:pos="125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include any material information with respect to the Plan not previously disclosed in this Registration Statement or any material change to such information in this Registration Statement;</w:t>
      </w:r>
    </w:p>
    <w:p>
      <w:pPr>
        <w:spacing w:after="0" w:line="62" w:lineRule="exact"/>
        <w:rPr>
          <w:sz w:val="20"/>
          <w:szCs w:val="20"/>
          <w:color w:val="auto"/>
        </w:rPr>
      </w:pPr>
    </w:p>
    <w:p>
      <w:pPr>
        <w:ind w:left="4"/>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76" w:lineRule="exact"/>
        <w:rPr>
          <w:sz w:val="20"/>
          <w:szCs w:val="20"/>
          <w:color w:val="auto"/>
        </w:rPr>
      </w:pPr>
    </w:p>
    <w:p>
      <w:pPr>
        <w:ind w:left="4" w:right="60" w:firstLine="419"/>
        <w:spacing w:after="0" w:line="263" w:lineRule="auto"/>
        <w:tabs>
          <w:tab w:leader="none" w:pos="681"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 w:right="180" w:firstLine="419"/>
        <w:spacing w:after="0" w:line="277" w:lineRule="auto"/>
        <w:tabs>
          <w:tab w:leader="none" w:pos="681"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36" w:right="160" w:firstLine="436"/>
        <w:spacing w:after="0" w:line="257"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7" w:lineRule="exact"/>
        <w:rPr>
          <w:rFonts w:ascii="Arial" w:cs="Arial" w:eastAsia="Arial" w:hAnsi="Arial"/>
          <w:sz w:val="18"/>
          <w:szCs w:val="18"/>
          <w:color w:val="auto"/>
        </w:rPr>
      </w:pPr>
    </w:p>
    <w:p>
      <w:pPr>
        <w:ind w:left="-436" w:right="40" w:firstLine="436"/>
        <w:spacing w:after="0" w:line="271" w:lineRule="auto"/>
        <w:tabs>
          <w:tab w:leader="none" w:pos="24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referenced in Item 6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544"/>
          </w:cols>
          <w:pgMar w:left="876" w:top="274" w:right="479" w:bottom="1440" w:gutter="0" w:footer="0" w:header="0"/>
        </w:sectPr>
      </w:pPr>
    </w:p>
    <w:bookmarkStart w:id="4" w:name="page5"/>
    <w:bookmarkEnd w:id="4"/>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this 13th day of February 2023.</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Secretary and Authorized Signatory</w:t>
      </w:r>
    </w:p>
    <w:p>
      <w:pPr>
        <w:sectPr>
          <w:pgSz w:w="11900" w:h="16838" w:orient="portrait"/>
          <w:cols w:equalWidth="0" w:num="1">
            <w:col w:w="10460"/>
          </w:cols>
          <w:pgMar w:left="440" w:top="270" w:right="99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 AND SIGNATURES</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the undersigned officers and directors of Amdocs Limited, hereby severally constitute Matthew E. Smith and Tamar Rapaport-Dagim (with full power to each of them to act alone), and each of them singly, our true and lawful attorneys-in-fact and agents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attorneys-in-fact, or any of them, to said Registration Statement and any and all amendments thereto.</w:t>
      </w:r>
    </w:p>
    <w:p>
      <w:pPr>
        <w:spacing w:after="0" w:line="16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gridSpan w:val="2"/>
          </w:tcPr>
          <w:p>
            <w:pPr>
              <w:ind w:left="1800"/>
              <w:spacing w:after="0"/>
              <w:rPr>
                <w:sz w:val="20"/>
                <w:szCs w:val="20"/>
                <w:color w:val="auto"/>
              </w:rPr>
            </w:pPr>
            <w:r>
              <w:rPr>
                <w:rFonts w:ascii="Arial" w:cs="Arial" w:eastAsia="Arial" w:hAnsi="Arial"/>
                <w:sz w:val="14"/>
                <w:szCs w:val="14"/>
                <w:b w:val="1"/>
                <w:bCs w:val="1"/>
                <w:color w:val="auto"/>
                <w:w w:val="89"/>
              </w:rPr>
              <w:t>Signature</w:t>
            </w:r>
          </w:p>
        </w:tc>
        <w:tc>
          <w:tcPr>
            <w:tcW w:w="1780" w:type="dxa"/>
            <w:vAlign w:val="bottom"/>
          </w:tcPr>
          <w:p>
            <w:pPr>
              <w:spacing w:after="0"/>
              <w:rPr>
                <w:sz w:val="14"/>
                <w:szCs w:val="14"/>
                <w:color w:val="auto"/>
              </w:rPr>
            </w:pPr>
          </w:p>
        </w:tc>
        <w:tc>
          <w:tcPr>
            <w:tcW w:w="456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7"/>
              </w:rPr>
              <w:t>Title</w:t>
            </w:r>
          </w:p>
        </w:tc>
        <w:tc>
          <w:tcPr>
            <w:tcW w:w="12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6"/>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Shuky Sheffer</w:t>
            </w: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52"/>
              <w:spacing w:after="0"/>
              <w:rPr>
                <w:sz w:val="20"/>
                <w:szCs w:val="20"/>
                <w:color w:val="auto"/>
              </w:rPr>
            </w:pPr>
            <w:r>
              <w:rPr>
                <w:rFonts w:ascii="Arial" w:cs="Arial" w:eastAsia="Arial" w:hAnsi="Arial"/>
                <w:sz w:val="18"/>
                <w:szCs w:val="18"/>
                <w:color w:val="auto"/>
                <w:w w:val="92"/>
              </w:rPr>
              <w:t>Director and President &amp; Chief Executive</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1780" w:type="dxa"/>
            <w:vAlign w:val="bottom"/>
          </w:tcPr>
          <w:p>
            <w:pPr>
              <w:spacing w:after="0"/>
              <w:rPr>
                <w:sz w:val="19"/>
                <w:szCs w:val="19"/>
                <w:color w:val="auto"/>
              </w:rPr>
            </w:pPr>
          </w:p>
        </w:tc>
        <w:tc>
          <w:tcPr>
            <w:tcW w:w="4560" w:type="dxa"/>
            <w:vAlign w:val="bottom"/>
            <w:gridSpan w:val="3"/>
          </w:tcPr>
          <w:p>
            <w:pPr>
              <w:jc w:val="center"/>
              <w:ind w:left="452"/>
              <w:spacing w:after="0"/>
              <w:rPr>
                <w:sz w:val="20"/>
                <w:szCs w:val="20"/>
                <w:color w:val="auto"/>
              </w:rPr>
            </w:pPr>
            <w:r>
              <w:rPr>
                <w:rFonts w:ascii="Arial" w:cs="Arial" w:eastAsia="Arial" w:hAnsi="Arial"/>
                <w:sz w:val="18"/>
                <w:szCs w:val="18"/>
                <w:color w:val="auto"/>
                <w:w w:val="94"/>
              </w:rPr>
              <w:t>Officer (Principal Executive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Tamar Rapaport-Dagim</w:t>
            </w: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Chief Financial and Chief Operating</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182"/>
        </w:trPr>
        <w:tc>
          <w:tcPr>
            <w:tcW w:w="2400" w:type="dxa"/>
            <w:vAlign w:val="bottom"/>
            <w:gridSpan w:val="2"/>
          </w:tcPr>
          <w:p>
            <w:pPr>
              <w:spacing w:after="0" w:line="182" w:lineRule="exact"/>
              <w:rPr>
                <w:sz w:val="20"/>
                <w:szCs w:val="20"/>
                <w:color w:val="auto"/>
              </w:rPr>
            </w:pPr>
            <w:r>
              <w:rPr>
                <w:rFonts w:ascii="Arial" w:cs="Arial" w:eastAsia="Arial" w:hAnsi="Arial"/>
                <w:sz w:val="18"/>
                <w:szCs w:val="18"/>
                <w:color w:val="auto"/>
              </w:rPr>
              <w:t>Tamar Rapaport-Dagim</w:t>
            </w:r>
          </w:p>
        </w:tc>
        <w:tc>
          <w:tcPr>
            <w:tcW w:w="1780" w:type="dxa"/>
            <w:vAlign w:val="bottom"/>
          </w:tcPr>
          <w:p>
            <w:pPr>
              <w:spacing w:after="0"/>
              <w:rPr>
                <w:sz w:val="15"/>
                <w:szCs w:val="15"/>
                <w:color w:val="auto"/>
              </w:rPr>
            </w:pPr>
          </w:p>
        </w:tc>
        <w:tc>
          <w:tcPr>
            <w:tcW w:w="4560" w:type="dxa"/>
            <w:vAlign w:val="bottom"/>
            <w:gridSpan w:val="3"/>
          </w:tcPr>
          <w:p>
            <w:pPr>
              <w:jc w:val="center"/>
              <w:ind w:left="452"/>
              <w:spacing w:after="0" w:line="182" w:lineRule="exact"/>
              <w:rPr>
                <w:sz w:val="20"/>
                <w:szCs w:val="20"/>
                <w:color w:val="auto"/>
              </w:rPr>
            </w:pPr>
            <w:r>
              <w:rPr>
                <w:rFonts w:ascii="Arial" w:cs="Arial" w:eastAsia="Arial" w:hAnsi="Arial"/>
                <w:sz w:val="18"/>
                <w:szCs w:val="18"/>
                <w:color w:val="auto"/>
                <w:w w:val="94"/>
              </w:rPr>
              <w:t>Officer (Principal Financial Officer and</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30"/>
        </w:trPr>
        <w:tc>
          <w:tcPr>
            <w:tcW w:w="1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560" w:type="dxa"/>
            <w:vAlign w:val="bottom"/>
            <w:gridSpan w:val="3"/>
          </w:tcPr>
          <w:p>
            <w:pPr>
              <w:jc w:val="center"/>
              <w:ind w:left="432"/>
              <w:spacing w:after="0"/>
              <w:rPr>
                <w:sz w:val="20"/>
                <w:szCs w:val="20"/>
                <w:color w:val="auto"/>
              </w:rPr>
            </w:pPr>
            <w:r>
              <w:rPr>
                <w:rFonts w:ascii="Arial" w:cs="Arial" w:eastAsia="Arial" w:hAnsi="Arial"/>
                <w:sz w:val="18"/>
                <w:szCs w:val="18"/>
                <w:color w:val="auto"/>
                <w:w w:val="95"/>
              </w:rPr>
              <w:t>Principal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6"/>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A. Minicucci</w:t>
            </w: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Chairman of the Board</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Robert A. Minicucci</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Gelman</w:t>
            </w: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32"/>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Rafael de la Vega</w:t>
            </w: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32"/>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Adrian Gardner</w:t>
            </w: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32"/>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Amos Genish</w:t>
            </w:r>
          </w:p>
        </w:tc>
        <w:tc>
          <w:tcPr>
            <w:tcW w:w="178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432"/>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Amos Genish</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0840"/>
          </w:cols>
          <w:pgMar w:left="440" w:top="270" w:right="6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39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Richard T.C. LeFave</w:t>
            </w:r>
          </w:p>
        </w:tc>
        <w:tc>
          <w:tcPr>
            <w:tcW w:w="39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MacDonald</w:t>
            </w:r>
          </w:p>
        </w:tc>
        <w:tc>
          <w:tcPr>
            <w:tcW w:w="39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John A. MacDonald</w:t>
            </w:r>
          </w:p>
        </w:tc>
        <w:tc>
          <w:tcPr>
            <w:tcW w:w="39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Yvette Kanouff</w:t>
            </w:r>
          </w:p>
        </w:tc>
        <w:tc>
          <w:tcPr>
            <w:tcW w:w="39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Yvette Kanouff</w:t>
            </w:r>
          </w:p>
        </w:tc>
        <w:tc>
          <w:tcPr>
            <w:tcW w:w="39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Ruth Davis</w:t>
            </w:r>
          </w:p>
        </w:tc>
        <w:tc>
          <w:tcPr>
            <w:tcW w:w="39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Sarah Ruth Davis</w:t>
            </w:r>
          </w:p>
        </w:tc>
        <w:tc>
          <w:tcPr>
            <w:tcW w:w="3960" w:type="dxa"/>
            <w:vAlign w:val="bottom"/>
          </w:tcPr>
          <w:p>
            <w:pPr>
              <w:spacing w:after="0"/>
              <w:rPr>
                <w:sz w:val="19"/>
                <w:szCs w:val="19"/>
                <w:color w:val="auto"/>
              </w:rPr>
            </w:pPr>
          </w:p>
        </w:tc>
        <w:tc>
          <w:tcPr>
            <w:tcW w:w="2440" w:type="dxa"/>
            <w:vAlign w:val="bottom"/>
          </w:tcPr>
          <w:p>
            <w:pPr>
              <w:spacing w:after="0"/>
              <w:rPr>
                <w:sz w:val="19"/>
                <w:szCs w:val="19"/>
                <w:color w:val="auto"/>
              </w:rPr>
            </w:pPr>
          </w:p>
        </w:tc>
      </w:tr>
    </w:tbl>
    <w:p>
      <w:pPr>
        <w:sectPr>
          <w:pgSz w:w="11900" w:h="16838" w:orient="portrait"/>
          <w:cols w:equalWidth="0" w:num="1">
            <w:col w:w="10580"/>
          </w:cols>
          <w:pgMar w:left="440" w:top="274" w:right="8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REPRESENTATIVE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Amdocs Limited, has signed this Registration Statement on February 13th, 2023.</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Secretary and Authorized Signatory</w:t>
      </w:r>
    </w:p>
    <w:p>
      <w:pPr>
        <w:sectPr>
          <w:pgSz w:w="11900" w:h="16838" w:orient="portrait"/>
          <w:cols w:equalWidth="0" w:num="1">
            <w:col w:w="10980"/>
          </w:cols>
          <w:pgMar w:left="440" w:top="270" w:right="479" w:bottom="1440" w:gutter="0" w:footer="0" w:header="0"/>
        </w:sectPr>
      </w:pPr>
    </w:p>
    <w:bookmarkStart w:id="8" w:name="page9"/>
    <w:bookmarkEnd w:id="8"/>
    <w:p>
      <w:pPr>
        <w:ind w:left="10184"/>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68021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210" cy="29146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186055</wp:posOffset>
            </wp:positionV>
            <wp:extent cx="1303020" cy="1260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126047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6"/>
          <w:szCs w:val="16"/>
          <w:color w:val="auto"/>
        </w:rPr>
        <w:t>TC/RDLH/1000662/0122/G14782650v3</w:t>
      </w:r>
    </w:p>
    <w:p>
      <w:pPr>
        <w:spacing w:after="0" w:line="225" w:lineRule="exact"/>
        <w:rPr>
          <w:sz w:val="20"/>
          <w:szCs w:val="20"/>
          <w:color w:val="auto"/>
        </w:rPr>
      </w:pPr>
    </w:p>
    <w:p>
      <w:pPr>
        <w:ind w:left="9004"/>
        <w:spacing w:after="0"/>
        <w:rPr>
          <w:sz w:val="20"/>
          <w:szCs w:val="20"/>
          <w:color w:val="auto"/>
        </w:rPr>
      </w:pPr>
      <w:r>
        <w:rPr>
          <w:rFonts w:ascii="Arial" w:cs="Arial" w:eastAsia="Arial" w:hAnsi="Arial"/>
          <w:sz w:val="18"/>
          <w:szCs w:val="18"/>
          <w:color w:val="auto"/>
        </w:rPr>
        <w:t>13 February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Hirzel House, Smith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GY1 2NG</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424" w:right="20" w:hanging="431"/>
        <w:spacing w:after="0" w:line="257" w:lineRule="auto"/>
        <w:tabs>
          <w:tab w:leader="none" w:pos="404" w:val="left"/>
        </w:tabs>
        <w:rPr>
          <w:sz w:val="20"/>
          <w:szCs w:val="20"/>
          <w:color w:val="auto"/>
        </w:rPr>
      </w:pPr>
      <w:r>
        <w:rPr>
          <w:rFonts w:ascii="Arial" w:cs="Arial" w:eastAsia="Arial" w:hAnsi="Arial"/>
          <w:sz w:val="18"/>
          <w:szCs w:val="18"/>
          <w:color w:val="auto"/>
        </w:rPr>
        <w:t>1.1</w:t>
        <w:tab/>
        <w:t>You have asked for our legal opinion on matters of Guernsey law in connection with the registration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2,400,000 ordinary shares of £0.01 each in the Company (the “</w:t>
      </w:r>
      <w:r>
        <w:rPr>
          <w:rFonts w:ascii="Arial" w:cs="Arial" w:eastAsia="Arial" w:hAnsi="Arial"/>
          <w:sz w:val="18"/>
          <w:szCs w:val="18"/>
          <w:b w:val="1"/>
          <w:bCs w:val="1"/>
          <w:color w:val="auto"/>
        </w:rPr>
        <w:t>Shares</w:t>
      </w:r>
      <w:r>
        <w:rPr>
          <w:rFonts w:ascii="Arial" w:cs="Arial" w:eastAsia="Arial" w:hAnsi="Arial"/>
          <w:sz w:val="18"/>
          <w:szCs w:val="18"/>
          <w:color w:val="auto"/>
        </w:rPr>
        <w:t>”) authorized for issuance pursuant to the Company’s 2023 Employee Share Purchase Plan (the “</w:t>
      </w:r>
      <w:r>
        <w:rPr>
          <w:rFonts w:ascii="Arial" w:cs="Arial" w:eastAsia="Arial" w:hAnsi="Arial"/>
          <w:sz w:val="18"/>
          <w:szCs w:val="18"/>
          <w:b w:val="1"/>
          <w:bCs w:val="1"/>
          <w:color w:val="auto"/>
        </w:rPr>
        <w:t>ESPP</w:t>
      </w:r>
      <w:r>
        <w:rPr>
          <w:rFonts w:ascii="Arial" w:cs="Arial" w:eastAsia="Arial" w:hAnsi="Arial"/>
          <w:sz w:val="18"/>
          <w:szCs w:val="18"/>
          <w:color w:val="auto"/>
        </w:rPr>
        <w:t>”) and the Company executing and filing with the SEC a Form S-8 (registration statement) dated 13 February 2023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 ESPP provides that eligible employees may be granted an option (an “</w:t>
      </w:r>
      <w:r>
        <w:rPr>
          <w:rFonts w:ascii="Arial" w:cs="Arial" w:eastAsia="Arial" w:hAnsi="Arial"/>
          <w:sz w:val="18"/>
          <w:szCs w:val="18"/>
          <w:b w:val="1"/>
          <w:bCs w:val="1"/>
          <w:color w:val="auto"/>
        </w:rPr>
        <w:t>Option</w:t>
      </w:r>
      <w:r>
        <w:rPr>
          <w:rFonts w:ascii="Arial" w:cs="Arial" w:eastAsia="Arial" w:hAnsi="Arial"/>
          <w:sz w:val="18"/>
          <w:szCs w:val="18"/>
          <w:color w:val="auto"/>
        </w:rPr>
        <w:t>”) to purchase Shares pursuant to the terms of the ESPP.</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ESPP and the Registration Statement are in this opinion together referred to as the “</w:t>
      </w:r>
      <w:r>
        <w:rPr>
          <w:rFonts w:ascii="Arial" w:cs="Arial" w:eastAsia="Arial" w:hAnsi="Arial"/>
          <w:sz w:val="16"/>
          <w:szCs w:val="16"/>
          <w:b w:val="1"/>
          <w:bCs w:val="1"/>
          <w:color w:val="auto"/>
        </w:rPr>
        <w:t>Plan Documents</w:t>
      </w:r>
      <w:r>
        <w:rPr>
          <w:rFonts w:ascii="Arial" w:cs="Arial" w:eastAsia="Arial" w:hAnsi="Arial"/>
          <w:sz w:val="16"/>
          <w:szCs w:val="16"/>
          <w:color w:val="auto"/>
        </w:rPr>
        <w:t>”.</w:t>
      </w:r>
    </w:p>
    <w:p>
      <w:pPr>
        <w:spacing w:after="0" w:line="135"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1.3</w:t>
        <w:tab/>
        <w:t>Except as expressly referred to in this opinion we have not seen or examined, and give no opinion on, any underlying or other documents referred to in the Plan Documents.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We are lawyers qualified to practice law in and to advise on the laws of the Island of Guernsey.</w:t>
      </w:r>
    </w:p>
    <w:p>
      <w:pPr>
        <w:spacing w:after="0" w:line="370"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INSPECTION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to examining the Plan Documents, for the purpose of giving this opinion we have examined the following documents: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copy of the certificate of incorporation of the Company as filed at the registry of companies in Guernsey (the “</w:t>
      </w:r>
      <w:r>
        <w:rPr>
          <w:rFonts w:ascii="Arial" w:cs="Arial" w:eastAsia="Arial" w:hAnsi="Arial"/>
          <w:sz w:val="16"/>
          <w:szCs w:val="16"/>
          <w:b w:val="1"/>
          <w:bCs w:val="1"/>
          <w:color w:val="auto"/>
        </w:rPr>
        <w:t>Registry</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 copy of the Memorandum and Articles of Incorporation of the Company as filed at the Registry at the date hereof (together the “</w:t>
      </w:r>
      <w:r>
        <w:rPr>
          <w:rFonts w:ascii="Arial" w:cs="Arial" w:eastAsia="Arial" w:hAnsi="Arial"/>
          <w:sz w:val="16"/>
          <w:szCs w:val="16"/>
          <w:b w:val="1"/>
          <w:bCs w:val="1"/>
          <w:color w:val="auto"/>
        </w:rPr>
        <w:t>Articles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PARTNERS: </w:t>
      </w:r>
      <w:r>
        <w:rPr>
          <w:rFonts w:ascii="Arial" w:cs="Arial" w:eastAsia="Arial" w:hAnsi="Arial"/>
          <w:sz w:val="18"/>
          <w:szCs w:val="18"/>
          <w:color w:val="auto"/>
        </w:rPr>
        <w:t>A Alexander C Anderson A Boyce T Carey R Clark T Corfield D Crosland M Dunster E Gray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D Jones N Kapp T Lane K Le Cras D Le Marquand B Morgan J Morgan </w:t>
      </w:r>
      <w:r>
        <w:rPr>
          <w:rFonts w:ascii="Arial" w:cs="Arial" w:eastAsia="Arial" w:hAnsi="Arial"/>
          <w:sz w:val="18"/>
          <w:szCs w:val="18"/>
          <w:b w:val="1"/>
          <w:bCs w:val="1"/>
          <w:color w:val="auto"/>
        </w:rPr>
        <w:t>CONSULTANTS:</w:t>
      </w:r>
      <w:r>
        <w:rPr>
          <w:rFonts w:ascii="Arial" w:cs="Arial" w:eastAsia="Arial" w:hAnsi="Arial"/>
          <w:sz w:val="18"/>
          <w:szCs w:val="18"/>
          <w:color w:val="auto"/>
        </w:rPr>
        <w:t xml:space="preserve"> N Carey K Friedlaender J Greenfield G Hall</w:t>
      </w:r>
    </w:p>
    <w:p>
      <w:pPr>
        <w:spacing w:after="0" w:line="103"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The Guernsey limited liability partnership known as Carey Olsen (Guernsey) LLP is a limited liability partnership incorporated in Guernsey on 1 March 2018 with its registered office at Carey House, Les Banques, St Peter Port GY1 4BZ and registration number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134620</wp:posOffset>
            </wp:positionV>
            <wp:extent cx="6471920"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71920" cy="35179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type w:val="continuous"/>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February 2023</w:t>
      </w:r>
    </w:p>
    <w:p>
      <w:pPr>
        <w:spacing w:after="0" w:line="143" w:lineRule="exact"/>
        <w:rPr>
          <w:sz w:val="20"/>
          <w:szCs w:val="20"/>
          <w:color w:val="auto"/>
        </w:rPr>
      </w:pPr>
    </w:p>
    <w:p>
      <w:pPr>
        <w:jc w:val="both"/>
        <w:ind w:left="424" w:right="80" w:hanging="431"/>
        <w:spacing w:after="0" w:line="263" w:lineRule="auto"/>
        <w:tabs>
          <w:tab w:leader="none" w:pos="404" w:val="left"/>
        </w:tabs>
        <w:rPr>
          <w:sz w:val="20"/>
          <w:szCs w:val="20"/>
          <w:color w:val="auto"/>
        </w:rPr>
      </w:pPr>
      <w:r>
        <w:rPr>
          <w:rFonts w:ascii="Arial" w:cs="Arial" w:eastAsia="Arial" w:hAnsi="Arial"/>
          <w:sz w:val="18"/>
          <w:szCs w:val="18"/>
          <w:color w:val="auto"/>
        </w:rPr>
        <w:t>2.3</w:t>
        <w:tab/>
        <w:t>copies of the minutes of the meetings of (i) the board of directors of the Company dated 8 November 2022 and (ii) the management resources and compensation committee of the board of directors of the Company dated 7 November 2022, signed by the chairman of the respective meetings at which the director’s authorized the adoption of the ESPP (the “</w:t>
      </w:r>
      <w:r>
        <w:rPr>
          <w:rFonts w:ascii="Arial" w:cs="Arial" w:eastAsia="Arial" w:hAnsi="Arial"/>
          <w:sz w:val="18"/>
          <w:szCs w:val="18"/>
          <w:b w:val="1"/>
          <w:bCs w:val="1"/>
          <w:color w:val="auto"/>
        </w:rPr>
        <w:t>Minutes</w:t>
      </w:r>
      <w:r>
        <w:rPr>
          <w:rFonts w:ascii="Arial" w:cs="Arial" w:eastAsia="Arial" w:hAnsi="Arial"/>
          <w:sz w:val="18"/>
          <w:szCs w:val="18"/>
          <w:color w:val="auto"/>
        </w:rPr>
        <w:t>”);</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copies of (i) the proxy ballot (the “</w:t>
      </w:r>
      <w:r>
        <w:rPr>
          <w:rFonts w:ascii="Arial" w:cs="Arial" w:eastAsia="Arial" w:hAnsi="Arial"/>
          <w:sz w:val="16"/>
          <w:szCs w:val="16"/>
          <w:b w:val="1"/>
          <w:bCs w:val="1"/>
          <w:color w:val="auto"/>
        </w:rPr>
        <w:t>Proxy Ballot</w:t>
      </w:r>
      <w:r>
        <w:rPr>
          <w:rFonts w:ascii="Arial" w:cs="Arial" w:eastAsia="Arial" w:hAnsi="Arial"/>
          <w:sz w:val="16"/>
          <w:szCs w:val="16"/>
          <w:color w:val="auto"/>
        </w:rPr>
        <w:t>”) in respect of the annual general meeting of shareholders held on January 27, 2023 (the</w:t>
      </w:r>
    </w:p>
    <w:p>
      <w:pPr>
        <w:spacing w:after="0" w:line="27" w:lineRule="exact"/>
        <w:rPr>
          <w:sz w:val="20"/>
          <w:szCs w:val="20"/>
          <w:color w:val="auto"/>
        </w:rPr>
      </w:pPr>
    </w:p>
    <w:p>
      <w:pPr>
        <w:ind w:left="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Meeting</w:t>
      </w:r>
      <w:r>
        <w:rPr>
          <w:rFonts w:ascii="Arial" w:cs="Arial" w:eastAsia="Arial" w:hAnsi="Arial"/>
          <w:sz w:val="16"/>
          <w:szCs w:val="16"/>
          <w:color w:val="auto"/>
        </w:rPr>
        <w:t>”) and (ii) the Form 6-K filed with the SEC for the month of January 2023 confirming, amongst other things, the shareholders’</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approval of the ESPP (the “</w:t>
      </w:r>
      <w:r>
        <w:rPr>
          <w:rFonts w:ascii="Arial" w:cs="Arial" w:eastAsia="Arial" w:hAnsi="Arial"/>
          <w:sz w:val="18"/>
          <w:szCs w:val="18"/>
          <w:b w:val="1"/>
          <w:bCs w:val="1"/>
          <w:color w:val="auto"/>
        </w:rPr>
        <w:t>2023 Form 6-K</w:t>
      </w:r>
      <w:r>
        <w:rPr>
          <w:rFonts w:ascii="Arial" w:cs="Arial" w:eastAsia="Arial" w:hAnsi="Arial"/>
          <w:sz w:val="18"/>
          <w:szCs w:val="18"/>
          <w:color w:val="auto"/>
        </w:rPr>
        <w:t>”);</w:t>
      </w:r>
    </w:p>
    <w:p>
      <w:pPr>
        <w:spacing w:after="0" w:line="116" w:lineRule="exact"/>
        <w:rPr>
          <w:sz w:val="20"/>
          <w:szCs w:val="20"/>
          <w:color w:val="auto"/>
        </w:rPr>
      </w:pPr>
    </w:p>
    <w:p>
      <w:pPr>
        <w:ind w:left="424" w:right="120" w:hanging="431"/>
        <w:spacing w:after="0" w:line="259" w:lineRule="auto"/>
        <w:tabs>
          <w:tab w:leader="none" w:pos="404" w:val="left"/>
        </w:tabs>
        <w:rPr>
          <w:sz w:val="20"/>
          <w:szCs w:val="20"/>
          <w:color w:val="auto"/>
        </w:rPr>
      </w:pPr>
      <w:r>
        <w:rPr>
          <w:rFonts w:ascii="Arial" w:cs="Arial" w:eastAsia="Arial" w:hAnsi="Arial"/>
          <w:sz w:val="18"/>
          <w:szCs w:val="18"/>
          <w:color w:val="auto"/>
        </w:rPr>
        <w:t>2.5</w:t>
        <w:tab/>
        <w:t>the public records of the Company on file and available for the purposes of public inspection at the Registry on 13 February 2023 and a search of the computerized records of matters raised in the Royal Court of Guernsey (the “</w:t>
      </w:r>
      <w:r>
        <w:rPr>
          <w:rFonts w:ascii="Arial" w:cs="Arial" w:eastAsia="Arial" w:hAnsi="Arial"/>
          <w:sz w:val="18"/>
          <w:szCs w:val="18"/>
          <w:b w:val="1"/>
          <w:bCs w:val="1"/>
          <w:color w:val="auto"/>
        </w:rPr>
        <w:t>Royal Court</w:t>
      </w:r>
      <w:r>
        <w:rPr>
          <w:rFonts w:ascii="Arial" w:cs="Arial" w:eastAsia="Arial" w:hAnsi="Arial"/>
          <w:sz w:val="18"/>
          <w:szCs w:val="18"/>
          <w:color w:val="auto"/>
        </w:rPr>
        <w:t>” which definition shall include any court in the Island of Guernsey where the context so requires) available for inspection at the Greffe (the registry of the Royal Court in Guernsey) on 13 February 2023 (together the “</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a copy of the register of directors and officers of the Company dated 13 February 2023; and</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 certificate provided to us by the secretary of the Company dated 13 February 2023 (the “</w:t>
      </w:r>
      <w:r>
        <w:rPr>
          <w:rFonts w:ascii="Arial" w:cs="Arial" w:eastAsia="Arial" w:hAnsi="Arial"/>
          <w:sz w:val="16"/>
          <w:szCs w:val="16"/>
          <w:b w:val="1"/>
          <w:bCs w:val="1"/>
          <w:color w:val="auto"/>
        </w:rPr>
        <w:t>Certificate</w:t>
      </w:r>
      <w:r>
        <w:rPr>
          <w:rFonts w:ascii="Arial" w:cs="Arial" w:eastAsia="Arial" w:hAnsi="Arial"/>
          <w:sz w:val="16"/>
          <w:szCs w:val="16"/>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 the purpose of this opinion, we have made and relied upon the assumptions set out below without making any investigation thereof:</w:t>
      </w:r>
    </w:p>
    <w:p>
      <w:pPr>
        <w:spacing w:after="0" w:line="131" w:lineRule="exact"/>
        <w:rPr>
          <w:sz w:val="20"/>
          <w:szCs w:val="20"/>
          <w:color w:val="auto"/>
        </w:rPr>
      </w:pPr>
    </w:p>
    <w:p>
      <w:pPr>
        <w:ind w:left="964" w:hanging="539"/>
        <w:spacing w:after="0" w:line="342" w:lineRule="auto"/>
        <w:tabs>
          <w:tab w:leader="none" w:pos="94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conformity to the originals of all documents supplied to us as certified, photocopied, conformed or facsimile copies and the authenticity and completeness of the originals of such documents, and the authenticity and completeness of all documents supplied to us as originals;</w:t>
      </w:r>
    </w:p>
    <w:p>
      <w:pPr>
        <w:spacing w:after="0" w:line="29" w:lineRule="exact"/>
        <w:rPr>
          <w:sz w:val="20"/>
          <w:szCs w:val="20"/>
          <w:color w:val="auto"/>
        </w:rPr>
      </w:pPr>
    </w:p>
    <w:p>
      <w:pPr>
        <w:jc w:val="both"/>
        <w:ind w:left="964" w:right="180" w:hanging="539"/>
        <w:spacing w:after="0" w:line="263" w:lineRule="auto"/>
        <w:tabs>
          <w:tab w:leader="none" w:pos="944" w:val="left"/>
        </w:tabs>
        <w:rPr>
          <w:sz w:val="20"/>
          <w:szCs w:val="20"/>
          <w:color w:val="auto"/>
        </w:rPr>
      </w:pPr>
      <w:r>
        <w:rPr>
          <w:rFonts w:ascii="Arial" w:cs="Arial" w:eastAsia="Arial" w:hAnsi="Arial"/>
          <w:sz w:val="18"/>
          <w:szCs w:val="18"/>
          <w:color w:val="auto"/>
        </w:rPr>
        <w:t>3.1.2</w:t>
        <w:tab/>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spacing w:after="0" w:line="89" w:lineRule="exact"/>
        <w:rPr>
          <w:sz w:val="20"/>
          <w:szCs w:val="20"/>
          <w:color w:val="auto"/>
        </w:rPr>
      </w:pPr>
    </w:p>
    <w:p>
      <w:pPr>
        <w:jc w:val="both"/>
        <w:ind w:left="964" w:right="20" w:hanging="539"/>
        <w:spacing w:after="0" w:line="286" w:lineRule="auto"/>
        <w:tabs>
          <w:tab w:leader="none" w:pos="944"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licenses, registrations, approvals and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6223635</wp:posOffset>
            </wp:positionH>
            <wp:positionV relativeFrom="paragraph">
              <wp:posOffset>71120</wp:posOffset>
            </wp:positionV>
            <wp:extent cx="7715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February 2023</w:t>
      </w:r>
    </w:p>
    <w:p>
      <w:pPr>
        <w:spacing w:after="0" w:line="143" w:lineRule="exact"/>
        <w:rPr>
          <w:sz w:val="20"/>
          <w:szCs w:val="20"/>
          <w:color w:val="auto"/>
        </w:rPr>
      </w:pPr>
    </w:p>
    <w:p>
      <w:pPr>
        <w:ind w:left="960" w:right="20" w:hanging="539"/>
        <w:spacing w:after="0" w:line="263" w:lineRule="auto"/>
        <w:tabs>
          <w:tab w:leader="none" w:pos="940" w:val="left"/>
        </w:tabs>
        <w:rPr>
          <w:sz w:val="20"/>
          <w:szCs w:val="20"/>
          <w:color w:val="auto"/>
        </w:rPr>
      </w:pPr>
      <w:r>
        <w:rPr>
          <w:rFonts w:ascii="Arial" w:cs="Arial" w:eastAsia="Arial" w:hAnsi="Arial"/>
          <w:sz w:val="18"/>
          <w:szCs w:val="18"/>
          <w:color w:val="auto"/>
        </w:rPr>
        <w:t>3.1.4</w:t>
        <w:tab/>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spacing w:after="0" w:line="89" w:lineRule="exact"/>
        <w:rPr>
          <w:sz w:val="20"/>
          <w:szCs w:val="20"/>
          <w:color w:val="auto"/>
        </w:rPr>
      </w:pPr>
    </w:p>
    <w:p>
      <w:pPr>
        <w:jc w:val="both"/>
        <w:ind w:left="960" w:right="80" w:hanging="539"/>
        <w:spacing w:after="0" w:line="259" w:lineRule="auto"/>
        <w:tabs>
          <w:tab w:leader="none" w:pos="940" w:val="left"/>
        </w:tabs>
        <w:rPr>
          <w:sz w:val="20"/>
          <w:szCs w:val="20"/>
          <w:color w:val="auto"/>
        </w:rPr>
      </w:pPr>
      <w:r>
        <w:rPr>
          <w:rFonts w:ascii="Arial" w:cs="Arial" w:eastAsia="Arial" w:hAnsi="Arial"/>
          <w:sz w:val="18"/>
          <w:szCs w:val="18"/>
          <w:color w:val="auto"/>
        </w:rPr>
        <w:t>3.1.5</w:t>
        <w:tab/>
        <w:t>that the information and documents disclosed by our searches of the Public Records referred to in paragraph 2.5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spacing w:after="0" w:line="92" w:lineRule="exact"/>
        <w:rPr>
          <w:sz w:val="20"/>
          <w:szCs w:val="20"/>
          <w:color w:val="auto"/>
        </w:rPr>
      </w:pPr>
    </w:p>
    <w:p>
      <w:pPr>
        <w:ind w:left="960" w:right="180" w:hanging="539"/>
        <w:spacing w:after="0" w:line="279" w:lineRule="auto"/>
        <w:tabs>
          <w:tab w:leader="none" w:pos="9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spacing w:after="0" w:line="7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that there are no documents or information which we have not been provided with which could affect the accuracy of this opinion;</w:t>
      </w:r>
    </w:p>
    <w:p>
      <w:pPr>
        <w:spacing w:after="0" w:line="131" w:lineRule="exact"/>
        <w:rPr>
          <w:sz w:val="20"/>
          <w:szCs w:val="20"/>
          <w:color w:val="auto"/>
        </w:rPr>
      </w:pPr>
    </w:p>
    <w:p>
      <w:pPr>
        <w:ind w:left="960" w:right="240" w:hanging="539"/>
        <w:spacing w:after="0" w:line="259" w:lineRule="auto"/>
        <w:tabs>
          <w:tab w:leader="none" w:pos="940" w:val="left"/>
        </w:tabs>
        <w:rPr>
          <w:sz w:val="20"/>
          <w:szCs w:val="20"/>
          <w:color w:val="auto"/>
        </w:rPr>
      </w:pPr>
      <w:r>
        <w:rPr>
          <w:rFonts w:ascii="Arial" w:cs="Arial" w:eastAsia="Arial" w:hAnsi="Arial"/>
          <w:sz w:val="18"/>
          <w:szCs w:val="18"/>
          <w:color w:val="auto"/>
        </w:rPr>
        <w:t>3.1.8</w:t>
        <w:tab/>
        <w:t>that the directors of the Company have acted prudently for the commercial benefit of the Company and in good faith for the purposes of carrying on its business on arm’s length commercial terms, and further that they have disclosed all personal interests in the transactions contemplated in the Plan Documents in accordance with the requirements of the Companies (Guernsey) Law, 2008 (as amended)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Articles;</w:t>
      </w:r>
    </w:p>
    <w:p>
      <w:pPr>
        <w:spacing w:after="0" w:line="92" w:lineRule="exact"/>
        <w:rPr>
          <w:sz w:val="20"/>
          <w:szCs w:val="20"/>
          <w:color w:val="auto"/>
        </w:rPr>
      </w:pPr>
    </w:p>
    <w:p>
      <w:pPr>
        <w:ind w:left="960" w:hanging="539"/>
        <w:spacing w:after="0" w:line="277" w:lineRule="auto"/>
        <w:tabs>
          <w:tab w:leader="none" w:pos="940" w:val="left"/>
        </w:tabs>
        <w:rPr>
          <w:sz w:val="20"/>
          <w:szCs w:val="20"/>
          <w:color w:val="auto"/>
        </w:rPr>
      </w:pPr>
      <w:r>
        <w:rPr>
          <w:rFonts w:ascii="Arial" w:cs="Arial" w:eastAsia="Arial" w:hAnsi="Arial"/>
          <w:sz w:val="18"/>
          <w:szCs w:val="18"/>
          <w:color w:val="auto"/>
        </w:rPr>
        <w:t>3.1.9</w:t>
        <w:tab/>
        <w:t>that the Company is not insolvent or unable to pay its debts as they fall due and will not become insolvent or unable to pay its debts as they fall due as a result of it entering into the Plan Documents;</w:t>
      </w:r>
    </w:p>
    <w:p>
      <w:pPr>
        <w:spacing w:after="0" w:line="76" w:lineRule="exact"/>
        <w:rPr>
          <w:sz w:val="20"/>
          <w:szCs w:val="20"/>
          <w:color w:val="auto"/>
        </w:rPr>
      </w:pPr>
    </w:p>
    <w:p>
      <w:pPr>
        <w:ind w:left="960" w:right="100" w:hanging="539"/>
        <w:spacing w:after="0" w:line="257" w:lineRule="auto"/>
        <w:rPr>
          <w:sz w:val="20"/>
          <w:szCs w:val="20"/>
          <w:color w:val="auto"/>
        </w:rPr>
      </w:pPr>
      <w:r>
        <w:rPr>
          <w:rFonts w:ascii="Arial" w:cs="Arial" w:eastAsia="Arial" w:hAnsi="Arial"/>
          <w:sz w:val="18"/>
          <w:szCs w:val="18"/>
          <w:color w:val="auto"/>
        </w:rPr>
        <w:t>3.1.10 that all consents, exemptions, licenses, registrations, approvals or authorizations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licenses, registrations, approvals or authorizations required of the Company under the laws and regulations of Guernsey) have been obtained and are in full force and effect at the date of this opinion;</w:t>
      </w:r>
    </w:p>
    <w:p>
      <w:pPr>
        <w:spacing w:after="0" w:line="93" w:lineRule="exact"/>
        <w:rPr>
          <w:sz w:val="20"/>
          <w:szCs w:val="20"/>
          <w:color w:val="auto"/>
        </w:rPr>
      </w:pPr>
    </w:p>
    <w:p>
      <w:pPr>
        <w:ind w:left="960" w:right="40" w:hanging="539"/>
        <w:spacing w:after="0" w:line="277" w:lineRule="auto"/>
        <w:rPr>
          <w:sz w:val="20"/>
          <w:szCs w:val="20"/>
          <w:color w:val="auto"/>
        </w:rPr>
      </w:pPr>
      <w:r>
        <w:rPr>
          <w:rFonts w:ascii="Arial" w:cs="Arial" w:eastAsia="Arial" w:hAnsi="Arial"/>
          <w:sz w:val="18"/>
          <w:szCs w:val="18"/>
          <w:color w:val="auto"/>
        </w:rPr>
        <w:t>3.1.11 that the powers of the Company and the powers and authority of the Company’s directors have not been restricted in any way other than as set out in the Plan Documents or the Articles;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3.1.12 the Options are granted pursuant to and in accordance with terms and conditions of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109220</wp:posOffset>
            </wp:positionV>
            <wp:extent cx="7715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February 2023</w:t>
      </w:r>
    </w:p>
    <w:p>
      <w:pPr>
        <w:spacing w:after="0" w:line="143" w:lineRule="exact"/>
        <w:rPr>
          <w:sz w:val="20"/>
          <w:szCs w:val="20"/>
          <w:color w:val="auto"/>
        </w:rPr>
      </w:pPr>
    </w:p>
    <w:p>
      <w:pPr>
        <w:ind w:left="964" w:right="260" w:hanging="539"/>
        <w:spacing w:after="0" w:line="277" w:lineRule="auto"/>
        <w:rPr>
          <w:sz w:val="20"/>
          <w:szCs w:val="20"/>
          <w:color w:val="auto"/>
        </w:rPr>
      </w:pPr>
      <w:r>
        <w:rPr>
          <w:rFonts w:ascii="Arial" w:cs="Arial" w:eastAsia="Arial" w:hAnsi="Arial"/>
          <w:sz w:val="18"/>
          <w:szCs w:val="18"/>
          <w:color w:val="auto"/>
        </w:rPr>
        <w:t>3.1.13 none of the parties to the Plan Documents have committed any act or omission that has caused or may cause them to be in breach of the Plan Documents;</w:t>
      </w:r>
    </w:p>
    <w:p>
      <w:pPr>
        <w:spacing w:after="0" w:line="7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3.1.14 where an Option is exercised, it is exercised in accordance with the ESPP;</w:t>
      </w:r>
    </w:p>
    <w:p>
      <w:pPr>
        <w:spacing w:after="0" w:line="131" w:lineRule="exact"/>
        <w:rPr>
          <w:sz w:val="20"/>
          <w:szCs w:val="20"/>
          <w:color w:val="auto"/>
        </w:rPr>
      </w:pPr>
    </w:p>
    <w:p>
      <w:pPr>
        <w:ind w:left="964" w:hanging="539"/>
        <w:spacing w:after="0" w:line="277" w:lineRule="auto"/>
        <w:rPr>
          <w:sz w:val="20"/>
          <w:szCs w:val="20"/>
          <w:color w:val="auto"/>
        </w:rPr>
      </w:pPr>
      <w:r>
        <w:rPr>
          <w:rFonts w:ascii="Arial" w:cs="Arial" w:eastAsia="Arial" w:hAnsi="Arial"/>
          <w:sz w:val="18"/>
          <w:szCs w:val="18"/>
          <w:color w:val="auto"/>
        </w:rPr>
        <w:t>3.1.15 that the resolutions passed at paragraph 2 of the Proxy Ballot and referred to in the 2023 Form 6-K were passed by the requisite majority of the holders of the Ordinary Shares in the capital of the Company; and</w:t>
      </w:r>
    </w:p>
    <w:p>
      <w:pPr>
        <w:spacing w:after="0" w:line="76" w:lineRule="exact"/>
        <w:rPr>
          <w:sz w:val="20"/>
          <w:szCs w:val="20"/>
          <w:color w:val="auto"/>
        </w:rPr>
      </w:pPr>
    </w:p>
    <w:p>
      <w:pPr>
        <w:ind w:left="964" w:right="480" w:hanging="539"/>
        <w:spacing w:after="0" w:line="277" w:lineRule="auto"/>
        <w:rPr>
          <w:sz w:val="20"/>
          <w:szCs w:val="20"/>
          <w:color w:val="auto"/>
        </w:rPr>
      </w:pPr>
      <w:r>
        <w:rPr>
          <w:rFonts w:ascii="Arial" w:cs="Arial" w:eastAsia="Arial" w:hAnsi="Arial"/>
          <w:sz w:val="18"/>
          <w:szCs w:val="18"/>
          <w:color w:val="auto"/>
        </w:rPr>
        <w:t>3.1.16 that the Option Price determined in accordance with the Plan Documents is fair and reasonable to the Company and that the board of directors of the Company would be of that opinion at the relevant time.</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We have not independently verified these assumptions.</w:t>
      </w:r>
    </w:p>
    <w:p>
      <w:pPr>
        <w:spacing w:after="0" w:line="370"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21" w:lineRule="exact"/>
        <w:rPr>
          <w:sz w:val="20"/>
          <w:szCs w:val="20"/>
          <w:color w:val="auto"/>
        </w:rPr>
      </w:pPr>
    </w:p>
    <w:p>
      <w:pPr>
        <w:ind w:left="4" w:right="220"/>
        <w:spacing w:after="0" w:line="342" w:lineRule="auto"/>
        <w:rPr>
          <w:sz w:val="20"/>
          <w:szCs w:val="20"/>
          <w:color w:val="auto"/>
        </w:rPr>
      </w:pPr>
      <w:r>
        <w:rPr>
          <w:rFonts w:ascii="Arial" w:cs="Arial" w:eastAsia="Arial" w:hAnsi="Arial"/>
          <w:sz w:val="16"/>
          <w:szCs w:val="16"/>
          <w:color w:val="auto"/>
        </w:rPr>
        <w:t>On the basis of and subject to the above and the observations and qualifications below and subject to matters not disclosed to us we are of the opinion that when issued and paid for in accordance with the ESPP such Shares in the Company will be validly issued, fully paid and non-assessable.</w:t>
      </w:r>
    </w:p>
    <w:p>
      <w:pPr>
        <w:spacing w:after="0" w:line="268"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observations and qualifications referred to above are as follows:</w:t>
      </w:r>
    </w:p>
    <w:p>
      <w:pPr>
        <w:spacing w:after="0" w:line="131" w:lineRule="exact"/>
        <w:rPr>
          <w:sz w:val="20"/>
          <w:szCs w:val="20"/>
          <w:color w:val="auto"/>
        </w:rPr>
      </w:pPr>
    </w:p>
    <w:p>
      <w:pPr>
        <w:ind w:left="424" w:right="300" w:hanging="431"/>
        <w:spacing w:after="0" w:line="342" w:lineRule="auto"/>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spacing w:after="0" w:line="29" w:lineRule="exact"/>
        <w:rPr>
          <w:sz w:val="20"/>
          <w:szCs w:val="20"/>
          <w:color w:val="auto"/>
        </w:rPr>
      </w:pPr>
    </w:p>
    <w:p>
      <w:pPr>
        <w:ind w:left="424" w:right="220" w:hanging="431"/>
        <w:spacing w:after="0" w:line="263" w:lineRule="auto"/>
        <w:tabs>
          <w:tab w:leader="none" w:pos="404" w:val="left"/>
        </w:tabs>
        <w:rPr>
          <w:sz w:val="20"/>
          <w:szCs w:val="20"/>
          <w:color w:val="auto"/>
        </w:rPr>
      </w:pPr>
      <w:r>
        <w:rPr>
          <w:rFonts w:ascii="Arial" w:cs="Arial" w:eastAsia="Arial" w:hAnsi="Arial"/>
          <w:sz w:val="18"/>
          <w:szCs w:val="18"/>
          <w:color w:val="auto"/>
        </w:rPr>
        <w:t>5.2</w:t>
        <w:tab/>
        <w:t>We express no opinion on the accuracy or completeness of any statements, representations or warranties of fact set out in the Plan Documents and/or the Documents save insofar as an express opinion is given herein in respect thereof, which statements, representations and warranties we have not independently verified.</w:t>
      </w:r>
    </w:p>
    <w:p>
      <w:pPr>
        <w:spacing w:after="0" w:line="89"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5.3</w:t>
        <w:tab/>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 opinion as to whether the Plan Documents are enforceable in any jurisdiction outside Guernsey.</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We do not give any opinion on the commerciality of any transaction contemplated or entered into under or pursuant to the Plan Documents.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search of the Public Records referred to in paragraph 2.5 above is not conclusively capable of revealing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6223635</wp:posOffset>
            </wp:positionH>
            <wp:positionV relativeFrom="paragraph">
              <wp:posOffset>109220</wp:posOffset>
            </wp:positionV>
            <wp:extent cx="77152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February 2023</w:t>
      </w:r>
    </w:p>
    <w:p>
      <w:pPr>
        <w:spacing w:after="0" w:line="14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a winding up order has been made or a resolution passed for the winding up of the Company; or</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an order has been made or a resolution passed appointing a liquidator or administrator or other person to control the assets of the Company,</w:t>
      </w:r>
    </w:p>
    <w:p>
      <w:pPr>
        <w:spacing w:after="0" w:line="117" w:lineRule="exact"/>
        <w:rPr>
          <w:sz w:val="20"/>
          <w:szCs w:val="20"/>
          <w:color w:val="auto"/>
        </w:rPr>
      </w:pPr>
    </w:p>
    <w:p>
      <w:pPr>
        <w:ind w:left="444"/>
        <w:spacing w:after="0" w:line="253" w:lineRule="auto"/>
        <w:rPr>
          <w:sz w:val="20"/>
          <w:szCs w:val="20"/>
          <w:color w:val="auto"/>
        </w:rPr>
      </w:pPr>
      <w:r>
        <w:rPr>
          <w:rFonts w:ascii="Arial" w:cs="Arial" w:eastAsia="Arial" w:hAnsi="Arial"/>
          <w:sz w:val="18"/>
          <w:szCs w:val="18"/>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 Guernsey company pursuant to the laws of a foreign jurisdiction. Any such recognition may not be revealed by our searches.</w:t>
      </w:r>
    </w:p>
    <w:p>
      <w:pPr>
        <w:spacing w:after="0" w:line="100" w:lineRule="exact"/>
        <w:rPr>
          <w:sz w:val="20"/>
          <w:szCs w:val="20"/>
          <w:color w:val="auto"/>
        </w:rPr>
      </w:pPr>
    </w:p>
    <w:p>
      <w:pPr>
        <w:ind w:left="424" w:right="180" w:hanging="431"/>
        <w:spacing w:after="0" w:line="259" w:lineRule="auto"/>
        <w:tabs>
          <w:tab w:leader="none" w:pos="404" w:val="left"/>
        </w:tabs>
        <w:rPr>
          <w:sz w:val="20"/>
          <w:szCs w:val="20"/>
          <w:color w:val="auto"/>
        </w:rPr>
      </w:pPr>
      <w:r>
        <w:rPr>
          <w:rFonts w:ascii="Arial" w:cs="Arial" w:eastAsia="Arial" w:hAnsi="Arial"/>
          <w:sz w:val="18"/>
          <w:szCs w:val="18"/>
          <w:color w:val="auto"/>
        </w:rPr>
        <w:t>5.6</w:t>
        <w:tab/>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2.5 of this opinion above is an informal enquiry only and cannot be relied upon exclusively.</w:t>
      </w:r>
    </w:p>
    <w:p>
      <w:pPr>
        <w:spacing w:after="0" w:line="92" w:lineRule="exact"/>
        <w:rPr>
          <w:sz w:val="20"/>
          <w:szCs w:val="20"/>
          <w:color w:val="auto"/>
        </w:rPr>
      </w:pPr>
    </w:p>
    <w:p>
      <w:pPr>
        <w:ind w:left="424" w:right="100" w:hanging="431"/>
        <w:spacing w:after="0" w:line="259" w:lineRule="auto"/>
        <w:tabs>
          <w:tab w:leader="none" w:pos="404" w:val="left"/>
        </w:tabs>
        <w:rPr>
          <w:sz w:val="20"/>
          <w:szCs w:val="20"/>
          <w:color w:val="auto"/>
        </w:rPr>
      </w:pPr>
      <w:r>
        <w:rPr>
          <w:rFonts w:ascii="Arial" w:cs="Arial" w:eastAsia="Arial" w:hAnsi="Arial"/>
          <w:sz w:val="18"/>
          <w:szCs w:val="18"/>
          <w:color w:val="auto"/>
        </w:rPr>
        <w:t>5.7</w:t>
        <w:tab/>
        <w:t>Insofar as a Plan Document grants or requires the grant of a power of attorney by the Company to a party to the Plan Document, the grant of such power of attorney must be in accordance with the requirements of the Articles. If the Articles are silent the Plan Document must be executed by one director. The absence of compliance with such requirements will mean that the power of attorney may not be valid and enforceable in Guernsey.</w:t>
      </w:r>
    </w:p>
    <w:p>
      <w:pPr>
        <w:spacing w:after="0" w:line="291" w:lineRule="exact"/>
        <w:rPr>
          <w:sz w:val="20"/>
          <w:szCs w:val="20"/>
          <w:color w:val="auto"/>
        </w:rPr>
      </w:pPr>
    </w:p>
    <w:p>
      <w:pPr>
        <w:ind w:left="184" w:hanging="184"/>
        <w:spacing w:after="0"/>
        <w:tabs>
          <w:tab w:leader="none" w:pos="18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ADDRESSEES</w:t>
      </w:r>
    </w:p>
    <w:p>
      <w:pPr>
        <w:spacing w:after="0" w:line="121"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This opinion is addressed only to the Recipient and is solely for the benefit of the Recipient in connection with the Plan Documents and except with our prior written consent it may not be disclosed to or relied upon by any other person or used for any other purpose or referred to or made public in any way. Notwithstanding the foregoing, we hereby consent to the filing of this opinion with the SEC in connection with the Registration Statement in accordance with the requirements of Item 601(b)(5) of Regulation S-K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In giving such consent, we do not hereby admit that we are in the category of persons whose consent is required under Section 7 of the Securities Act or the rules and regulations of the SEC.</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Carey Olsen (Guernsey) LLP</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Carey Olsen (Guernsey)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6223635</wp:posOffset>
            </wp:positionH>
            <wp:positionV relativeFrom="paragraph">
              <wp:posOffset>111760</wp:posOffset>
            </wp:positionV>
            <wp:extent cx="77152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2023 Employee Share Purchase Plan of Amdocs Limited of our reports dated December 13, 2022, with respect to the consolidated financial statements of Amdocs Limited and the effectiveness of internal control over financial reporting of Amdocs Limited included in its Annual Report (Form 20-F) for the year ended September 30, 2022,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ectPr>
          <w:pgSz w:w="11900" w:h="16838" w:orient="portrait"/>
          <w:cols w:equalWidth="0" w:num="1">
            <w:col w:w="10980"/>
          </w:cols>
          <w:pgMar w:left="440" w:top="121" w:right="4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EMPLOYEE SHARE PURCHASE PLAN</w:t>
      </w:r>
    </w:p>
    <w:p>
      <w:pPr>
        <w:spacing w:after="0" w:line="225"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color w:val="auto"/>
        </w:rPr>
        <w:t>The purpose of the Amdocs Limited 2023 Employee Share Purchase Plan (the “</w:t>
      </w:r>
      <w:r>
        <w:rPr>
          <w:rFonts w:ascii="Arial" w:cs="Arial" w:eastAsia="Arial" w:hAnsi="Arial"/>
          <w:sz w:val="18"/>
          <w:szCs w:val="18"/>
          <w:b w:val="1"/>
          <w:bCs w:val="1"/>
          <w:color w:val="auto"/>
        </w:rPr>
        <w:t>Plan</w:t>
      </w:r>
      <w:r>
        <w:rPr>
          <w:rFonts w:ascii="Arial" w:cs="Arial" w:eastAsia="Arial" w:hAnsi="Arial"/>
          <w:sz w:val="18"/>
          <w:szCs w:val="18"/>
          <w:color w:val="auto"/>
        </w:rPr>
        <w:t>”) is to provide eligible employees of Amdocs Limited (the “</w:t>
      </w:r>
      <w:r>
        <w:rPr>
          <w:rFonts w:ascii="Arial" w:cs="Arial" w:eastAsia="Arial" w:hAnsi="Arial"/>
          <w:sz w:val="18"/>
          <w:szCs w:val="18"/>
          <w:b w:val="1"/>
          <w:bCs w:val="1"/>
          <w:color w:val="auto"/>
        </w:rPr>
        <w:t>Company</w:t>
      </w:r>
      <w:r>
        <w:rPr>
          <w:rFonts w:ascii="Arial" w:cs="Arial" w:eastAsia="Arial" w:hAnsi="Arial"/>
          <w:sz w:val="18"/>
          <w:szCs w:val="18"/>
          <w:color w:val="auto"/>
        </w:rPr>
        <w:t>”) and each Designated Subsidiary (as defined in Section 11) with opportunities to acquire a proprietary interest in the Company through the purchase of Ordinary Shares (as defined in Section 11)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The maximum number of Shares reserved and available for issuance under the Plan shall not exceed in the aggregate 2,400,000 Shares, subject to adjustment as provided in Section 17. If any purchase of Shares pursuant to an Option (as defined in Section 8) under the Plan is not consummated, the Shares not purchased will again become available for issuance under the Plan.</w:t>
      </w:r>
    </w:p>
    <w:p>
      <w:pPr>
        <w:spacing w:after="0" w:line="187"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color w:val="auto"/>
        </w:rPr>
        <w:t>The Plan includes two components: (a) one component (the “</w:t>
      </w:r>
      <w:r>
        <w:rPr>
          <w:rFonts w:ascii="Arial" w:cs="Arial" w:eastAsia="Arial" w:hAnsi="Arial"/>
          <w:sz w:val="17"/>
          <w:szCs w:val="17"/>
          <w:b w:val="1"/>
          <w:bCs w:val="1"/>
          <w:color w:val="auto"/>
        </w:rPr>
        <w:t>423 Component</w:t>
      </w:r>
      <w:r>
        <w:rPr>
          <w:rFonts w:ascii="Arial" w:cs="Arial" w:eastAsia="Arial" w:hAnsi="Arial"/>
          <w:sz w:val="17"/>
          <w:szCs w:val="17"/>
          <w:color w:val="auto"/>
        </w:rPr>
        <w:t>”) which is intended to constitute an “employee stock purchase plan” within the meaning of Section 423(b)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shall be interpreted in accordance with that intent, and (b) another component (the “</w:t>
      </w:r>
      <w:r>
        <w:rPr>
          <w:rFonts w:ascii="Arial" w:cs="Arial" w:eastAsia="Arial" w:hAnsi="Arial"/>
          <w:sz w:val="17"/>
          <w:szCs w:val="17"/>
          <w:b w:val="1"/>
          <w:bCs w:val="1"/>
          <w:color w:val="auto"/>
        </w:rPr>
        <w:t>Non-423 Component</w:t>
      </w:r>
      <w:r>
        <w:rPr>
          <w:rFonts w:ascii="Arial" w:cs="Arial" w:eastAsia="Arial" w:hAnsi="Arial"/>
          <w:sz w:val="17"/>
          <w:szCs w:val="17"/>
          <w:color w:val="auto"/>
        </w:rPr>
        <w:t>”), which does not qualify as an “employee stock purchase plan” within the meaning of Section 423(b) of the Code, and under which Options will be granted pursuant to rules, procedures or sub-plans adopted by the Administrator (as defined in Section 1) designed to achieve tax, securities laws or other objectives for eligible employees. Except as otherwise provided herein, the Non-423 Component will operate and be administered in the same manner as the 423 Component.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capitalized terms in the Plan shall have the meaning ascribed to them in Section 11.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a committee (the “</w:t>
      </w:r>
      <w:r>
        <w:rPr>
          <w:rFonts w:ascii="Arial" w:cs="Arial" w:eastAsia="Arial" w:hAnsi="Arial"/>
          <w:sz w:val="17"/>
          <w:szCs w:val="17"/>
          <w:b w:val="1"/>
          <w:bCs w:val="1"/>
          <w:color w:val="auto"/>
        </w:rPr>
        <w:t>Administrator</w:t>
      </w:r>
      <w:r>
        <w:rPr>
          <w:rFonts w:ascii="Arial" w:cs="Arial" w:eastAsia="Arial" w:hAnsi="Arial"/>
          <w:sz w:val="17"/>
          <w:szCs w:val="17"/>
          <w:color w:val="auto"/>
        </w:rPr>
        <w:t>”) appointed by the Company’s Board of Directors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for such purpose. The Administrator has authority, in its discretion, subject to and not inconsistent with the express provisions of the Plan,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administer the Plan and to exercise all powers and authorities either specifically granted to it under the Plan or necessary or advisable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the Plan, including, without limitation:</w:t>
      </w:r>
    </w:p>
    <w:p>
      <w:pPr>
        <w:spacing w:after="0" w:line="116"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the Offerings;</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 alter and repeal such rules, guidelines and practices for the administration of the Plan and for its own acts and proceedings as it shall deem advisable;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interpret the terms and provisions of the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correct any defect or supply any omission or reconcile any inconsistency or ambiguity in the Plan;</w:t>
      </w:r>
    </w:p>
    <w:p>
      <w:pPr>
        <w:sectPr>
          <w:pgSz w:w="11900" w:h="16838" w:orient="portrait"/>
          <w:cols w:equalWidth="0" w:num="1">
            <w:col w:w="11020"/>
          </w:cols>
          <w:pgMar w:left="440" w:top="121" w:right="439" w:bottom="1440" w:gutter="0" w:footer="0" w:header="0"/>
        </w:sectPr>
      </w:pPr>
    </w:p>
    <w:bookmarkStart w:id="15" w:name="page16"/>
    <w:bookmarkEnd w:id="15"/>
    <w:p>
      <w:pPr>
        <w:ind w:left="960" w:right="4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all determinations it deems advisable for the administration of the Plan, including to accommodate the specific requirements of local laws, regulations and procedures;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supervise the administration of the Plan.</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Administrator may delegate to one or more of its members or to one or more agents such administrative duties as it may deem advisable, and the Administrator or any person to whom it has delegated duties as aforesaid may employ one or more persons to render advice with respect to any responsibility the Administrator or such person may have under the Plan. All interpretations and decisions of the Administrator shall be binding on all persons, including the Company and the Participants. No member of the Board or the committee administering the Plan or any individual exercising administrative authority with respect to the Plan shall be liable for any action or determination made in good faith with respect to the Plan or any Option granted hereunder.</w:t>
      </w:r>
    </w:p>
    <w:p>
      <w:pPr>
        <w:spacing w:after="0" w:line="192" w:lineRule="exact"/>
        <w:rPr>
          <w:sz w:val="20"/>
          <w:szCs w:val="20"/>
          <w:color w:val="auto"/>
        </w:rPr>
      </w:pPr>
    </w:p>
    <w:p>
      <w:pPr>
        <w:ind w:right="80" w:firstLine="436"/>
        <w:spacing w:after="0" w:line="275"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Offerings</w:t>
      </w:r>
      <w:r>
        <w:rPr>
          <w:rFonts w:ascii="Arial" w:cs="Arial" w:eastAsia="Arial" w:hAnsi="Arial"/>
          <w:sz w:val="17"/>
          <w:szCs w:val="17"/>
          <w:color w:val="auto"/>
        </w:rPr>
        <w:t xml:space="preserve">. The Company will make one or more Offerings to eligible employees to purchase Shares under the Plan consisting of a series of Purchase Periods. Unless otherwise determined by the Administrator, each Purchase Period shall have a duration of six (6) months, with new Purchase Periods commencing on such dates as established by the Administrator (or its delegate). Prior to the commencement of any Purchase Period, the Administrator (or its delegate) may, in its discretion, designate a different period for any Purchase Period, including by changing the duration, start date or end date for any Purchase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Purchase Period shall exceed twenty-seven (27) months in duration.</w:t>
      </w:r>
    </w:p>
    <w:p>
      <w:pPr>
        <w:spacing w:after="0" w:line="176" w:lineRule="exact"/>
        <w:rPr>
          <w:rFonts w:ascii="Arial" w:cs="Arial" w:eastAsia="Arial" w:hAnsi="Arial"/>
          <w:sz w:val="17"/>
          <w:szCs w:val="17"/>
          <w:color w:val="auto"/>
        </w:rPr>
      </w:pPr>
    </w:p>
    <w:p>
      <w:pPr>
        <w:ind w:left="620" w:hanging="18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7" w:lineRule="auto"/>
        <w:tabs>
          <w:tab w:leader="none" w:pos="12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Unless otherwise determined by the Administrator, all individuals classified as employees on the payroll records of the Company and each Designated Subsidiary and who are customarily employed for more than five (5) months in any calendar year are eligible to participate in any one or more of the Offerings under the Plan. For the sake of clarity, an employee is customarily employed for more than five (5) months in any calendar year if the expectation of their position is that they will be employed for more than five (5) months in such calendar year (and not that their tenure has been for more than five (5) months in such calendar year).</w:t>
      </w:r>
    </w:p>
    <w:p>
      <w:pPr>
        <w:spacing w:after="0" w:line="187" w:lineRule="exact"/>
        <w:rPr>
          <w:rFonts w:ascii="Arial" w:cs="Arial" w:eastAsia="Arial" w:hAnsi="Arial"/>
          <w:sz w:val="18"/>
          <w:szCs w:val="18"/>
          <w:color w:val="auto"/>
        </w:rPr>
      </w:pPr>
    </w:p>
    <w:p>
      <w:pPr>
        <w:ind w:right="40" w:firstLine="987"/>
        <w:spacing w:after="0" w:line="253" w:lineRule="auto"/>
        <w:tabs>
          <w:tab w:leader="none" w:pos="12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Unless otherwise determined by the Administrator in its discretion (or its delegate), in the event any such individuals are reclassified as eligible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unless such individuals are required to be eligible to participate in the Plan pursuant to applicable law. Notwithstanding the foregoing, participation in the 423 Component of the Plan will neither be permitted nor be denied contrary to the requirements of the Code.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 w:name="page17"/>
    <w:bookmarkEnd w:id="16"/>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An eligible employee may participate in an Offering by submitting an enrollment form (which may be in electronic format) to his or her appropriate payroll location no earlier than forty-five (45) days before the Offering Date for the next Purchase Period and no later than seven (7) days before such Offering Date, unless a different deadline is established by the Administrator (or its delegate). The enrollment form will:</w:t>
      </w:r>
    </w:p>
    <w:p>
      <w:pPr>
        <w:spacing w:after="0" w:line="71"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state a whole percentage or the amount to be deducted from an eligible employee’s Compensation per pay period (as set forth in Section 5);</w:t>
      </w:r>
    </w:p>
    <w:p>
      <w:pPr>
        <w:spacing w:after="0" w:line="153" w:lineRule="exact"/>
        <w:rPr>
          <w:rFonts w:ascii="Arial" w:cs="Arial" w:eastAsia="Arial" w:hAnsi="Arial"/>
          <w:sz w:val="16"/>
          <w:szCs w:val="16"/>
          <w:color w:val="auto"/>
        </w:rPr>
      </w:pPr>
    </w:p>
    <w:p>
      <w:pPr>
        <w:ind w:left="960" w:right="80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Company to make such deductions from the eligible employee’s Compensation in accordance with the employee’s instructions;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purchase of Shares in each Purchase Period in accordance with the terms of the Plan;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 the requirements set forth in Section 26.</w:t>
      </w:r>
    </w:p>
    <w:p>
      <w:pPr>
        <w:spacing w:after="0" w:line="225"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An eligible employee who does not enroll in accordance with these procedures will be deemed to have waived the right to participate. Each Participant will be required to file a new enrollment form prior to the commencement of each Purchase Period under the Plan, provided he or she remains eligible, pursuant to the requirements set forth in this Section 4, unless the Administrator (or its delegate) determines that Participant’s deductions and purchases will continue at the same percentage of amount of Compensation for future Purchase Periods absent a new enrollment form (subject to a Participant’s withdrawal from the Plan (in accordance with Section 7) or termination of employment (in accordance with Section 21). Notwithstanding the foregoing, participation in the 423 Component of the Plan will neither be permitted nor be denied contrary to the requirements of the Code.</w:t>
      </w:r>
    </w:p>
    <w:p>
      <w:pPr>
        <w:spacing w:after="0" w:line="195" w:lineRule="exact"/>
        <w:rPr>
          <w:sz w:val="20"/>
          <w:szCs w:val="20"/>
          <w:color w:val="auto"/>
        </w:rPr>
      </w:pPr>
    </w:p>
    <w:p>
      <w:pPr>
        <w:ind w:right="60" w:firstLine="436"/>
        <w:spacing w:after="0" w:line="272"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one percent (1%) and up to a maximum of ten percent (10%) of such employee’s Compensation for each pay period. The Company will maintain book accounts showing the amount of payroll deductions made by each Participant for each Purchase Period. No interest will accrue or be paid on payroll deductions, except as may be required by applicable law. If payroll deductions for purposes of the Plan are prohibited or otherwise problematic under applicable law (as determined by the Administrator (or its delegate) in its discretion), the Administrator (or its delegate) may require Participants to contribute to the Plan by such other means as determined by the Administrator (or its delegate). Any reference to “payroll deductions” in this Section 5 (or in any other section of the Plan) will similarly cover contributions by other means made pursuant to this Section 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left="4" w:right="40" w:firstLine="436"/>
        <w:spacing w:after="0" w:line="287" w:lineRule="auto"/>
        <w:tabs>
          <w:tab w:leader="none" w:pos="62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 Changes</w:t>
      </w:r>
      <w:r>
        <w:rPr>
          <w:rFonts w:ascii="Arial" w:cs="Arial" w:eastAsia="Arial" w:hAnsi="Arial"/>
          <w:sz w:val="16"/>
          <w:szCs w:val="16"/>
          <w:color w:val="auto"/>
        </w:rPr>
        <w:t>. Except as may be determined by the Administrator (or its delegate) in advance of a Purchase Period, a Participant may not increase or decrease his or her payroll deduction percentage during any Purchase Period, but may increase or decrease his or her payroll deduction percentage with respect to the next Purchase Period (subject to the limitations of Section 5) by filing a new enrollment form no earlier than forty-five</w:t>
      </w:r>
    </w:p>
    <w:p>
      <w:pPr>
        <w:spacing w:after="0" w:line="2" w:lineRule="exact"/>
        <w:rPr>
          <w:rFonts w:ascii="Arial" w:cs="Arial" w:eastAsia="Arial" w:hAnsi="Arial"/>
          <w:sz w:val="16"/>
          <w:szCs w:val="16"/>
          <w:color w:val="auto"/>
        </w:rPr>
      </w:pPr>
    </w:p>
    <w:p>
      <w:pPr>
        <w:jc w:val="both"/>
        <w:ind w:left="4" w:right="20" w:hanging="4"/>
        <w:spacing w:after="0" w:line="277" w:lineRule="auto"/>
        <w:tabs>
          <w:tab w:leader="none" w:pos="349" w:val="left"/>
        </w:tabs>
        <w:numPr>
          <w:ilvl w:val="0"/>
          <w:numId w:val="21"/>
        </w:numPr>
        <w:rPr>
          <w:rFonts w:ascii="Arial" w:cs="Arial" w:eastAsia="Arial" w:hAnsi="Arial"/>
          <w:sz w:val="17"/>
          <w:szCs w:val="17"/>
          <w:color w:val="auto"/>
        </w:rPr>
      </w:pPr>
      <w:r>
        <w:rPr>
          <w:rFonts w:ascii="Arial" w:cs="Arial" w:eastAsia="Arial" w:hAnsi="Arial"/>
          <w:sz w:val="17"/>
          <w:szCs w:val="17"/>
          <w:color w:val="auto"/>
        </w:rPr>
        <w:t>days before the Offering Date for such Purchase Period and no later than seven (7) days before such Offering Date, unless a different deadline is be established by the Administrator (or its delegate). The Administrator (or its delegate) may, in advance of any Purchase Period, establish rules permitting a Participant to increase, decrease or terminate his or her payroll deduction during a Purchase Period.</w:t>
      </w:r>
    </w:p>
    <w:p>
      <w:pPr>
        <w:spacing w:after="0" w:line="172" w:lineRule="exact"/>
        <w:rPr>
          <w:rFonts w:ascii="Arial" w:cs="Arial" w:eastAsia="Arial" w:hAnsi="Arial"/>
          <w:sz w:val="17"/>
          <w:szCs w:val="17"/>
          <w:color w:val="auto"/>
        </w:rPr>
      </w:pPr>
    </w:p>
    <w:p>
      <w:pPr>
        <w:ind w:left="4" w:right="20" w:firstLine="436"/>
        <w:spacing w:after="0" w:line="272" w:lineRule="auto"/>
        <w:tabs>
          <w:tab w:leader="none" w:pos="624"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from participation in the Plan or a Purchase Period by delivering a written notice of withdrawal to the Company in accordance with such procedures as may be established by no later than forty (40) days prior to the end of a Purchase Period, unless a different deadline or window is established by the Administrator (or its delegate). The Participant’s withdrawal will be effective as of the next business day. Following a Participant’s withdrawal, the Company will as soon as practically possible refund such individual’s entire account balance under the Plan (without interest) to him or her (after payment for any Shares purchased before the effective date of withdrawal). Partial withdrawals are not permitted. Such an employee may not begin participation again during the remainder of the Purchase Period, but may enroll in a subsequent Purchase Period by submitting a new enrollment form in accordance with Section 4.</w:t>
      </w:r>
    </w:p>
    <w:p>
      <w:pPr>
        <w:spacing w:after="0" w:line="177" w:lineRule="exact"/>
        <w:rPr>
          <w:rFonts w:ascii="Arial" w:cs="Arial" w:eastAsia="Arial" w:hAnsi="Arial"/>
          <w:sz w:val="17"/>
          <w:szCs w:val="17"/>
          <w:color w:val="auto"/>
        </w:rPr>
      </w:pPr>
    </w:p>
    <w:p>
      <w:pPr>
        <w:ind w:left="624" w:hanging="184"/>
        <w:spacing w:after="0"/>
        <w:tabs>
          <w:tab w:leader="none" w:pos="62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4" w:firstLine="987"/>
        <w:spacing w:after="0" w:line="270" w:lineRule="auto"/>
        <w:tabs>
          <w:tab w:leader="none" w:pos="1240" w:val="left"/>
        </w:tabs>
        <w:numPr>
          <w:ilvl w:val="2"/>
          <w:numId w:val="21"/>
        </w:numPr>
        <w:rPr>
          <w:rFonts w:ascii="Arial" w:cs="Arial" w:eastAsia="Arial" w:hAnsi="Arial"/>
          <w:sz w:val="17"/>
          <w:szCs w:val="17"/>
          <w:color w:val="auto"/>
        </w:rPr>
      </w:pPr>
      <w:r>
        <w:rPr>
          <w:rFonts w:ascii="Arial" w:cs="Arial" w:eastAsia="Arial" w:hAnsi="Arial"/>
          <w:sz w:val="17"/>
          <w:szCs w:val="17"/>
          <w:color w:val="auto"/>
        </w:rPr>
        <w:t>On each Offering Date, each eligible employee who is then a Participant in the Plan will receive an option (“</w:t>
      </w:r>
      <w:r>
        <w:rPr>
          <w:rFonts w:ascii="Arial" w:cs="Arial" w:eastAsia="Arial" w:hAnsi="Arial"/>
          <w:sz w:val="17"/>
          <w:szCs w:val="17"/>
          <w:b w:val="1"/>
          <w:bCs w:val="1"/>
          <w:color w:val="auto"/>
        </w:rPr>
        <w:t>Option</w:t>
      </w:r>
      <w:r>
        <w:rPr>
          <w:rFonts w:ascii="Arial" w:cs="Arial" w:eastAsia="Arial" w:hAnsi="Arial"/>
          <w:sz w:val="17"/>
          <w:szCs w:val="17"/>
          <w:color w:val="auto"/>
        </w:rPr>
        <w:t>”) to purchase on the last trading day of a Purchase Period (the “</w:t>
      </w:r>
      <w:r>
        <w:rPr>
          <w:rFonts w:ascii="Arial" w:cs="Arial" w:eastAsia="Arial" w:hAnsi="Arial"/>
          <w:sz w:val="17"/>
          <w:szCs w:val="17"/>
          <w:b w:val="1"/>
          <w:bCs w:val="1"/>
          <w:color w:val="auto"/>
        </w:rPr>
        <w:t>Exercise Date</w:t>
      </w:r>
      <w:r>
        <w:rPr>
          <w:rFonts w:ascii="Arial" w:cs="Arial" w:eastAsia="Arial" w:hAnsi="Arial"/>
          <w:sz w:val="17"/>
          <w:szCs w:val="17"/>
          <w:color w:val="auto"/>
        </w:rPr>
        <w:t xml:space="preserve">”), at the Option Price hereinafter provided for, the lower of (a) a number of Shares determined by dividing such Participant’s accumulated payroll deductions (without interest) on such Exercise Date by the Option Price (as defined herein) and (b) such maximum number of Shares as shall have been established by the Administrator in advance of the Offering (which, if no maximum is established in advance of any Purchase Period, shall be 600 Shares);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Option shall be subject to the limitations set forth below. Each Participant’s Option shall be exercisable only to the extent of such Participant’s accumulated payroll deductions (without interest) on the Exercise Date (with payroll deductions withheld in a currency other than U.S. dollars converted into U.S. dollars using such exchange ratio as the Administrator (or its delegate) may establish in its good faith discretion). Unless otherwise determined by the Administrator in advance of a Purchase Period, the purchase price for each Share purchased under each Option (the “</w:t>
      </w:r>
      <w:r>
        <w:rPr>
          <w:rFonts w:ascii="Arial" w:cs="Arial" w:eastAsia="Arial" w:hAnsi="Arial"/>
          <w:sz w:val="17"/>
          <w:szCs w:val="17"/>
          <w:b w:val="1"/>
          <w:bCs w:val="1"/>
          <w:color w:val="auto"/>
        </w:rPr>
        <w:t>Option Price</w:t>
      </w:r>
      <w:r>
        <w:rPr>
          <w:rFonts w:ascii="Arial" w:cs="Arial" w:eastAsia="Arial" w:hAnsi="Arial"/>
          <w:sz w:val="17"/>
          <w:szCs w:val="17"/>
          <w:color w:val="auto"/>
        </w:rPr>
        <w:t>”) will be eighty-five percent (85%) of the Fair Market Value of the Shares on the Offering Date or the Exercise Date, whichever is less.</w:t>
      </w:r>
    </w:p>
    <w:p>
      <w:pPr>
        <w:spacing w:after="0" w:line="180" w:lineRule="exact"/>
        <w:rPr>
          <w:rFonts w:ascii="Arial" w:cs="Arial" w:eastAsia="Arial" w:hAnsi="Arial"/>
          <w:sz w:val="17"/>
          <w:szCs w:val="17"/>
          <w:color w:val="auto"/>
        </w:rPr>
      </w:pPr>
    </w:p>
    <w:p>
      <w:pPr>
        <w:ind w:left="4" w:right="200" w:firstLine="987"/>
        <w:spacing w:after="0" w:line="257" w:lineRule="auto"/>
        <w:tabs>
          <w:tab w:leader="none" w:pos="1250" w:val="left"/>
        </w:tabs>
        <w:numPr>
          <w:ilvl w:val="2"/>
          <w:numId w:val="21"/>
        </w:numPr>
        <w:rPr>
          <w:rFonts w:ascii="Arial" w:cs="Arial" w:eastAsia="Arial" w:hAnsi="Arial"/>
          <w:sz w:val="18"/>
          <w:szCs w:val="18"/>
          <w:color w:val="auto"/>
        </w:rPr>
      </w:pPr>
      <w:r>
        <w:rPr>
          <w:rFonts w:ascii="Arial" w:cs="Arial" w:eastAsia="Arial" w:hAnsi="Arial"/>
          <w:sz w:val="18"/>
          <w:szCs w:val="18"/>
          <w:color w:val="auto"/>
        </w:rPr>
        <w:t>Notwithstanding the foregoing, no Participant may be granted an Option hereunder if such Participant, immediately after the Option was granted, would be treated as owning Shares possessing five percent (5%) or more of the total combined voting power or value of all classes of shares of the Company or any Parent or Subsidiary. For purposes of the preceding sentence, the attribution rules of Section 424(d) of the Code shall apply in determining the share ownership of a Participant, and all Shares which the Participant has a contractual right to purchase shall be treated as Shares owned by the Participant.</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18" w:name="page19"/>
    <w:bookmarkEnd w:id="18"/>
    <w:p>
      <w:pPr>
        <w:ind w:left="-80" w:right="40" w:firstLine="987"/>
        <w:spacing w:after="0" w:line="257" w:lineRule="auto"/>
        <w:tabs>
          <w:tab w:leader="none" w:pos="1156"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Participant may be granted an Option under the 423 Component which permits his or her rights to purchase Shares under the Plan, and any other employee share purchase plan of the Company and its Designated Subsidiaries, to accrue at a rate which exceeds twenty-five thousand U.S. dollars (US$25,000) of the fair market value of such Shares (determined on the applicable Offering Date)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7" w:lineRule="exact"/>
        <w:rPr>
          <w:rFonts w:ascii="Arial" w:cs="Arial" w:eastAsia="Arial" w:hAnsi="Arial"/>
          <w:sz w:val="18"/>
          <w:szCs w:val="18"/>
          <w:color w:val="auto"/>
        </w:rPr>
      </w:pPr>
    </w:p>
    <w:p>
      <w:pPr>
        <w:ind w:left="-80" w:firstLine="436"/>
        <w:spacing w:after="0" w:line="272"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Exercise of Option and Purchase of Shares</w:t>
      </w:r>
      <w:r>
        <w:rPr>
          <w:rFonts w:ascii="Arial" w:cs="Arial" w:eastAsia="Arial" w:hAnsi="Arial"/>
          <w:sz w:val="17"/>
          <w:szCs w:val="17"/>
          <w:color w:val="auto"/>
        </w:rPr>
        <w:t>. Each employee who continues to be a Participant in the Plan on the Exercise Date shall be deemed to have exercised his or her Option on such date and shall acquire from the Company such number of whole Shares reserved for the purpose of the Plan as his or her accumulated payroll deductions (without interest and converted from the applicable currency to U.S. dollars in the manner described in Section 8(a), if applicable) on such date will purchase at the Option Price, subject to the limitations set forth in Section 8 and any other limitations contained in the Plan. Unless otherwise determined by the Administrator (or its delegate), any amount remaining in a Participant’s account at the end of a Purchase Period solely by reason of the inability to purchase a fractional Share will be refunded to the Participant as soon as practically possible after the completion of the Purchase Period.</w:t>
      </w:r>
    </w:p>
    <w:p>
      <w:pPr>
        <w:spacing w:after="0" w:line="177" w:lineRule="exact"/>
        <w:rPr>
          <w:rFonts w:ascii="Arial" w:cs="Arial" w:eastAsia="Arial" w:hAnsi="Arial"/>
          <w:sz w:val="17"/>
          <w:szCs w:val="17"/>
          <w:color w:val="auto"/>
        </w:rPr>
      </w:pPr>
    </w:p>
    <w:p>
      <w:pPr>
        <w:ind w:left="-80" w:right="440" w:firstLine="436"/>
        <w:spacing w:after="0" w:line="259"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Shares purchased under the Plan will be registered only in the name of the employee or in the name of a broker authorized by the employee to be his, her or their, nominee for such purpose in the manner permitted by the Company. The Company will not be required to deliver any certificates evidencing Shares and instead such Shares may be recorded in the books of the Company (or, as applicable, its transfer agent or stock/share plan administrator).</w:t>
      </w:r>
    </w:p>
    <w:p>
      <w:pPr>
        <w:spacing w:after="0" w:line="186" w:lineRule="exact"/>
        <w:rPr>
          <w:rFonts w:ascii="Arial" w:cs="Arial" w:eastAsia="Arial" w:hAnsi="Arial"/>
          <w:sz w:val="18"/>
          <w:szCs w:val="18"/>
          <w:color w:val="auto"/>
        </w:rPr>
      </w:pPr>
    </w:p>
    <w:p>
      <w:pPr>
        <w:ind w:left="620" w:hanging="26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the Plan, the following terms shall be defined as set forth below:</w:t>
      </w:r>
    </w:p>
    <w:p>
      <w:pPr>
        <w:spacing w:after="0" w:line="130" w:lineRule="exact"/>
        <w:rPr>
          <w:rFonts w:ascii="Arial" w:cs="Arial" w:eastAsia="Arial" w:hAnsi="Arial"/>
          <w:sz w:val="18"/>
          <w:szCs w:val="18"/>
          <w:color w:val="auto"/>
        </w:rPr>
      </w:pPr>
    </w:p>
    <w:p>
      <w:pPr>
        <w:ind w:left="1340" w:right="280" w:hanging="439"/>
        <w:spacing w:after="0" w:line="277"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that, directly or indirectly through one or more intermediaries, controls, is controlled by, or is under common control with, the Company.</w:t>
      </w:r>
    </w:p>
    <w:p>
      <w:pPr>
        <w:spacing w:after="0" w:line="75" w:lineRule="exact"/>
        <w:rPr>
          <w:rFonts w:ascii="Arial" w:cs="Arial" w:eastAsia="Arial" w:hAnsi="Arial"/>
          <w:sz w:val="18"/>
          <w:szCs w:val="18"/>
          <w:color w:val="auto"/>
        </w:rPr>
      </w:pPr>
    </w:p>
    <w:p>
      <w:pPr>
        <w:ind w:left="1340" w:hanging="439"/>
        <w:spacing w:after="0" w:line="259"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means the amount of base compensation (including base salary and other base pay) paid to the employee;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Administrator (or its delegate) may in its discretion, prior to the commencement of a Purchase Period, add additional components of Compensation to be deducted from payroll in a particular jurisdiction or jurisdictions, subject to applicable law in such jurisdiction or jurisdictions.</w:t>
      </w:r>
    </w:p>
    <w:p>
      <w:pPr>
        <w:spacing w:after="0" w:line="92" w:lineRule="exact"/>
        <w:rPr>
          <w:rFonts w:ascii="Arial" w:cs="Arial" w:eastAsia="Arial" w:hAnsi="Arial"/>
          <w:sz w:val="18"/>
          <w:szCs w:val="18"/>
          <w:color w:val="auto"/>
        </w:rPr>
      </w:pPr>
    </w:p>
    <w:p>
      <w:pPr>
        <w:ind w:left="1340" w:right="40" w:hanging="439"/>
        <w:spacing w:after="0" w:line="257"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any present or future Subsidiary or Affiliate that has been designated by the Administrator (or its delegate) to participate in the Plan. The Administrator (or its delegate) may so designate any Subsidiary or Affiliate, or revoke any such designation, at any time and from time to time, either before or after the Plan is approved by the shareholders, and may further designate such companies or Participants as participating in the 423 Component or the Non-423 Component. The Administrator (or its delegate) may also determine which eligible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520" w:top="274" w:right="539" w:bottom="1440" w:gutter="0" w:footer="0" w:header="0"/>
        </w:sectPr>
      </w:pPr>
    </w:p>
    <w:bookmarkStart w:id="19" w:name="page20"/>
    <w:bookmarkEnd w:id="19"/>
    <w:p>
      <w:pPr>
        <w:ind w:left="1400"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employees may be excluded from participation in the Plan, to the extent consistent with Section 423 of the Code or as implemented under the Non-423 Component, and determine which Designated Subsidiaries will participate in separate Offerings (to the extent that the Company makes separate Offerings). For purposes of the 423 Component, only the Company and its Subsidiaries that are taxed as corporations under the Code may be Designated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any given time, a Subsidiary that is a Designated Subsidiary under the 423 Component will not be a Designated Subsidiary under the Non-423 Component.</w:t>
      </w:r>
    </w:p>
    <w:p>
      <w:pPr>
        <w:spacing w:after="0" w:line="67" w:lineRule="exact"/>
        <w:rPr>
          <w:sz w:val="20"/>
          <w:szCs w:val="20"/>
          <w:color w:val="auto"/>
        </w:rPr>
      </w:pPr>
    </w:p>
    <w:p>
      <w:pPr>
        <w:ind w:left="1400" w:right="60" w:hanging="439"/>
        <w:spacing w:after="0" w:line="272" w:lineRule="auto"/>
        <w:tabs>
          <w:tab w:leader="none" w:pos="14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per Share means, as of any date, the value of Shares determined as follows: (i) if the Ordinary Shares are not then listed on a national securities exchange or traded in an over-the-counter market, such value as the Administrator, in its sole discretion, shall determine; (ii) if the Ordinary Shares are then traded on a national securities exchange, the closing sales price per Ordinary Share on the national securities exchange, on which the Ordinary Shares are principally traded, for the last preceding date on which there was a sale of such Ordinary Shares on such exchange; or (iii) if the Ordinary Shares are then traded in an over-the-counter market, the average of the closing bid and asked prices for the Ordinary Shares in such over-the-counter market for the last preceding date on which there was a sale of such Ordinary Shares in such market.</w:t>
      </w:r>
    </w:p>
    <w:p>
      <w:pPr>
        <w:spacing w:after="0" w:line="82" w:lineRule="exact"/>
        <w:rPr>
          <w:rFonts w:ascii="Arial" w:cs="Arial" w:eastAsia="Arial" w:hAnsi="Arial"/>
          <w:sz w:val="17"/>
          <w:szCs w:val="17"/>
          <w:color w:val="auto"/>
        </w:rPr>
      </w:pPr>
    </w:p>
    <w:p>
      <w:pPr>
        <w:ind w:left="1400" w:right="460" w:hanging="439"/>
        <w:spacing w:after="0" w:line="277" w:lineRule="auto"/>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the grant of Options to purchase Shares under the 423 Component or the Non-423 Component of the Plan to eligible individuals under terms approved by the Administrator.</w:t>
      </w:r>
    </w:p>
    <w:p>
      <w:pPr>
        <w:spacing w:after="0" w:line="75" w:lineRule="exact"/>
        <w:rPr>
          <w:rFonts w:ascii="Arial" w:cs="Arial" w:eastAsia="Arial" w:hAnsi="Arial"/>
          <w:sz w:val="18"/>
          <w:szCs w:val="18"/>
          <w:color w:val="auto"/>
        </w:rPr>
      </w:pPr>
    </w:p>
    <w:p>
      <w:pPr>
        <w:ind w:left="1400" w:hanging="439"/>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the first trading day of each Purchase Period.</w:t>
      </w:r>
    </w:p>
    <w:p>
      <w:pPr>
        <w:spacing w:after="0" w:line="130" w:lineRule="exact"/>
        <w:rPr>
          <w:rFonts w:ascii="Arial" w:cs="Arial" w:eastAsia="Arial" w:hAnsi="Arial"/>
          <w:sz w:val="18"/>
          <w:szCs w:val="18"/>
          <w:color w:val="auto"/>
        </w:rPr>
      </w:pPr>
    </w:p>
    <w:p>
      <w:pPr>
        <w:ind w:left="1400" w:hanging="439"/>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shares of ordinary shares, par value £0.01 per share, of the Company.</w:t>
      </w:r>
    </w:p>
    <w:p>
      <w:pPr>
        <w:spacing w:after="0" w:line="130" w:lineRule="exact"/>
        <w:rPr>
          <w:rFonts w:ascii="Arial" w:cs="Arial" w:eastAsia="Arial" w:hAnsi="Arial"/>
          <w:sz w:val="18"/>
          <w:szCs w:val="18"/>
          <w:color w:val="auto"/>
        </w:rPr>
      </w:pPr>
    </w:p>
    <w:p>
      <w:pPr>
        <w:ind w:left="1400" w:hanging="439"/>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with respect to the Company, as defined in Section 424(e) of the Code.</w:t>
      </w:r>
    </w:p>
    <w:p>
      <w:pPr>
        <w:spacing w:after="0" w:line="130" w:lineRule="exact"/>
        <w:rPr>
          <w:rFonts w:ascii="Arial" w:cs="Arial" w:eastAsia="Arial" w:hAnsi="Arial"/>
          <w:sz w:val="18"/>
          <w:szCs w:val="18"/>
          <w:color w:val="auto"/>
        </w:rPr>
      </w:pPr>
    </w:p>
    <w:p>
      <w:pPr>
        <w:ind w:left="1400" w:hanging="439"/>
        <w:spacing w:after="0" w:line="277" w:lineRule="auto"/>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who is eligible to participate in the Plan as determined in Section 3 and who has complied with the provisions of Section 4.</w:t>
      </w:r>
    </w:p>
    <w:p>
      <w:pPr>
        <w:spacing w:after="0" w:line="75" w:lineRule="exact"/>
        <w:rPr>
          <w:rFonts w:ascii="Arial" w:cs="Arial" w:eastAsia="Arial" w:hAnsi="Arial"/>
          <w:sz w:val="18"/>
          <w:szCs w:val="18"/>
          <w:color w:val="auto"/>
        </w:rPr>
      </w:pPr>
    </w:p>
    <w:p>
      <w:pPr>
        <w:ind w:left="1400" w:hanging="439"/>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the duration of an Offering as established by the Administrator and described in Section 2.</w:t>
      </w:r>
    </w:p>
    <w:p>
      <w:pPr>
        <w:spacing w:after="0" w:line="130" w:lineRule="exact"/>
        <w:rPr>
          <w:rFonts w:ascii="Arial" w:cs="Arial" w:eastAsia="Arial" w:hAnsi="Arial"/>
          <w:sz w:val="18"/>
          <w:szCs w:val="18"/>
          <w:color w:val="auto"/>
        </w:rPr>
      </w:pPr>
    </w:p>
    <w:p>
      <w:pPr>
        <w:ind w:left="1400" w:hanging="439"/>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with respect to the Company, as defined in Section 424(f) of the Code.</w:t>
      </w:r>
    </w:p>
    <w:p>
      <w:pPr>
        <w:spacing w:after="0" w:line="225" w:lineRule="exact"/>
        <w:rPr>
          <w:rFonts w:ascii="Arial" w:cs="Arial" w:eastAsia="Arial" w:hAnsi="Arial"/>
          <w:sz w:val="18"/>
          <w:szCs w:val="18"/>
          <w:color w:val="auto"/>
        </w:rPr>
      </w:pPr>
    </w:p>
    <w:p>
      <w:pPr>
        <w:ind w:left="680" w:hanging="264"/>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Rights on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80" w:firstLine="987"/>
        <w:spacing w:after="0" w:line="263" w:lineRule="auto"/>
        <w:tabs>
          <w:tab w:leader="none" w:pos="12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a Participant’s employment terminates for any reason before the Exercise Date for any Purchase Period, the balance in the Participant’s account will be refunded as soon as practically possible after the date of termination to such Participant or, in the case of such Participant’s death, to his or her designated beneficiary, as if such Participant had withdrawn from the Plan under Section 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20" w:name="page21"/>
    <w:bookmarkEnd w:id="20"/>
    <w:p>
      <w:pPr>
        <w:ind w:left="1244" w:hanging="253"/>
        <w:spacing w:after="0"/>
        <w:tabs>
          <w:tab w:leader="none" w:pos="1244" w:val="left"/>
        </w:tabs>
        <w:numPr>
          <w:ilvl w:val="2"/>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determined by the Administrator, a Participant will be deemed to have terminated employment, for this purpose, if</w:t>
      </w:r>
    </w:p>
    <w:p>
      <w:pPr>
        <w:spacing w:after="0" w:line="46" w:lineRule="exact"/>
        <w:rPr>
          <w:rFonts w:ascii="Arial" w:cs="Arial" w:eastAsia="Arial" w:hAnsi="Arial"/>
          <w:sz w:val="16"/>
          <w:szCs w:val="16"/>
          <w:color w:val="auto"/>
        </w:rPr>
      </w:pPr>
    </w:p>
    <w:p>
      <w:pPr>
        <w:ind w:left="4" w:hanging="4"/>
        <w:spacing w:after="0" w:line="268" w:lineRule="auto"/>
        <w:tabs>
          <w:tab w:leader="none" w:pos="21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corporation that employs him or her, having been a Designated Subsidiary, ceases to be a Subsidiary, (ii) the employee is transferred to any corporation other than the Company or a Designated Subsidiary or (iii) the employee transfers employment between, or terminates employment with an immediate rehire (with no break in service) by, the Company or a Designated Subsidiary. If a Participant transfers (in a manner that does not result in a termination of employment under the Plan)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An employee will not be deemed to have terminated employment for this purpose if the employee is on an approved leave of absence for military service or sickness or for any other purpose approved by the Company, so long as the employee’s right to reemployment is guaranteed by a statute, by contract or under the policy pursuant to which the leave of absence was granted, or if the Administrator otherwise provides in writing.</w:t>
      </w:r>
    </w:p>
    <w:p>
      <w:pPr>
        <w:spacing w:after="0" w:line="178" w:lineRule="exact"/>
        <w:rPr>
          <w:rFonts w:ascii="Arial" w:cs="Arial" w:eastAsia="Arial" w:hAnsi="Arial"/>
          <w:sz w:val="17"/>
          <w:szCs w:val="17"/>
          <w:color w:val="auto"/>
        </w:rPr>
      </w:pPr>
    </w:p>
    <w:p>
      <w:pPr>
        <w:jc w:val="both"/>
        <w:ind w:left="4" w:right="20" w:firstLine="987"/>
        <w:spacing w:after="0" w:line="301" w:lineRule="auto"/>
        <w:tabs>
          <w:tab w:leader="none" w:pos="1240" w:val="left"/>
        </w:tabs>
        <w:numPr>
          <w:ilvl w:val="2"/>
          <w:numId w:val="27"/>
        </w:numPr>
        <w:rPr>
          <w:rFonts w:ascii="Arial" w:cs="Arial" w:eastAsia="Arial" w:hAnsi="Arial"/>
          <w:sz w:val="16"/>
          <w:szCs w:val="16"/>
          <w:color w:val="auto"/>
        </w:rPr>
      </w:pPr>
      <w:r>
        <w:rPr>
          <w:rFonts w:ascii="Arial" w:cs="Arial" w:eastAsia="Arial" w:hAnsi="Arial"/>
          <w:sz w:val="16"/>
          <w:szCs w:val="16"/>
          <w:color w:val="auto"/>
        </w:rPr>
        <w:t>If a Participant ceases to be employed by the Company or any Designated Subsidiary for any reason whatsoever (including as a result of being wrongfully or unfairly dismissed) he or she shall not be entitled, and by participating in the Plan he or she shall be deemed to have waived any possible entitlement, to any sum or benefit accrued or in prospect as a result of that participation and no such loss or curtailment shall form part of any claim for damages for breach of the Participant’s contract of employment or compensation for dismissal or any other claim whatsoever.</w:t>
      </w:r>
    </w:p>
    <w:p>
      <w:pPr>
        <w:spacing w:after="0" w:line="157" w:lineRule="exact"/>
        <w:rPr>
          <w:rFonts w:ascii="Arial" w:cs="Arial" w:eastAsia="Arial" w:hAnsi="Arial"/>
          <w:sz w:val="16"/>
          <w:szCs w:val="16"/>
          <w:color w:val="auto"/>
        </w:rPr>
      </w:pPr>
    </w:p>
    <w:p>
      <w:pPr>
        <w:ind w:left="4" w:firstLine="436"/>
        <w:spacing w:after="0" w:line="270" w:lineRule="auto"/>
        <w:tabs>
          <w:tab w:leader="none" w:pos="714"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Special Rules and Sub-Plans</w:t>
      </w:r>
      <w:r>
        <w:rPr>
          <w:rFonts w:ascii="Arial" w:cs="Arial" w:eastAsia="Arial" w:hAnsi="Arial"/>
          <w:sz w:val="17"/>
          <w:szCs w:val="17"/>
          <w:color w:val="auto"/>
        </w:rPr>
        <w:t xml:space="preserve">. Notwithstanding anything herein to the contrary, the Administrator may adopt special rules or sub-plans applicable to the employees of a particular Designated Subsidiary, whenever the Administrator determines that such rules are necessary or appropriate for the implementation of the Plan in a jurisdiction where such Designated Subsidiary has employees, regarding, without limitation, eligibility to participate in the Plan, handling and making of payroll deductions or contributions by other means, establishment of bank or trust accounts to hold payroll deductions, payment of interest, conversion of local currency, obligations to pay payroll tax, withholding procedures and handling of share issuances, any of which may vary according to applicable requirements;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delegate of the Administrator may adopt special rules or sub-plans applicable to the employees of a particular Designated Subsidiary where such rules or sub-plans are necessary to comply with applicable law;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if such special rules or sub-plans are inconsistent with the requirements of Section 423(b) of the Code, the employees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special rules or sub-plans will participate in the Non-423 Component.</w:t>
      </w:r>
    </w:p>
    <w:p>
      <w:pPr>
        <w:spacing w:after="0" w:line="180" w:lineRule="exact"/>
        <w:rPr>
          <w:rFonts w:ascii="Arial" w:cs="Arial" w:eastAsia="Arial" w:hAnsi="Arial"/>
          <w:sz w:val="17"/>
          <w:szCs w:val="17"/>
          <w:color w:val="auto"/>
        </w:rPr>
      </w:pPr>
    </w:p>
    <w:p>
      <w:pPr>
        <w:ind w:left="4" w:right="60" w:firstLine="436"/>
        <w:spacing w:after="0" w:line="311" w:lineRule="auto"/>
        <w:tabs>
          <w:tab w:leader="none" w:pos="71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Optionees Not Shareholders</w:t>
      </w:r>
      <w:r>
        <w:rPr>
          <w:rFonts w:ascii="Arial" w:cs="Arial" w:eastAsia="Arial" w:hAnsi="Arial"/>
          <w:sz w:val="16"/>
          <w:szCs w:val="16"/>
          <w:color w:val="auto"/>
        </w:rPr>
        <w:t>. Neither the granting of an Option to a Participant nor the deductions from his or her pay shall constitute such Participant a holder of the Shares covered by an Option under the Plan until such Shares have been purchased by and issued to him or her. No Participant shall have voting rights in Shares that he or she may purchase until such Shares have actually been purchased and issued by the Participant.</w:t>
      </w:r>
    </w:p>
    <w:p>
      <w:pPr>
        <w:spacing w:after="0" w:line="8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4"/>
          </w:cols>
          <w:pgMar w:left="436" w:top="274" w:right="539" w:bottom="1440" w:gutter="0" w:footer="0" w:header="0"/>
        </w:sectPr>
      </w:pPr>
    </w:p>
    <w:bookmarkStart w:id="21" w:name="page22"/>
    <w:bookmarkEnd w:id="21"/>
    <w:p>
      <w:pPr>
        <w:ind w:left="-80" w:right="80" w:firstLine="436"/>
        <w:spacing w:after="0" w:line="277"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70" w:lineRule="exact"/>
        <w:rPr>
          <w:rFonts w:ascii="Arial" w:cs="Arial" w:eastAsia="Arial" w:hAnsi="Arial"/>
          <w:sz w:val="18"/>
          <w:szCs w:val="18"/>
          <w:color w:val="auto"/>
        </w:rPr>
      </w:pPr>
    </w:p>
    <w:p>
      <w:pPr>
        <w:ind w:left="-80" w:right="240" w:firstLine="436"/>
        <w:spacing w:after="0" w:line="277"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70" w:lineRule="exact"/>
        <w:rPr>
          <w:rFonts w:ascii="Arial" w:cs="Arial" w:eastAsia="Arial" w:hAnsi="Arial"/>
          <w:sz w:val="18"/>
          <w:szCs w:val="18"/>
          <w:color w:val="auto"/>
        </w:rPr>
      </w:pPr>
    </w:p>
    <w:p>
      <w:pPr>
        <w:ind w:left="620" w:hanging="264"/>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Adjustment in Case of Changes Affecting Shares and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60" w:firstLine="987"/>
        <w:spacing w:after="0" w:line="254" w:lineRule="auto"/>
        <w:tabs>
          <w:tab w:leader="none" w:pos="11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any change is made in the Shares, or subject to any Option under the Plan, without the receipt of consideration by the Company (through merger, consolidation, amalgamation,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Shares subject to the Plan and the share limitation subject to Section 8, if any, and the outstanding Options will be appropriately adjusted in the class(es), number of Shares, Option Price and share limitations of such outstanding Options. The Board shall make such adjustments, and its determination shall be final, binding and conclusive. The conversion of any convertible securities of the Company shall not be treated as a transaction that does not involve the receipt of consideration by the Company.</w:t>
      </w:r>
    </w:p>
    <w:p>
      <w:pPr>
        <w:spacing w:after="0" w:line="191" w:lineRule="exact"/>
        <w:rPr>
          <w:rFonts w:ascii="Arial" w:cs="Arial" w:eastAsia="Arial" w:hAnsi="Arial"/>
          <w:sz w:val="18"/>
          <w:szCs w:val="18"/>
          <w:color w:val="auto"/>
        </w:rPr>
      </w:pPr>
    </w:p>
    <w:p>
      <w:pPr>
        <w:ind w:left="-80" w:firstLine="987"/>
        <w:spacing w:after="0" w:line="272" w:lineRule="auto"/>
        <w:tabs>
          <w:tab w:leader="none" w:pos="1166" w:val="left"/>
        </w:tabs>
        <w:numPr>
          <w:ilvl w:val="1"/>
          <w:numId w:val="28"/>
        </w:numPr>
        <w:rPr>
          <w:rFonts w:ascii="Arial" w:cs="Arial" w:eastAsia="Arial" w:hAnsi="Arial"/>
          <w:sz w:val="17"/>
          <w:szCs w:val="17"/>
          <w:color w:val="auto"/>
        </w:rPr>
      </w:pPr>
      <w:r>
        <w:rPr>
          <w:rFonts w:ascii="Arial" w:cs="Arial" w:eastAsia="Arial" w:hAnsi="Arial"/>
          <w:sz w:val="17"/>
          <w:szCs w:val="17"/>
          <w:color w:val="auto"/>
        </w:rPr>
        <w:t>Without limitation on the preceding provisions, in the event of any corporate transaction (as described in Section 424 of the Code), the Board may make such adjustment it deems appropriate to prevent dilution or enlargement of rights in the number and class of Shares which may be delivered under the Plan, in the number, class of or Option Price available for purchase under the Plan and in the number of the Shares which an employee is entitled to purchase and any other adjustments it deems appropriate. Without limiting the Board’s authority under the Plan, in the event of any transaction, the Board may elect to have the Options hereunder assumed or such Options substituted by a successor entity, to terminate all outstanding Options, either prior to their expiration or upon completion of the purchase of Shares on the next Exercise Date, to shorten the Offering by setting a new Exercise Date or to take such other action deemed appropriate by the Board.</w:t>
      </w:r>
    </w:p>
    <w:p>
      <w:pPr>
        <w:spacing w:after="0" w:line="177" w:lineRule="exact"/>
        <w:rPr>
          <w:rFonts w:ascii="Arial" w:cs="Arial" w:eastAsia="Arial" w:hAnsi="Arial"/>
          <w:sz w:val="17"/>
          <w:szCs w:val="17"/>
          <w:color w:val="auto"/>
        </w:rPr>
      </w:pPr>
    </w:p>
    <w:p>
      <w:pPr>
        <w:ind w:left="-80" w:right="60" w:firstLine="436"/>
        <w:spacing w:after="0" w:line="259"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Administrator may at any time and from time to time amend the Plan in any respect, except that, without the approval within twelve (12) months of such action by the shareholders, no amendment shall be made increasing the number of Shares approved for the Plan or making any other change that would require shareholder approval in order for the Plan, as amended, to qualify as an “employee stock purchase plan” under Section 423(b) of the Code.</w:t>
      </w:r>
    </w:p>
    <w:p>
      <w:pPr>
        <w:spacing w:after="0" w:line="186" w:lineRule="exact"/>
        <w:rPr>
          <w:rFonts w:ascii="Arial" w:cs="Arial" w:eastAsia="Arial" w:hAnsi="Arial"/>
          <w:sz w:val="18"/>
          <w:szCs w:val="18"/>
          <w:color w:val="auto"/>
        </w:rPr>
      </w:pPr>
    </w:p>
    <w:p>
      <w:pPr>
        <w:ind w:left="-80" w:firstLine="436"/>
        <w:spacing w:after="0" w:line="259"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that would otherwise be issued on any Exercise Date plus the number of Shares issued under previous Purchase Periods under the Plan exceeds the maximum number of Shares issuable under the Plan, the Shares then available shall be apportioned among Participants in proportion to the amount of payroll deductions accumulated (without interest) on behalf of each Participant that would otherwise be used to purchase Shares on such Exercise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520" w:top="274" w:right="539" w:bottom="1440" w:gutter="0" w:footer="0" w:header="0"/>
        </w:sectPr>
      </w:pPr>
    </w:p>
    <w:bookmarkStart w:id="22" w:name="page23"/>
    <w:bookmarkEnd w:id="22"/>
    <w:p>
      <w:pPr>
        <w:ind w:left="-20" w:right="260" w:firstLine="436"/>
        <w:spacing w:after="0" w:line="308" w:lineRule="auto"/>
        <w:tabs>
          <w:tab w:leader="none" w:pos="69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Equal Rights and Privileges</w:t>
      </w:r>
      <w:r>
        <w:rPr>
          <w:rFonts w:ascii="Arial" w:cs="Arial" w:eastAsia="Arial" w:hAnsi="Arial"/>
          <w:sz w:val="17"/>
          <w:szCs w:val="17"/>
          <w:color w:val="auto"/>
        </w:rPr>
        <w:t>. Notwithstanding any provision of the Plan to the contrary, and in accordance with Section 423 of the Code, all eligible employees who are granted Options under the 423 Component of the Plan will have the same rights and privileges.</w:t>
      </w:r>
    </w:p>
    <w:p>
      <w:pPr>
        <w:spacing w:after="0" w:line="38" w:lineRule="exact"/>
        <w:rPr>
          <w:rFonts w:ascii="Arial" w:cs="Arial" w:eastAsia="Arial" w:hAnsi="Arial"/>
          <w:sz w:val="17"/>
          <w:szCs w:val="17"/>
          <w:color w:val="auto"/>
        </w:rPr>
      </w:pPr>
    </w:p>
    <w:p>
      <w:pPr>
        <w:ind w:left="-20" w:right="220" w:firstLine="436"/>
        <w:spacing w:after="0" w:line="277"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refunded as soon as practically possible.</w:t>
      </w:r>
    </w:p>
    <w:p>
      <w:pPr>
        <w:spacing w:after="0" w:line="170" w:lineRule="exact"/>
        <w:rPr>
          <w:rFonts w:ascii="Arial" w:cs="Arial" w:eastAsia="Arial" w:hAnsi="Arial"/>
          <w:sz w:val="18"/>
          <w:szCs w:val="18"/>
          <w:color w:val="auto"/>
        </w:rPr>
      </w:pPr>
    </w:p>
    <w:p>
      <w:pPr>
        <w:ind w:left="-20" w:right="520" w:firstLine="436"/>
        <w:spacing w:after="0" w:line="277"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Shares under the Plan is subject to obtaining all governmental approvals required in connection with the authorization, issuance, or sale of such Shares.</w:t>
      </w:r>
    </w:p>
    <w:p>
      <w:pPr>
        <w:spacing w:after="0" w:line="170" w:lineRule="exact"/>
        <w:rPr>
          <w:rFonts w:ascii="Arial" w:cs="Arial" w:eastAsia="Arial" w:hAnsi="Arial"/>
          <w:sz w:val="18"/>
          <w:szCs w:val="18"/>
          <w:color w:val="auto"/>
        </w:rPr>
      </w:pPr>
    </w:p>
    <w:p>
      <w:pPr>
        <w:ind w:left="-20" w:firstLine="436"/>
        <w:spacing w:after="0" w:line="277"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Options and actions taken thereunder shall be governed by, and construed in accordance with, the laws of the State of New York, applied without regard to conflict of law principles.</w:t>
      </w:r>
    </w:p>
    <w:p>
      <w:pPr>
        <w:spacing w:after="0" w:line="170" w:lineRule="exact"/>
        <w:rPr>
          <w:rFonts w:ascii="Arial" w:cs="Arial" w:eastAsia="Arial" w:hAnsi="Arial"/>
          <w:sz w:val="18"/>
          <w:szCs w:val="18"/>
          <w:color w:val="auto"/>
        </w:rPr>
      </w:pPr>
    </w:p>
    <w:p>
      <w:pPr>
        <w:ind w:left="-20" w:right="60" w:firstLine="436"/>
        <w:spacing w:after="0" w:line="277"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Shares, from Shares held in the treasury of the Company, or from any other proper source.</w:t>
      </w:r>
    </w:p>
    <w:p>
      <w:pPr>
        <w:spacing w:after="0" w:line="170" w:lineRule="exact"/>
        <w:rPr>
          <w:rFonts w:ascii="Arial" w:cs="Arial" w:eastAsia="Arial" w:hAnsi="Arial"/>
          <w:sz w:val="18"/>
          <w:szCs w:val="18"/>
          <w:color w:val="auto"/>
        </w:rPr>
      </w:pPr>
    </w:p>
    <w:p>
      <w:pPr>
        <w:ind w:left="-20" w:firstLine="436"/>
        <w:spacing w:after="0" w:line="255"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 For this purposes “tax” shall mean Federal, state and local taxes and social security taxes in the US, and their equivalent in any other jurisdiction, for which a Participant is liable by reason of the acquisition, holding or disposal of Shares under the Plan or the receipt of any other benefit in connection with it and which the Company or any Subsidiary is liable to account for on the Participant’s behalf.</w:t>
      </w:r>
    </w:p>
    <w:p>
      <w:pPr>
        <w:spacing w:after="0" w:line="192" w:lineRule="exact"/>
        <w:rPr>
          <w:rFonts w:ascii="Arial" w:cs="Arial" w:eastAsia="Arial" w:hAnsi="Arial"/>
          <w:sz w:val="18"/>
          <w:szCs w:val="18"/>
          <w:color w:val="auto"/>
        </w:rPr>
      </w:pPr>
    </w:p>
    <w:p>
      <w:pPr>
        <w:ind w:left="-20" w:right="60" w:firstLine="436"/>
        <w:spacing w:after="0" w:line="286" w:lineRule="auto"/>
        <w:tabs>
          <w:tab w:leader="none" w:pos="69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Notification Upon Sale of Shares</w:t>
      </w:r>
      <w:r>
        <w:rPr>
          <w:rFonts w:ascii="Arial" w:cs="Arial" w:eastAsia="Arial" w:hAnsi="Arial"/>
          <w:sz w:val="17"/>
          <w:szCs w:val="17"/>
          <w:color w:val="auto"/>
        </w:rPr>
        <w:t>. Each Participant agrees, by entering the 423 Component of the Plan, to provide, if requested by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5" w:lineRule="exact"/>
        <w:rPr>
          <w:rFonts w:ascii="Arial" w:cs="Arial" w:eastAsia="Arial" w:hAnsi="Arial"/>
          <w:sz w:val="17"/>
          <w:szCs w:val="17"/>
          <w:color w:val="auto"/>
        </w:rPr>
      </w:pPr>
    </w:p>
    <w:p>
      <w:pPr>
        <w:ind w:left="-20" w:right="80" w:firstLine="436"/>
        <w:spacing w:after="0" w:line="257"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The Participant acknowledges that the participation in the Plan entails the processing of the Participant’s personal data by the Company and its Affiliates, trustees or third parties service providers; as well as sharing such personal data with public authorities in territories which may be outside the country of residence of the Participant, such as the United States of America and Guernsey. Such processing activities shall be carried out for the purposes of executing the Plan and in accordance with Amdocs’ Employee Privacy Notice as available to the Participant at Amdocs’ Portal.</w:t>
      </w:r>
    </w:p>
    <w:p>
      <w:pPr>
        <w:spacing w:after="0" w:line="187" w:lineRule="exact"/>
        <w:rPr>
          <w:rFonts w:ascii="Arial" w:cs="Arial" w:eastAsia="Arial" w:hAnsi="Arial"/>
          <w:sz w:val="18"/>
          <w:szCs w:val="18"/>
          <w:color w:val="auto"/>
        </w:rPr>
      </w:pPr>
    </w:p>
    <w:p>
      <w:pPr>
        <w:ind w:left="-20" w:right="260" w:firstLine="436"/>
        <w:spacing w:after="0" w:line="342" w:lineRule="auto"/>
        <w:tabs>
          <w:tab w:leader="none" w:pos="69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Effective Date and Approval of Shareholders</w:t>
      </w:r>
      <w:r>
        <w:rPr>
          <w:rFonts w:ascii="Arial" w:cs="Arial" w:eastAsia="Arial" w:hAnsi="Arial"/>
          <w:sz w:val="16"/>
          <w:szCs w:val="16"/>
          <w:color w:val="auto"/>
        </w:rPr>
        <w:t>. The Plan shall, subject to shareholder approval in accordance with applicable law, take effect upon the filing of a Form S-8 \Registration Statement with the Securities and Exchange Commission for the Shares offered under the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Newly Registered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2100" w:type="dxa"/>
            <w:vAlign w:val="bottom"/>
            <w:tcBorders>
              <w:top w:val="single" w:sz="8" w:color="auto"/>
              <w:left w:val="single" w:sz="8" w:color="auto"/>
              <w:right w:val="single" w:sz="8" w:color="auto"/>
            </w:tcBorders>
          </w:tcPr>
          <w:p>
            <w:pPr>
              <w:spacing w:after="0"/>
              <w:rPr>
                <w:sz w:val="12"/>
                <w:szCs w:val="12"/>
                <w:color w:val="auto"/>
              </w:rPr>
            </w:pPr>
          </w:p>
        </w:tc>
        <w:tc>
          <w:tcPr>
            <w:tcW w:w="232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Maximum</w:t>
            </w:r>
          </w:p>
        </w:tc>
        <w:tc>
          <w:tcPr>
            <w:tcW w:w="10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1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Fee</w:t>
            </w: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1420" w:type="dxa"/>
            <w:vAlign w:val="bottom"/>
            <w:tcBorders>
              <w:right w:val="single" w:sz="8" w:color="auto"/>
            </w:tcBorders>
          </w:tcPr>
          <w:p>
            <w:pPr>
              <w:jc w:val="center"/>
              <w:ind w:left="6"/>
              <w:spacing w:after="0" w:line="135" w:lineRule="exact"/>
              <w:rPr>
                <w:sz w:val="20"/>
                <w:szCs w:val="20"/>
                <w:color w:val="auto"/>
              </w:rPr>
            </w:pPr>
            <w:r>
              <w:rPr>
                <w:rFonts w:ascii="Arial" w:cs="Arial" w:eastAsia="Arial" w:hAnsi="Arial"/>
                <w:sz w:val="13"/>
                <w:szCs w:val="13"/>
                <w:color w:val="auto"/>
                <w:w w:val="90"/>
              </w:rPr>
              <w:t>Calculation</w:t>
            </w:r>
          </w:p>
        </w:tc>
        <w:tc>
          <w:tcPr>
            <w:tcW w:w="980" w:type="dxa"/>
            <w:vAlign w:val="bottom"/>
            <w:tcBorders>
              <w:right w:val="single" w:sz="8" w:color="auto"/>
            </w:tcBorders>
          </w:tcPr>
          <w:p>
            <w:pPr>
              <w:jc w:val="right"/>
              <w:ind w:right="188"/>
              <w:spacing w:after="0" w:line="135" w:lineRule="exact"/>
              <w:rPr>
                <w:sz w:val="20"/>
                <w:szCs w:val="20"/>
                <w:color w:val="auto"/>
              </w:rPr>
            </w:pPr>
            <w:r>
              <w:rPr>
                <w:rFonts w:ascii="Arial" w:cs="Arial" w:eastAsia="Arial" w:hAnsi="Arial"/>
                <w:sz w:val="13"/>
                <w:szCs w:val="13"/>
                <w:color w:val="auto"/>
              </w:rPr>
              <w:t>Amount</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Registration</w:t>
            </w:r>
          </w:p>
        </w:tc>
        <w:tc>
          <w:tcPr>
            <w:tcW w:w="0" w:type="dxa"/>
            <w:vAlign w:val="bottom"/>
          </w:tcPr>
          <w:p>
            <w:pPr>
              <w:spacing w:after="0"/>
              <w:rPr>
                <w:sz w:val="1"/>
                <w:szCs w:val="1"/>
                <w:color w:val="auto"/>
              </w:rPr>
            </w:pPr>
          </w:p>
        </w:tc>
      </w:tr>
      <w:tr>
        <w:trPr>
          <w:trHeight w:val="174"/>
        </w:trPr>
        <w:tc>
          <w:tcPr>
            <w:tcW w:w="210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3"/>
                <w:szCs w:val="13"/>
                <w:color w:val="auto"/>
                <w:w w:val="88"/>
              </w:rPr>
              <w:t>Security Type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9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3"/>
                <w:szCs w:val="13"/>
                <w:color w:val="auto"/>
              </w:rPr>
              <w:t>Registered(1)</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Unit(2)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3"/>
              </w:rPr>
              <w:t>Fee(3)</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par value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Rule 457(c) and</w:t>
            </w: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8"/>
                <w:szCs w:val="18"/>
                <w:color w:val="auto"/>
              </w:rPr>
              <w:t>2,400,000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$94.0525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$225,726,000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0.00011020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$24,875.01</w:t>
            </w: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£0.01 per 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457(h)</w:t>
            </w: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0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340"/>
              <w:spacing w:after="0"/>
              <w:rPr>
                <w:sz w:val="20"/>
                <w:szCs w:val="20"/>
                <w:color w:val="auto"/>
              </w:rPr>
            </w:pPr>
            <w:r>
              <w:rPr>
                <w:rFonts w:ascii="Arial" w:cs="Arial" w:eastAsia="Arial" w:hAnsi="Arial"/>
                <w:sz w:val="18"/>
                <w:szCs w:val="18"/>
                <w:b w:val="1"/>
                <w:bCs w:val="1"/>
                <w:color w:val="auto"/>
                <w:w w:val="92"/>
              </w:rPr>
              <w:t>Total Offering Amounts</w:t>
            </w:r>
          </w:p>
        </w:tc>
        <w:tc>
          <w:tcPr>
            <w:tcW w:w="14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$225,726,000</w:t>
            </w: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$24,875.01</w:t>
            </w:r>
          </w:p>
        </w:tc>
        <w:tc>
          <w:tcPr>
            <w:tcW w:w="0" w:type="dxa"/>
            <w:vAlign w:val="bottom"/>
          </w:tcPr>
          <w:p>
            <w:pPr>
              <w:spacing w:after="0"/>
              <w:rPr>
                <w:sz w:val="1"/>
                <w:szCs w:val="1"/>
                <w:color w:val="auto"/>
              </w:rPr>
            </w:pPr>
          </w:p>
        </w:tc>
      </w:tr>
      <w:tr>
        <w:trPr>
          <w:trHeight w:val="236"/>
        </w:trPr>
        <w:tc>
          <w:tcPr>
            <w:tcW w:w="210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340"/>
              <w:spacing w:after="0"/>
              <w:rPr>
                <w:sz w:val="20"/>
                <w:szCs w:val="20"/>
                <w:color w:val="auto"/>
              </w:rPr>
            </w:pPr>
            <w:r>
              <w:rPr>
                <w:rFonts w:ascii="Arial" w:cs="Arial" w:eastAsia="Arial" w:hAnsi="Arial"/>
                <w:sz w:val="18"/>
                <w:szCs w:val="18"/>
                <w:b w:val="1"/>
                <w:bCs w:val="1"/>
                <w:color w:val="auto"/>
                <w:w w:val="89"/>
              </w:rPr>
              <w:t>Total Fee Offsets(4)</w:t>
            </w:r>
          </w:p>
        </w:tc>
        <w:tc>
          <w:tcPr>
            <w:tcW w:w="14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340"/>
              <w:spacing w:after="0"/>
              <w:rPr>
                <w:sz w:val="20"/>
                <w:szCs w:val="20"/>
                <w:color w:val="auto"/>
              </w:rPr>
            </w:pPr>
            <w:r>
              <w:rPr>
                <w:rFonts w:ascii="Arial" w:cs="Arial" w:eastAsia="Arial" w:hAnsi="Arial"/>
                <w:sz w:val="18"/>
                <w:szCs w:val="18"/>
                <w:b w:val="1"/>
                <w:bCs w:val="1"/>
                <w:color w:val="auto"/>
                <w:w w:val="90"/>
              </w:rPr>
              <w:t>Net Fee Due</w:t>
            </w:r>
          </w:p>
        </w:tc>
        <w:tc>
          <w:tcPr>
            <w:tcW w:w="14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$24,875.01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 w:hanging="424"/>
        <w:spacing w:after="0" w:line="254"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Registration Statement on Form S-8 covers 2,400,000 ordinary shares, par value £0.01 per share (“Ordinary Shares”) of Amdocs Limited (the “Registrant”) (i) authorized for issuance under the 2023 Employee Share Purchase Plan (the “Plan”) and (ii) pursuant to Rule 416(a) under the Securities Act of 1933, as amended (the “Securities Act”), any additional Ordinary Shares that may become issuable under the Plan by reason of any stock dividend, stock split, or other similar transaction.</w:t>
      </w:r>
    </w:p>
    <w:p>
      <w:pPr>
        <w:spacing w:after="0" w:line="2" w:lineRule="exact"/>
        <w:rPr>
          <w:rFonts w:ascii="Arial" w:cs="Arial" w:eastAsia="Arial" w:hAnsi="Arial"/>
          <w:sz w:val="18"/>
          <w:szCs w:val="18"/>
          <w:color w:val="auto"/>
        </w:rPr>
      </w:pPr>
    </w:p>
    <w:p>
      <w:pPr>
        <w:ind w:left="424" w:right="80" w:hanging="424"/>
        <w:spacing w:after="0" w:line="281"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Estimated pursuant to Rule 457(c) and Rule 457(h) under the Securities Act, solely for the purpose of computing the registration fee, based on the average of the high and low prices reported for the Registrant’s Ordinary Shares on the NASDAQ Global Select Market on February 7, 2023.</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Rounded to the nearest cent.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no fee offsets.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07"/>
    </w:lvl>
  </w:abstractNum>
  <w:abstractNum w:abstractNumId="3">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19B500D"/>
    <w:multiLevelType w:val="hybridMultilevel"/>
    <w:lvl w:ilvl="0">
      <w:lvlJc w:val="left"/>
      <w:lvlText w:val="(%1)"/>
      <w:numFmt w:val="lowerRoman"/>
      <w:start w:val="3"/>
    </w:lvl>
  </w:abstractNum>
  <w:abstractNum w:abstractNumId="5">
    <w:nsid w:val="431BD7B7"/>
    <w:multiLevelType w:val="hybridMultilevel"/>
    <w:lvl w:ilvl="0">
      <w:lvlJc w:val="left"/>
      <w:lvlText w:val="%1"/>
      <w:numFmt w:val="lowerLetter"/>
      <w:start w:val="1"/>
    </w:lvl>
    <w:lvl w:ilvl="1">
      <w:lvlJc w:val="left"/>
      <w:lvlText w:val="(%2)"/>
      <w:numFmt w:val="decimal"/>
      <w:start w:val="2"/>
    </w:lvl>
  </w:abstractNum>
  <w:abstractNum w:abstractNumId="6">
    <w:nsid w:val="3F2DBA31"/>
    <w:multiLevelType w:val="hybridMultilevel"/>
    <w:lvl w:ilvl="0">
      <w:lvlJc w:val="left"/>
      <w:lvlText w:val="(%1)"/>
      <w:numFmt w:val="lowerLetter"/>
      <w:start w:val="2"/>
    </w:lvl>
    <w:lvl w:ilvl="1">
      <w:lvlJc w:val="left"/>
      <w:lvlText w:val="%2"/>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decimal"/>
      <w:start w:val="4"/>
    </w:lvl>
  </w:abstractNum>
  <w:abstractNum w:abstractNumId="11">
    <w:nsid w:val="628C895D"/>
    <w:multiLevelType w:val="hybridMultilevel"/>
    <w:lvl w:ilvl="0">
      <w:lvlJc w:val="left"/>
      <w:lvlText w:val="%1."/>
      <w:numFmt w:val="decimal"/>
      <w:start w:val="5"/>
    </w:lvl>
  </w:abstractNum>
  <w:abstractNum w:abstractNumId="12">
    <w:nsid w:val="333AB105"/>
    <w:multiLevelType w:val="hybridMultilevel"/>
    <w:lvl w:ilvl="0">
      <w:lvlJc w:val="left"/>
      <w:lvlText w:val="%1."/>
      <w:numFmt w:val="decimal"/>
      <w:start w:val="6"/>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5"/>
    </w:lvl>
  </w:abstractNum>
  <w:abstractNum w:abstractNumId="15">
    <w:nsid w:val="2D1D5AE9"/>
    <w:multiLevelType w:val="hybridMultilevel"/>
    <w:lvl w:ilvl="0">
      <w:lvlJc w:val="left"/>
      <w:lvlText w:val="%1."/>
      <w:numFmt w:val="decimal"/>
      <w:start w:val="2"/>
    </w:lvl>
    <w:lvl w:ilvl="1">
      <w:lvlJc w:val="left"/>
      <w:lvlText w:val="(%2)"/>
      <w:numFmt w:val="lowerLetter"/>
      <w:start w:val="1"/>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0">
    <w:nsid w:val="4353D0CD"/>
    <w:multiLevelType w:val="hybridMultilevel"/>
    <w:lvl w:ilvl="0">
      <w:lvlJc w:val="left"/>
      <w:lvlText w:val="(%1)"/>
      <w:numFmt w:val="decimal"/>
      <w:start w:val="45"/>
    </w:lvl>
    <w:lvl w:ilvl="1">
      <w:lvlJc w:val="left"/>
      <w:lvlText w:val="%2."/>
      <w:numFmt w:val="decimal"/>
      <w:start w:val="7"/>
    </w:lvl>
    <w:lvl w:ilvl="2">
      <w:lvlJc w:val="left"/>
      <w:lvlText w:val="(%3)"/>
      <w:numFmt w:val="lowerLetter"/>
      <w:start w:val="1"/>
    </w:lvl>
  </w:abstractNum>
  <w:abstractNum w:abstractNumId="21">
    <w:nsid w:val="B03E0C6"/>
    <w:multiLevelType w:val="hybridMultilevel"/>
    <w:lvl w:ilvl="0">
      <w:lvlJc w:val="left"/>
      <w:lvlText w:val="%1"/>
      <w:numFmt w:val="decimal"/>
      <w:start w:val="1"/>
    </w:lvl>
    <w:lvl w:ilvl="1">
      <w:lvlJc w:val="left"/>
      <w:lvlText w:val="(%2)"/>
      <w:numFmt w:val="lowerLetter"/>
      <w:start w:val="3"/>
    </w:lvl>
  </w:abstractNum>
  <w:abstractNum w:abstractNumId="22">
    <w:nsid w:val="189A769B"/>
    <w:multiLevelType w:val="hybridMultilevel"/>
    <w:lvl w:ilvl="0">
      <w:lvlJc w:val="left"/>
      <w:lvlText w:val="%1."/>
      <w:numFmt w:val="decimal"/>
      <w:start w:val="9"/>
    </w:lvl>
    <w:lvl w:ilvl="1">
      <w:lvlJc w:val="left"/>
      <w:lvlText w:val="(%2)"/>
      <w:numFmt w:val="lowerLetter"/>
      <w:start w:val="1"/>
    </w:lvl>
  </w:abstractNum>
  <w:abstractNum w:abstractNumId="23">
    <w:nsid w:val="54E49EB4"/>
    <w:multiLevelType w:val="hybridMultilevel"/>
    <w:lvl w:ilvl="0">
      <w:lvlJc w:val="left"/>
      <w:lvlText w:val="%1"/>
      <w:numFmt w:val="decimal"/>
      <w:start w:val="1"/>
    </w:lvl>
    <w:lvl w:ilvl="1">
      <w:lvlJc w:val="left"/>
      <w:lvlText w:val="(%2)"/>
      <w:numFmt w:val="lowerLetter"/>
      <w:start w:val="4"/>
    </w:lvl>
  </w:abstractNum>
  <w:abstractNum w:abstractNumId="24">
    <w:nsid w:val="71F32454"/>
    <w:multiLevelType w:val="hybridMultilevel"/>
    <w:lvl w:ilvl="0">
      <w:lvlJc w:val="left"/>
      <w:lvlText w:val="%1."/>
      <w:numFmt w:val="decimal"/>
      <w:start w:val="12"/>
    </w:lvl>
    <w:lvl w:ilvl="1">
      <w:lvlJc w:val="left"/>
      <w:lvlText w:val="(%2)"/>
      <w:numFmt w:val="lowerLetter"/>
      <w:start w:val="1"/>
    </w:lvl>
  </w:abstractNum>
  <w:abstractNum w:abstractNumId="25">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6">
    <w:nsid w:val="836C40E"/>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3"/>
    </w:lvl>
  </w:abstractNum>
  <w:abstractNum w:abstractNumId="27">
    <w:nsid w:val="2901D82"/>
    <w:multiLevelType w:val="hybridMultilevel"/>
    <w:lvl w:ilvl="0">
      <w:lvlJc w:val="left"/>
      <w:lvlText w:val="%1."/>
      <w:numFmt w:val="decimal"/>
      <w:start w:val="15"/>
    </w:lvl>
    <w:lvl w:ilvl="1">
      <w:lvlJc w:val="left"/>
      <w:lvlText w:val="(%2)"/>
      <w:numFmt w:val="lowerLetter"/>
      <w:start w:val="1"/>
    </w:lvl>
  </w:abstractNum>
  <w:abstractNum w:abstractNumId="28">
    <w:nsid w:val="3A95F874"/>
    <w:multiLevelType w:val="hybridMultilevel"/>
    <w:lvl w:ilvl="0">
      <w:lvlJc w:val="left"/>
      <w:lvlText w:val="%1."/>
      <w:numFmt w:val="decimal"/>
      <w:start w:val="20"/>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2023-02-13T15:34:47Z</dcterms:created>
  <dcterms:modified xsi:type="dcterms:W3CDTF">2023-02-13T15:34:47Z</dcterms:modified>
</cp:coreProperties>
</file>