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of Filing Persons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84"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02342TAC3</w:t>
      </w:r>
    </w:p>
    <w:p>
      <w:pPr>
        <w:spacing w:after="0" w:line="27"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02342TAD1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Elizabeth W. McDermon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Amdocs,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Telephone: (314) 212-8328</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The Commission is requested to send copies of all communications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Robert A. Schwed,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WilmerHale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250 Greenwich Street New York, New York 10007</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230-8800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440" w:type="dxa"/>
            <w:vAlign w:val="bottom"/>
            <w:gridSpan w:val="2"/>
          </w:tcPr>
          <w:p>
            <w:pPr>
              <w:ind w:left="360"/>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40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r>
      <w:tr>
        <w:trPr>
          <w:trHeight w:val="142"/>
        </w:trPr>
        <w:tc>
          <w:tcPr>
            <w:tcW w:w="4000" w:type="dxa"/>
            <w:vAlign w:val="bottom"/>
            <w:tcBorders>
              <w:left w:val="single" w:sz="8" w:color="auto"/>
              <w:bottom w:val="single" w:sz="8" w:color="auto"/>
            </w:tcBorders>
          </w:tcPr>
          <w:p>
            <w:pPr>
              <w:jc w:val="center"/>
              <w:ind w:left="1699"/>
              <w:spacing w:after="0" w:line="142" w:lineRule="exact"/>
              <w:rPr>
                <w:sz w:val="20"/>
                <w:szCs w:val="20"/>
                <w:color w:val="auto"/>
              </w:rPr>
            </w:pPr>
            <w:r>
              <w:rPr>
                <w:rFonts w:ascii="Arial" w:cs="Arial" w:eastAsia="Arial" w:hAnsi="Arial"/>
                <w:sz w:val="14"/>
                <w:szCs w:val="14"/>
                <w:b w:val="1"/>
                <w:bCs w:val="1"/>
                <w:color w:val="auto"/>
                <w:w w:val="94"/>
              </w:rPr>
              <w:t>Transaction Valuation(1)</w:t>
            </w:r>
          </w:p>
        </w:tc>
        <w:tc>
          <w:tcPr>
            <w:tcW w:w="164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 of Filing Fee(2)</w:t>
            </w:r>
          </w:p>
        </w:tc>
      </w:tr>
      <w:tr>
        <w:trPr>
          <w:trHeight w:val="210"/>
        </w:trPr>
        <w:tc>
          <w:tcPr>
            <w:tcW w:w="4000" w:type="dxa"/>
            <w:vAlign w:val="bottom"/>
            <w:tcBorders>
              <w:left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rPr>
              <w:t>$1,020,369</w:t>
            </w:r>
          </w:p>
        </w:tc>
        <w:tc>
          <w:tcPr>
            <w:tcW w:w="164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jc w:val="right"/>
              <w:ind w:right="2559"/>
              <w:spacing w:after="0"/>
              <w:rPr>
                <w:sz w:val="20"/>
                <w:szCs w:val="20"/>
                <w:color w:val="auto"/>
              </w:rPr>
            </w:pPr>
            <w:r>
              <w:rPr>
                <w:rFonts w:ascii="Arial" w:cs="Arial" w:eastAsia="Arial" w:hAnsi="Arial"/>
                <w:sz w:val="18"/>
                <w:szCs w:val="18"/>
                <w:color w:val="auto"/>
              </w:rPr>
              <w:t>$132.00</w:t>
            </w:r>
          </w:p>
        </w:tc>
      </w:tr>
    </w:tbl>
    <w:p>
      <w:pPr>
        <w:spacing w:after="0" w:line="242" w:lineRule="exact"/>
        <w:rPr>
          <w:sz w:val="24"/>
          <w:szCs w:val="24"/>
          <w:color w:val="auto"/>
        </w:rPr>
      </w:pPr>
    </w:p>
    <w:p>
      <w:pPr>
        <w:ind w:left="460" w:right="26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Determined pursuant to Rule 0-11(b)(1) of the Securities Exchange Act of 1934. Based upon the maximum amount of cash that might be paid for the 0.50% Convertible Senior Notes due 2024.</w:t>
      </w:r>
    </w:p>
    <w:p>
      <w:pPr>
        <w:spacing w:after="0" w:line="1"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the filing fee, calculated in accordance with Section 13(e)(3) of the Securities Exchange Act of 1934, as amended, equals $128.80 per $1,000,000 of the value of securities proposed to be purchased.</w:t>
      </w:r>
    </w:p>
    <w:p>
      <w:pPr>
        <w:spacing w:after="0" w:line="211" w:lineRule="exact"/>
        <w:rPr>
          <w:sz w:val="24"/>
          <w:szCs w:val="24"/>
          <w:color w:val="auto"/>
        </w:rPr>
      </w:pPr>
    </w:p>
    <w:p>
      <w:pPr>
        <w:ind w:left="460" w:right="30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40"/>
          </w:cols>
          <w:pgMar w:left="240" w:top="368" w:right="219" w:bottom="826" w:gutter="0" w:footer="0" w:header="0"/>
        </w:sectPr>
      </w:pPr>
    </w:p>
    <w:p>
      <w:pPr>
        <w:spacing w:after="0" w:line="19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Amount Previously Paid: Not applicable.</w:t>
      </w:r>
    </w:p>
    <w:p>
      <w:pPr>
        <w:spacing w:after="0" w:line="46" w:lineRule="exact"/>
        <w:rPr>
          <w:sz w:val="24"/>
          <w:szCs w:val="24"/>
          <w:color w:val="auto"/>
        </w:rPr>
      </w:pPr>
    </w:p>
    <w:p>
      <w:pPr>
        <w:ind w:left="920"/>
        <w:spacing w:after="0"/>
        <w:rPr>
          <w:sz w:val="20"/>
          <w:szCs w:val="20"/>
          <w:color w:val="auto"/>
        </w:rPr>
      </w:pPr>
      <w:r>
        <w:rPr>
          <w:rFonts w:ascii="Arial" w:cs="Arial" w:eastAsia="Arial" w:hAnsi="Arial"/>
          <w:sz w:val="16"/>
          <w:szCs w:val="16"/>
          <w:color w:val="auto"/>
        </w:rPr>
        <w:t>Form or Registration No.: Not applicable.</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Filing party: 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Date filed: Not applicable.</w:t>
      </w:r>
    </w:p>
    <w:p>
      <w:pPr>
        <w:spacing w:after="0" w:line="200" w:lineRule="exact"/>
        <w:rPr>
          <w:sz w:val="24"/>
          <w:szCs w:val="24"/>
          <w:color w:val="auto"/>
        </w:rPr>
      </w:pPr>
    </w:p>
    <w:p>
      <w:pPr>
        <w:sectPr>
          <w:pgSz w:w="11900" w:h="16838" w:orient="portrait"/>
          <w:cols w:equalWidth="0" w:num="2">
            <w:col w:w="6340" w:space="720"/>
            <w:col w:w="4380"/>
          </w:cols>
          <w:pgMar w:left="240" w:top="368" w:right="219" w:bottom="826" w:gutter="0" w:footer="0" w:header="0"/>
          <w:type w:val="continuous"/>
        </w:sectPr>
      </w:pPr>
    </w:p>
    <w:p>
      <w:pPr>
        <w:spacing w:after="0" w:line="4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4"/>
          <w:szCs w:val="24"/>
          <w:color w:val="auto"/>
        </w:rPr>
      </w:pPr>
    </w:p>
    <w:p>
      <w:pPr>
        <w:ind w:left="920"/>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4"/>
          <w:szCs w:val="24"/>
          <w:color w:val="auto"/>
        </w:rPr>
      </w:pPr>
    </w:p>
    <w:p>
      <w:pPr>
        <w:ind w:left="1480" w:right="6240"/>
        <w:spacing w:after="0" w:line="224" w:lineRule="exact"/>
        <w:tabs>
          <w:tab w:leader="none" w:pos="1926"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third 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ind w:left="1920" w:hanging="440"/>
        <w:spacing w:after="0"/>
        <w:tabs>
          <w:tab w:leader="none" w:pos="19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1920" w:hanging="440"/>
        <w:spacing w:after="0"/>
        <w:tabs>
          <w:tab w:leader="none" w:pos="19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77" w:lineRule="exact"/>
        <w:rPr>
          <w:sz w:val="24"/>
          <w:szCs w:val="24"/>
          <w:color w:val="auto"/>
        </w:rPr>
      </w:pPr>
    </w:p>
    <w:p>
      <w:pPr>
        <w:ind w:left="920"/>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4"/>
          <w:szCs w:val="24"/>
          <w:color w:val="auto"/>
        </w:rPr>
      </w:pPr>
    </w:p>
    <w:p>
      <w:pPr>
        <w:ind w:left="920"/>
        <w:spacing w:after="0"/>
        <w:rPr>
          <w:sz w:val="20"/>
          <w:szCs w:val="20"/>
          <w:color w:val="auto"/>
        </w:rPr>
      </w:pPr>
      <w:r>
        <w:rPr>
          <w:rFonts w:ascii="Arial" w:cs="Arial" w:eastAsia="Arial" w:hAnsi="Arial"/>
          <w:sz w:val="17"/>
          <w:szCs w:val="17"/>
          <w:color w:val="auto"/>
        </w:rPr>
        <w:t>If applicable, check the appropriate box(es) below to designate the appropriate rule provision(s) relied upon:</w:t>
      </w:r>
    </w:p>
    <w:p>
      <w:pPr>
        <w:spacing w:after="0" w:line="142" w:lineRule="exact"/>
        <w:rPr>
          <w:sz w:val="24"/>
          <w:szCs w:val="24"/>
          <w:color w:val="auto"/>
        </w:rPr>
      </w:pPr>
    </w:p>
    <w:p>
      <w:pPr>
        <w:ind w:left="1920" w:hanging="440"/>
        <w:spacing w:after="0"/>
        <w:tabs>
          <w:tab w:leader="none" w:pos="1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1920" w:hanging="440"/>
        <w:spacing w:after="0"/>
        <w:tabs>
          <w:tab w:leader="none" w:pos="1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368" w:right="219" w:bottom="826"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TENDER OFFER</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Tender Offer Statement on Schedule TO relates to an offer (the “Offer”) by Amdocs Limited, a company organized under the laws of the Island of Guernsey (“Amdocs”), to purchase for cash, on the terms and subject to the conditions set forth in the attached Notice of Put Right and Offer to Purchase, dated March 14, 2014 (the “Offer to Purchase”), and Letter of Transmittal (the “Letter of Transmittal”), any and all of its outstanding 0.50% Convertible Senior Notes due 2024. Copies of the Offer to Purchase and the Letter of Transmittal are filed as exhibits (a)(1)(i) and (a)(1)(ii), respectively, hereto. Pursuant to General Instruction F to Schedule TO, information contained in the Offer to Purchase is hereby incorporated by reference in the answers to items in this Statement.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Summary Term Sheet.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section of the Offer to Purchase captioned “Summary Term Sheet”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Subject Company Information.</w:t>
      </w:r>
    </w:p>
    <w:p>
      <w:pPr>
        <w:spacing w:after="0" w:line="121" w:lineRule="exact"/>
        <w:rPr>
          <w:sz w:val="20"/>
          <w:szCs w:val="20"/>
          <w:color w:val="auto"/>
        </w:rPr>
      </w:pPr>
    </w:p>
    <w:p>
      <w:pPr>
        <w:ind w:firstLine="464"/>
        <w:spacing w:after="0" w:line="257" w:lineRule="auto"/>
        <w:tabs>
          <w:tab w:leader="none" w:pos="7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of the issuer is Amdocs Limited, a company organized under the laws of the Island of Guernsey. Our registered office is located in Hirzel House, Smith Street, St. Peter Port, Island of Guernsey, GY1 2NG, and the telephone number at that location is 011-44-1481-728444. The executive offices of our principal subsidiary in the United States are located at 1390 Timberlake Manor Parkway, Chesterfield, Missouri 63017, and the telephone number at that location is (314) 212-8328. The information set forth in the Offer to Purchase in the section captioned “Information About Amdocs” is incorporated herein by reference.</w:t>
      </w:r>
    </w:p>
    <w:p>
      <w:pPr>
        <w:spacing w:after="0" w:line="188"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securities that are subject to this offer are the 0.50% Convertible Senior Notes due 2024 of Amdocs Limited, or the notes. As of the date of this statement, there was $1,020,000 million aggregate principal amount of the notes outstanding.</w:t>
      </w:r>
    </w:p>
    <w:p>
      <w:pPr>
        <w:spacing w:after="0" w:line="170" w:lineRule="exact"/>
        <w:rPr>
          <w:rFonts w:ascii="Arial" w:cs="Arial" w:eastAsia="Arial" w:hAnsi="Arial"/>
          <w:sz w:val="18"/>
          <w:szCs w:val="18"/>
          <w:color w:val="auto"/>
        </w:rPr>
      </w:pPr>
    </w:p>
    <w:p>
      <w:pPr>
        <w:ind w:right="600" w:firstLine="464"/>
        <w:spacing w:after="0" w:line="277" w:lineRule="auto"/>
        <w:tabs>
          <w:tab w:leader="none" w:pos="7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in the section captioned “The Offer — Information about the Notes — Trading Market” is incorporated herein by reference.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12, 2014, the last reported sale price for Amdocs’ ordinary shares was $</w:t>
      </w:r>
      <w:r>
        <w:rPr>
          <w:rFonts w:ascii="Arial" w:cs="Arial" w:eastAsia="Arial" w:hAnsi="Arial"/>
          <w:sz w:val="18"/>
          <w:szCs w:val="18"/>
          <w:u w:val="single" w:color="auto"/>
          <w:color w:val="auto"/>
        </w:rPr>
        <w:t>45.22</w:t>
      </w:r>
      <w:r>
        <w:rPr>
          <w:rFonts w:ascii="Arial" w:cs="Arial" w:eastAsia="Arial" w:hAnsi="Arial"/>
          <w:sz w:val="18"/>
          <w:szCs w:val="18"/>
          <w:color w:val="auto"/>
        </w:rPr>
        <w:t xml:space="preserve">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Identity and Background of Filing Person.</w:t>
      </w:r>
    </w:p>
    <w:p>
      <w:pPr>
        <w:spacing w:after="0" w:line="121" w:lineRule="exact"/>
        <w:rPr>
          <w:sz w:val="20"/>
          <w:szCs w:val="20"/>
          <w:color w:val="auto"/>
        </w:rPr>
      </w:pPr>
    </w:p>
    <w:p>
      <w:pPr>
        <w:ind w:left="700" w:hanging="236"/>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set forth under Item 1 and Item 2(a) above is incorporated herein by reference. Amdocs is both the filing person and the subject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As required by General Instruction C to Schedule TO promulgated by the U.S. Securities and Exchange Commission, the following persons are directors and/or executive officers and/or controlling persons of Amdocs:</w:t>
      </w:r>
    </w:p>
    <w:p>
      <w:pPr>
        <w:sectPr>
          <w:pgSz w:w="11900" w:h="16838" w:orient="portrait"/>
          <w:cols w:equalWidth="0" w:num="1">
            <w:col w:w="11420"/>
          </w:cols>
          <w:pgMar w:left="240" w:top="270" w:right="239" w:bottom="1440" w:gutter="0" w:footer="0" w:header="0"/>
        </w:sectPr>
      </w:pP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A. Minicucci</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Giora Yaron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Tamar Rapaport-Dagim</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Shuky Sheffer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Anshoo Gaur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Elizabeth W. McDermon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Director, Amdocs Limited; President and Chief Executive Officer, Amdocs Management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 Amdocs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President of Customer Business Group, Amdocs Management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Division President, Amdocs Development Center India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Amdocs Limited; Vice President, Corporate Strategy, Amdocs Inc.</w:t>
      </w:r>
    </w:p>
    <w:p>
      <w:pPr>
        <w:spacing w:after="0" w:line="143" w:lineRule="exact"/>
        <w:rPr>
          <w:sz w:val="20"/>
          <w:szCs w:val="20"/>
          <w:color w:val="auto"/>
        </w:rPr>
      </w:pPr>
    </w:p>
    <w:p>
      <w:pPr>
        <w:sectPr>
          <w:pgSz w:w="11900" w:h="16838" w:orient="portrait"/>
          <w:cols w:equalWidth="0" w:num="2">
            <w:col w:w="2380" w:space="720"/>
            <w:col w:w="8320"/>
          </w:cols>
          <w:pgMar w:left="240" w:top="270"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type w:val="continuous"/>
        </w:sectPr>
      </w:pPr>
    </w:p>
    <w:bookmarkStart w:id="2" w:name="page3"/>
    <w:bookmarkEnd w:id="2"/>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address of each director and/or executive officer listed above is c/o Amdocs, Inc., 1390 Timberlake Manor Parkway, Chesterfield, Missouri 63017, and each such person’s telephone number is (314) 212-8328.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Terms of the Transaction.</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(a)(1)(i) – (iii), (v) – (viii), (x), (xii) The information set forth in the sections of the Offer to Purchase captioned “Summary Term Sheet,” “The Offer — General,” “— Purpose of the Offer,” “— Information about the Notes,” “— Source and Amount of Funds,” “— Expiration Date; Extensions; Amendments; Termination,” “— Conditions to this Offer,” “Procedures for Tendering and Withdrawing Notes — Tendering Notes,” “— Withdrawal Rights,” “— Acceptance for Payment,” “Material U.S. Federal Income Tax Consequences — U.S. Holders,” “— Purchase of Notes under the Offer,” “— Market Discount,” and “— Amortizable Bond Premium” is incorporated herein by reference.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(a)(1)(iv), (ix), (xi) Not applicable.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 Not applicable.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None of the subject securities is to be purchased from any officer, director, or affiliate of Amdocs.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Past Contacts, Transactions, Negotiations and Agreements.</w:t>
      </w:r>
    </w:p>
    <w:p>
      <w:pPr>
        <w:spacing w:after="0" w:line="121" w:lineRule="exact"/>
        <w:rPr>
          <w:sz w:val="20"/>
          <w:szCs w:val="20"/>
          <w:color w:val="auto"/>
        </w:rPr>
      </w:pPr>
    </w:p>
    <w:p>
      <w:pPr>
        <w:ind w:firstLine="464"/>
        <w:spacing w:after="0" w:line="264" w:lineRule="auto"/>
        <w:tabs>
          <w:tab w:leader="none" w:pos="70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notes are governed by the Indenture, dated as of March 5, 2004, between Amdocs, as Issuer, and The Bank of New York Mellon (formerly known as The Bank of New York), as Trustee. The information set forth in the Offer to Purchase in the section captioned “The Offer — Information about the Notes”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Purposes of the Transaction and Plans or Proposals.</w:t>
      </w:r>
    </w:p>
    <w:p>
      <w:pPr>
        <w:spacing w:after="0" w:line="121" w:lineRule="exact"/>
        <w:rPr>
          <w:sz w:val="20"/>
          <w:szCs w:val="20"/>
          <w:color w:val="auto"/>
        </w:rPr>
      </w:pPr>
    </w:p>
    <w:p>
      <w:pPr>
        <w:ind w:left="700" w:hanging="236"/>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set forth in the Offer to Purchase in the section captioned “The Offer — Purpose of the Offer” is incorporated herein by reference.</w:t>
      </w:r>
    </w:p>
    <w:p>
      <w:pPr>
        <w:spacing w:after="0" w:line="248" w:lineRule="exact"/>
        <w:rPr>
          <w:rFonts w:ascii="Arial" w:cs="Arial" w:eastAsia="Arial" w:hAnsi="Arial"/>
          <w:sz w:val="16"/>
          <w:szCs w:val="16"/>
          <w:color w:val="auto"/>
        </w:rPr>
      </w:pPr>
    </w:p>
    <w:p>
      <w:pPr>
        <w:ind w:left="460" w:right="80" w:firstLine="4"/>
        <w:spacing w:after="0" w:line="501" w:lineRule="auto"/>
        <w:tabs>
          <w:tab w:leader="none" w:pos="7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in the section captioned “The Offer — Purpose of the Offer” is incorporated herein by reference. (c)(1) None.</w:t>
      </w:r>
    </w:p>
    <w:p>
      <w:pPr>
        <w:ind w:left="460"/>
        <w:spacing w:after="0"/>
        <w:rPr>
          <w:rFonts w:ascii="Arial" w:cs="Arial" w:eastAsia="Arial" w:hAnsi="Arial"/>
          <w:sz w:val="18"/>
          <w:szCs w:val="18"/>
          <w:color w:val="auto"/>
        </w:rPr>
      </w:pPr>
      <w:r>
        <w:rPr>
          <w:rFonts w:ascii="Arial" w:cs="Arial" w:eastAsia="Arial" w:hAnsi="Arial"/>
          <w:sz w:val="18"/>
          <w:szCs w:val="18"/>
          <w:color w:val="auto"/>
        </w:rPr>
        <w:t>(c)(2) None.</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(c)(3) None.</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(c)(4) None.</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(c)(5) None.</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(c)(6) None.</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(c)(7) None.</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(c)(8) None.</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(c)(9) 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Source and Amount of Funds or Other Consideration.</w:t>
      </w:r>
    </w:p>
    <w:p>
      <w:pPr>
        <w:spacing w:after="0" w:line="121" w:lineRule="exact"/>
        <w:rPr>
          <w:sz w:val="20"/>
          <w:szCs w:val="20"/>
          <w:color w:val="auto"/>
        </w:rPr>
      </w:pPr>
    </w:p>
    <w:p>
      <w:pPr>
        <w:ind w:right="200" w:firstLine="464"/>
        <w:spacing w:after="0" w:line="277" w:lineRule="auto"/>
        <w:tabs>
          <w:tab w:leader="none" w:pos="70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in the section captioned “The Offer — Source and Amount of Funds” is incorporated herein by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Interest in Securities of the Subject Company.</w:t>
      </w:r>
    </w:p>
    <w:p>
      <w:pPr>
        <w:spacing w:after="0" w:line="121" w:lineRule="exact"/>
        <w:rPr>
          <w:sz w:val="20"/>
          <w:szCs w:val="20"/>
          <w:color w:val="auto"/>
        </w:rPr>
      </w:pPr>
    </w:p>
    <w:p>
      <w:pPr>
        <w:ind w:left="700" w:hanging="236"/>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the best knowledge of Amdocs, no notes are beneficially owned by any person whose ownership would be required to be disclosed by this item.</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Persons/Assets, Retained, Employed, Compensated or Used.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The information set forth in the Offer to Purchase in the section captioned “Paying Agent; Fees and Expenses” is incorporated herein by reference.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Financial Statements.</w:t>
      </w:r>
    </w:p>
    <w:p>
      <w:pPr>
        <w:spacing w:after="0" w:line="121" w:lineRule="exact"/>
        <w:rPr>
          <w:sz w:val="20"/>
          <w:szCs w:val="20"/>
          <w:color w:val="auto"/>
        </w:rPr>
      </w:pPr>
    </w:p>
    <w:p>
      <w:pPr>
        <w:ind w:right="240" w:firstLine="464"/>
        <w:spacing w:after="0" w:line="264"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Amdocs does not believe it is required to include such information due to the fact that such information is not material because, among other reasons, the consideration offered consists solely of cash, the offer is not subject to any financing condition, the offeror is a public reporting company that files reports electronically under EDGAR and the Offer is for all outstanding notes.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Additional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Agreements, Regulatory Requirements and Legal Proceedings.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(a)(1) None.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 None.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(a)(3) None.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(a)(4) None.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(a)(5) None.</w:t>
      </w:r>
    </w:p>
    <w:p>
      <w:pPr>
        <w:spacing w:after="0" w:line="225" w:lineRule="exact"/>
        <w:rPr>
          <w:sz w:val="20"/>
          <w:szCs w:val="20"/>
          <w:color w:val="auto"/>
        </w:rPr>
      </w:pPr>
    </w:p>
    <w:p>
      <w:pPr>
        <w:ind w:right="80" w:firstLine="464"/>
        <w:spacing w:after="0" w:line="277" w:lineRule="auto"/>
        <w:tabs>
          <w:tab w:leader="none" w:pos="7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and the Letter of Transmittal dated as of March 14, 2014, copies of which are attached hereto as Exhibits (a)(1)(i) and (a)(1)(ii), respectively, is incorporated herein by reference.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12. </w:t>
      </w:r>
      <w:r>
        <w:rPr>
          <w:rFonts w:ascii="Arial" w:cs="Arial" w:eastAsia="Arial" w:hAnsi="Arial"/>
          <w:sz w:val="17"/>
          <w:szCs w:val="17"/>
          <w:b w:val="1"/>
          <w:bCs w:val="1"/>
          <w:i w:val="1"/>
          <w:iCs w:val="1"/>
          <w:color w:val="auto"/>
        </w:rPr>
        <w:t>Exhibits.</w:t>
      </w:r>
    </w:p>
    <w:p>
      <w:pPr>
        <w:sectPr>
          <w:pgSz w:w="11900" w:h="16838" w:orient="portrait"/>
          <w:cols w:equalWidth="0" w:num="1">
            <w:col w:w="11400"/>
          </w:cols>
          <w:pgMar w:left="240" w:top="270" w:right="25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(a)(1)(i)</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Notice of Put Right and Offer to Purchase, dated March 14, 2014.*</w:t>
      </w:r>
    </w:p>
    <w:p>
      <w:pPr>
        <w:spacing w:after="0" w:line="140" w:lineRule="exact"/>
        <w:rPr>
          <w:sz w:val="20"/>
          <w:szCs w:val="20"/>
          <w:color w:val="auto"/>
        </w:rPr>
      </w:pPr>
    </w:p>
    <w:p>
      <w:pPr>
        <w:sectPr>
          <w:pgSz w:w="11900" w:h="16838" w:orient="portrait"/>
          <w:cols w:equalWidth="0" w:num="2">
            <w:col w:w="580" w:space="340"/>
            <w:col w:w="10480"/>
          </w:cols>
          <w:pgMar w:left="240" w:top="270" w:right="259" w:bottom="1440" w:gutter="0" w:footer="0" w:header="0"/>
          <w:type w:val="continuous"/>
        </w:sectPr>
      </w:pPr>
    </w:p>
    <w:p>
      <w:pPr>
        <w:spacing w:after="0"/>
        <w:rPr>
          <w:sz w:val="20"/>
          <w:szCs w:val="20"/>
          <w:color w:val="auto"/>
        </w:rPr>
      </w:pPr>
      <w:r>
        <w:rPr>
          <w:rFonts w:ascii="Arial" w:cs="Arial" w:eastAsia="Arial" w:hAnsi="Arial"/>
          <w:sz w:val="18"/>
          <w:szCs w:val="18"/>
          <w:color w:val="auto"/>
        </w:rPr>
        <w:t>(a)(1)(ii)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Letter of Transmittal, dated March 14, 2014.*</w:t>
      </w:r>
    </w:p>
    <w:p>
      <w:pPr>
        <w:spacing w:after="0" w:line="139" w:lineRule="exact"/>
        <w:rPr>
          <w:sz w:val="20"/>
          <w:szCs w:val="20"/>
          <w:color w:val="auto"/>
        </w:rPr>
      </w:pPr>
    </w:p>
    <w:p>
      <w:pPr>
        <w:sectPr>
          <w:pgSz w:w="11900" w:h="16838" w:orient="portrait"/>
          <w:cols w:equalWidth="0" w:num="2">
            <w:col w:w="640" w:space="280"/>
            <w:col w:w="10480"/>
          </w:cols>
          <w:pgMar w:left="240" w:top="270" w:right="259" w:bottom="1440" w:gutter="0" w:footer="0" w:header="0"/>
          <w:type w:val="continuous"/>
        </w:sectPr>
      </w:pPr>
    </w:p>
    <w:p>
      <w:pPr>
        <w:spacing w:after="0"/>
        <w:rPr>
          <w:sz w:val="20"/>
          <w:szCs w:val="20"/>
          <w:color w:val="auto"/>
        </w:rPr>
      </w:pPr>
      <w:r>
        <w:rPr>
          <w:rFonts w:ascii="Arial" w:cs="Arial" w:eastAsia="Arial" w:hAnsi="Arial"/>
          <w:sz w:val="18"/>
          <w:szCs w:val="18"/>
          <w:color w:val="auto"/>
        </w:rPr>
        <w:t>(a)(1)(iii)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Letter to Clients, dated March 14, 2014.*</w:t>
      </w:r>
    </w:p>
    <w:p>
      <w:pPr>
        <w:spacing w:after="0" w:line="139" w:lineRule="exact"/>
        <w:rPr>
          <w:sz w:val="20"/>
          <w:szCs w:val="20"/>
          <w:color w:val="auto"/>
        </w:rPr>
      </w:pPr>
    </w:p>
    <w:p>
      <w:pPr>
        <w:sectPr>
          <w:pgSz w:w="11900" w:h="16838" w:orient="portrait"/>
          <w:cols w:equalWidth="0" w:num="2">
            <w:col w:w="680" w:space="240"/>
            <w:col w:w="10480"/>
          </w:cols>
          <w:pgMar w:left="240" w:top="270" w:right="259" w:bottom="1440" w:gutter="0" w:footer="0" w:header="0"/>
          <w:type w:val="continuous"/>
        </w:sectPr>
      </w:pPr>
    </w:p>
    <w:p>
      <w:pPr>
        <w:spacing w:after="0"/>
        <w:rPr>
          <w:sz w:val="20"/>
          <w:szCs w:val="20"/>
          <w:color w:val="auto"/>
        </w:rPr>
      </w:pPr>
      <w:r>
        <w:rPr>
          <w:rFonts w:ascii="Arial" w:cs="Arial" w:eastAsia="Arial" w:hAnsi="Arial"/>
          <w:sz w:val="17"/>
          <w:szCs w:val="17"/>
          <w:color w:val="auto"/>
        </w:rPr>
        <w:t>(a)(1)(iv)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Letter to Brokers, Dealers, Commercial Banks, Trust Companies and Other Nominees, dated March 14, 2014.*</w:t>
      </w:r>
    </w:p>
    <w:p>
      <w:pPr>
        <w:spacing w:after="0" w:line="140" w:lineRule="exact"/>
        <w:rPr>
          <w:sz w:val="20"/>
          <w:szCs w:val="20"/>
          <w:color w:val="auto"/>
        </w:rPr>
      </w:pPr>
    </w:p>
    <w:p>
      <w:pPr>
        <w:sectPr>
          <w:pgSz w:w="11900" w:h="16838" w:orient="portrait"/>
          <w:cols w:equalWidth="0" w:num="2">
            <w:col w:w="680" w:space="240"/>
            <w:col w:w="10480"/>
          </w:cols>
          <w:pgMar w:left="240" w:top="270" w:right="259" w:bottom="1440" w:gutter="0" w:footer="0" w:header="0"/>
          <w:type w:val="continuous"/>
        </w:sectPr>
      </w:pPr>
    </w:p>
    <w:p>
      <w:pPr>
        <w:spacing w:after="0"/>
        <w:rPr>
          <w:sz w:val="20"/>
          <w:szCs w:val="20"/>
          <w:color w:val="auto"/>
        </w:rPr>
      </w:pPr>
      <w:r>
        <w:rPr>
          <w:rFonts w:ascii="Arial" w:cs="Arial" w:eastAsia="Arial" w:hAnsi="Arial"/>
          <w:sz w:val="17"/>
          <w:szCs w:val="17"/>
          <w:color w:val="auto"/>
        </w:rPr>
        <w:t>(a)(5)(i)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Press Release Regarding Offer, dated March 14, 2014.*</w:t>
      </w:r>
    </w:p>
    <w:p>
      <w:pPr>
        <w:spacing w:after="0" w:line="140" w:lineRule="exact"/>
        <w:rPr>
          <w:sz w:val="20"/>
          <w:szCs w:val="20"/>
          <w:color w:val="auto"/>
        </w:rPr>
      </w:pPr>
    </w:p>
    <w:p>
      <w:pPr>
        <w:sectPr>
          <w:pgSz w:w="11900" w:h="16838" w:orient="portrait"/>
          <w:cols w:equalWidth="0" w:num="2">
            <w:col w:w="580" w:space="340"/>
            <w:col w:w="10480"/>
          </w:cols>
          <w:pgMar w:left="240" w:top="270" w:right="259" w:bottom="1440" w:gutter="0" w:footer="0" w:header="0"/>
          <w:type w:val="continuous"/>
        </w:sectPr>
      </w:pPr>
    </w:p>
    <w:p>
      <w:pPr>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Indenture, dated as of March 5, 2004, between Amdocs Limited and The Bank of New York Mellon (formerly known as The Bank of New York), as trustee, for 0.50% Convertible Senior Notes due 2024 (incorporated by reference to Exhibit 99.1 to Amdocs’ Report on Form 6-K, filed March 5, 2004).</w:t>
      </w:r>
    </w:p>
    <w:p>
      <w:pPr>
        <w:spacing w:after="0" w:line="73" w:lineRule="exact"/>
        <w:rPr>
          <w:sz w:val="20"/>
          <w:szCs w:val="20"/>
          <w:color w:val="auto"/>
        </w:rPr>
      </w:pPr>
    </w:p>
    <w:p>
      <w:pPr>
        <w:sectPr>
          <w:pgSz w:w="11900" w:h="16838" w:orient="portrait"/>
          <w:cols w:equalWidth="0" w:num="2">
            <w:col w:w="420" w:space="500"/>
            <w:col w:w="10480"/>
          </w:cols>
          <w:pgMar w:left="240" w:top="270" w:right="259" w:bottom="1440" w:gutter="0" w:footer="0" w:header="0"/>
          <w:type w:val="continuous"/>
        </w:sectPr>
      </w:pPr>
    </w:p>
    <w:p>
      <w:pPr>
        <w:spacing w:after="0"/>
        <w:tabs>
          <w:tab w:leader="none" w:pos="900" w:val="left"/>
        </w:tabs>
        <w:rPr>
          <w:sz w:val="20"/>
          <w:szCs w:val="20"/>
          <w:color w:val="auto"/>
        </w:rPr>
      </w:pPr>
      <w:r>
        <w:rPr>
          <w:rFonts w:ascii="Arial" w:cs="Arial" w:eastAsia="Arial" w:hAnsi="Arial"/>
          <w:sz w:val="16"/>
          <w:szCs w:val="16"/>
          <w:color w:val="auto"/>
        </w:rPr>
        <w:t>(d)(2)</w:t>
      </w:r>
      <w:r>
        <w:rPr>
          <w:sz w:val="20"/>
          <w:szCs w:val="20"/>
          <w:color w:val="auto"/>
        </w:rPr>
        <w:tab/>
      </w:r>
      <w:r>
        <w:rPr>
          <w:rFonts w:ascii="Arial" w:cs="Arial" w:eastAsia="Arial" w:hAnsi="Arial"/>
          <w:sz w:val="16"/>
          <w:szCs w:val="16"/>
          <w:color w:val="auto"/>
        </w:rPr>
        <w:t>Registration Rights Agreement, dated as of March 5, 2004, between Amdocs Limited and Morgan Stanley &amp; Co. Incorporated, Goldman, Sachs</w:t>
      </w:r>
    </w:p>
    <w:p>
      <w:pPr>
        <w:spacing w:after="0" w:line="46" w:lineRule="exact"/>
        <w:rPr>
          <w:sz w:val="20"/>
          <w:szCs w:val="20"/>
          <w:color w:val="auto"/>
        </w:rPr>
      </w:pPr>
    </w:p>
    <w:p>
      <w:pPr>
        <w:ind w:left="920" w:right="20"/>
        <w:spacing w:after="0" w:line="261" w:lineRule="auto"/>
        <w:rPr>
          <w:sz w:val="20"/>
          <w:szCs w:val="20"/>
          <w:color w:val="auto"/>
        </w:rPr>
      </w:pPr>
      <w:r>
        <w:rPr>
          <w:rFonts w:ascii="Arial" w:cs="Arial" w:eastAsia="Arial" w:hAnsi="Arial"/>
          <w:sz w:val="18"/>
          <w:szCs w:val="18"/>
          <w:color w:val="auto"/>
        </w:rPr>
        <w:t>&amp; Co. and Merrill Lynch, Pierce, Fenner &amp; Smith Incorporated (incorporated by reference to Exhibit 99.2 to Amdocs’ Report on Form 6-K, filed March 5, 2004).</w:t>
      </w:r>
    </w:p>
    <w:p>
      <w:pPr>
        <w:spacing w:after="0" w:line="75" w:lineRule="exact"/>
        <w:rPr>
          <w:sz w:val="20"/>
          <w:szCs w:val="20"/>
          <w:color w:val="auto"/>
        </w:rPr>
      </w:pPr>
    </w:p>
    <w:p>
      <w:pPr>
        <w:ind w:left="920" w:hanging="912"/>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920" w:hanging="912"/>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Information Required by Schedule 13E-3.</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type w:val="continuous"/>
        </w:sectPr>
      </w:pPr>
    </w:p>
    <w:bookmarkStart w:id="5" w:name="page6"/>
    <w:bookmarkEnd w:id="5"/>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MDOCS</w:t>
      </w:r>
      <w:r>
        <w:rPr>
          <w:rFonts w:ascii="Arial" w:cs="Arial" w:eastAsia="Arial" w:hAnsi="Arial"/>
          <w:sz w:val="18"/>
          <w:szCs w:val="18"/>
          <w:color w:val="auto"/>
        </w:rPr>
        <w:t xml:space="preserve"> L</w:t>
      </w:r>
      <w:r>
        <w:rPr>
          <w:rFonts w:ascii="Arial" w:cs="Arial" w:eastAsia="Arial" w:hAnsi="Arial"/>
          <w:sz w:val="15"/>
          <w:szCs w:val="15"/>
          <w:color w:val="auto"/>
        </w:rPr>
        <w:t>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Elizabeth W. McDermon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240" w:top="270" w:right="6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8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w:t>
            </w:r>
          </w:p>
        </w:tc>
        <w:tc>
          <w:tcPr>
            <w:tcW w:w="1008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4"/>
                <w:szCs w:val="14"/>
                <w:color w:val="auto"/>
              </w:rPr>
            </w:pPr>
          </w:p>
        </w:tc>
        <w:tc>
          <w:tcPr>
            <w:tcW w:w="10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(a)(1)(i)</w:t>
            </w:r>
          </w:p>
        </w:tc>
        <w:tc>
          <w:tcPr>
            <w:tcW w:w="10080" w:type="dxa"/>
            <w:vAlign w:val="bottom"/>
          </w:tcPr>
          <w:p>
            <w:pPr>
              <w:spacing w:after="0"/>
              <w:rPr>
                <w:sz w:val="20"/>
                <w:szCs w:val="20"/>
                <w:color w:val="auto"/>
              </w:rPr>
            </w:pPr>
            <w:r>
              <w:rPr>
                <w:rFonts w:ascii="Arial" w:cs="Arial" w:eastAsia="Arial" w:hAnsi="Arial"/>
                <w:sz w:val="18"/>
                <w:szCs w:val="18"/>
                <w:color w:val="auto"/>
              </w:rPr>
              <w:t>Notice of Put Right and Offer to Purchase, dated March 14, 2014.*</w:t>
            </w:r>
          </w:p>
        </w:tc>
        <w:tc>
          <w:tcPr>
            <w:tcW w:w="0" w:type="dxa"/>
            <w:vAlign w:val="bottom"/>
          </w:tcPr>
          <w:p>
            <w:pPr>
              <w:spacing w:after="0"/>
              <w:rPr>
                <w:sz w:val="1"/>
                <w:szCs w:val="1"/>
                <w:color w:val="auto"/>
              </w:rPr>
            </w:pP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(a)(1)(ii)</w:t>
            </w:r>
          </w:p>
        </w:tc>
        <w:tc>
          <w:tcPr>
            <w:tcW w:w="10080" w:type="dxa"/>
            <w:vAlign w:val="bottom"/>
          </w:tcPr>
          <w:p>
            <w:pPr>
              <w:spacing w:after="0"/>
              <w:rPr>
                <w:sz w:val="20"/>
                <w:szCs w:val="20"/>
                <w:color w:val="auto"/>
              </w:rPr>
            </w:pPr>
            <w:r>
              <w:rPr>
                <w:rFonts w:ascii="Arial" w:cs="Arial" w:eastAsia="Arial" w:hAnsi="Arial"/>
                <w:sz w:val="18"/>
                <w:szCs w:val="18"/>
                <w:color w:val="auto"/>
              </w:rPr>
              <w:t>Letter of Transmittal, dated March 14, 2014.*</w:t>
            </w:r>
          </w:p>
        </w:tc>
        <w:tc>
          <w:tcPr>
            <w:tcW w:w="0" w:type="dxa"/>
            <w:vAlign w:val="bottom"/>
          </w:tcPr>
          <w:p>
            <w:pPr>
              <w:spacing w:after="0"/>
              <w:rPr>
                <w:sz w:val="1"/>
                <w:szCs w:val="1"/>
                <w:color w:val="auto"/>
              </w:rPr>
            </w:pP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(a)(1)(iii)</w:t>
            </w:r>
          </w:p>
        </w:tc>
        <w:tc>
          <w:tcPr>
            <w:tcW w:w="10080" w:type="dxa"/>
            <w:vAlign w:val="bottom"/>
          </w:tcPr>
          <w:p>
            <w:pPr>
              <w:spacing w:after="0"/>
              <w:rPr>
                <w:sz w:val="20"/>
                <w:szCs w:val="20"/>
                <w:color w:val="auto"/>
              </w:rPr>
            </w:pPr>
            <w:r>
              <w:rPr>
                <w:rFonts w:ascii="Arial" w:cs="Arial" w:eastAsia="Arial" w:hAnsi="Arial"/>
                <w:sz w:val="18"/>
                <w:szCs w:val="18"/>
                <w:color w:val="auto"/>
              </w:rPr>
              <w:t>Letter to Clients, dated March 14, 2014.*</w:t>
            </w:r>
          </w:p>
        </w:tc>
        <w:tc>
          <w:tcPr>
            <w:tcW w:w="0" w:type="dxa"/>
            <w:vAlign w:val="bottom"/>
          </w:tcPr>
          <w:p>
            <w:pPr>
              <w:spacing w:after="0"/>
              <w:rPr>
                <w:sz w:val="1"/>
                <w:szCs w:val="1"/>
                <w:color w:val="auto"/>
              </w:rPr>
            </w:pP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(a)(1)(iv)</w:t>
            </w:r>
          </w:p>
        </w:tc>
        <w:tc>
          <w:tcPr>
            <w:tcW w:w="10080" w:type="dxa"/>
            <w:vAlign w:val="bottom"/>
          </w:tcPr>
          <w:p>
            <w:pPr>
              <w:spacing w:after="0"/>
              <w:rPr>
                <w:sz w:val="20"/>
                <w:szCs w:val="20"/>
                <w:color w:val="auto"/>
              </w:rPr>
            </w:pPr>
            <w:r>
              <w:rPr>
                <w:rFonts w:ascii="Arial" w:cs="Arial" w:eastAsia="Arial" w:hAnsi="Arial"/>
                <w:sz w:val="18"/>
                <w:szCs w:val="18"/>
                <w:color w:val="auto"/>
              </w:rPr>
              <w:t>Letter to Brokers, Dealers, Commercial Banks, Trust Companies and Other Nominees, dated March 14, 2014.*</w:t>
            </w:r>
          </w:p>
        </w:tc>
        <w:tc>
          <w:tcPr>
            <w:tcW w:w="0" w:type="dxa"/>
            <w:vAlign w:val="bottom"/>
          </w:tcPr>
          <w:p>
            <w:pPr>
              <w:spacing w:after="0"/>
              <w:rPr>
                <w:sz w:val="1"/>
                <w:szCs w:val="1"/>
                <w:color w:val="auto"/>
              </w:rPr>
            </w:pP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(a)(5)(i)</w:t>
            </w:r>
          </w:p>
        </w:tc>
        <w:tc>
          <w:tcPr>
            <w:tcW w:w="10080" w:type="dxa"/>
            <w:vAlign w:val="bottom"/>
          </w:tcPr>
          <w:p>
            <w:pPr>
              <w:spacing w:after="0"/>
              <w:rPr>
                <w:sz w:val="20"/>
                <w:szCs w:val="20"/>
                <w:color w:val="auto"/>
              </w:rPr>
            </w:pPr>
            <w:r>
              <w:rPr>
                <w:rFonts w:ascii="Arial" w:cs="Arial" w:eastAsia="Arial" w:hAnsi="Arial"/>
                <w:sz w:val="18"/>
                <w:szCs w:val="18"/>
                <w:color w:val="auto"/>
              </w:rPr>
              <w:t>Press Release Regarding Offer, dated March 14, 2014.*</w:t>
            </w:r>
          </w:p>
        </w:tc>
        <w:tc>
          <w:tcPr>
            <w:tcW w:w="0" w:type="dxa"/>
            <w:vAlign w:val="bottom"/>
          </w:tcPr>
          <w:p>
            <w:pPr>
              <w:spacing w:after="0"/>
              <w:rPr>
                <w:sz w:val="1"/>
                <w:szCs w:val="1"/>
                <w:color w:val="auto"/>
              </w:rPr>
            </w:pPr>
          </w:p>
        </w:tc>
      </w:tr>
      <w:tr>
        <w:trPr>
          <w:trHeight w:val="310"/>
        </w:trPr>
        <w:tc>
          <w:tcPr>
            <w:tcW w:w="1340" w:type="dxa"/>
            <w:vAlign w:val="bottom"/>
            <w:gridSpan w:val="2"/>
          </w:tcPr>
          <w:p>
            <w:pPr>
              <w:spacing w:after="0"/>
              <w:rPr>
                <w:sz w:val="20"/>
                <w:szCs w:val="20"/>
                <w:color w:val="auto"/>
              </w:rPr>
            </w:pPr>
            <w:r>
              <w:rPr>
                <w:rFonts w:ascii="Arial" w:cs="Arial" w:eastAsia="Arial" w:hAnsi="Arial"/>
                <w:sz w:val="18"/>
                <w:szCs w:val="18"/>
                <w:color w:val="auto"/>
              </w:rPr>
              <w:t>(d)(1)</w:t>
            </w:r>
          </w:p>
        </w:tc>
        <w:tc>
          <w:tcPr>
            <w:tcW w:w="10080" w:type="dxa"/>
            <w:vAlign w:val="bottom"/>
          </w:tcPr>
          <w:p>
            <w:pPr>
              <w:spacing w:after="0"/>
              <w:rPr>
                <w:sz w:val="20"/>
                <w:szCs w:val="20"/>
                <w:color w:val="auto"/>
              </w:rPr>
            </w:pPr>
            <w:r>
              <w:rPr>
                <w:rFonts w:ascii="Arial" w:cs="Arial" w:eastAsia="Arial" w:hAnsi="Arial"/>
                <w:sz w:val="18"/>
                <w:szCs w:val="18"/>
                <w:color w:val="auto"/>
                <w:w w:val="92"/>
              </w:rPr>
              <w:t>Indenture, dated as of March 5, 2004, between Amdocs Limited and The Bank of New York Mellon (formerly known as The Bank of New</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York), as trustee, for 0.50% Convertible Senior Notes due 2024 (incorporated by reference to Exhibit 99.1 to Amdocs’ Report on Form 6-</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K, filed March 5, 2004).</w:t>
            </w:r>
          </w:p>
        </w:tc>
        <w:tc>
          <w:tcPr>
            <w:tcW w:w="0" w:type="dxa"/>
            <w:vAlign w:val="bottom"/>
          </w:tcPr>
          <w:p>
            <w:pPr>
              <w:spacing w:after="0"/>
              <w:rPr>
                <w:sz w:val="1"/>
                <w:szCs w:val="1"/>
                <w:color w:val="auto"/>
              </w:rPr>
            </w:pPr>
          </w:p>
        </w:tc>
      </w:tr>
      <w:tr>
        <w:trPr>
          <w:trHeight w:val="310"/>
        </w:trPr>
        <w:tc>
          <w:tcPr>
            <w:tcW w:w="1340" w:type="dxa"/>
            <w:vAlign w:val="bottom"/>
            <w:gridSpan w:val="2"/>
          </w:tcPr>
          <w:p>
            <w:pPr>
              <w:spacing w:after="0"/>
              <w:rPr>
                <w:sz w:val="20"/>
                <w:szCs w:val="20"/>
                <w:color w:val="auto"/>
              </w:rPr>
            </w:pPr>
            <w:r>
              <w:rPr>
                <w:rFonts w:ascii="Arial" w:cs="Arial" w:eastAsia="Arial" w:hAnsi="Arial"/>
                <w:sz w:val="18"/>
                <w:szCs w:val="18"/>
                <w:color w:val="auto"/>
              </w:rPr>
              <w:t>(d)(2)</w:t>
            </w:r>
          </w:p>
        </w:tc>
        <w:tc>
          <w:tcPr>
            <w:tcW w:w="10080" w:type="dxa"/>
            <w:vAlign w:val="bottom"/>
          </w:tcPr>
          <w:p>
            <w:pPr>
              <w:spacing w:after="0"/>
              <w:rPr>
                <w:sz w:val="20"/>
                <w:szCs w:val="20"/>
                <w:color w:val="auto"/>
              </w:rPr>
            </w:pPr>
            <w:r>
              <w:rPr>
                <w:rFonts w:ascii="Arial" w:cs="Arial" w:eastAsia="Arial" w:hAnsi="Arial"/>
                <w:sz w:val="18"/>
                <w:szCs w:val="18"/>
                <w:color w:val="auto"/>
                <w:w w:val="92"/>
              </w:rPr>
              <w:t>Registration Rights Agreement, dated as of March 5, 2004, between Amdocs Limited and Morgan Stanley &amp; Co. Incorporated, Goldman,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Sachs &amp; Co. and Merrill Lynch, Pierce, Fenner &amp; Smith Incorporated (incorporated by reference to Exhibit 99.2 to Amdocs’ Report 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6-K, filed March 5, 2004).</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340" w:hanging="1332"/>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1340" w:hanging="1332"/>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Put Right and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160020</wp:posOffset>
            </wp:positionV>
            <wp:extent cx="1577975"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797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For Cash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Any and All of its Outstanding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76465" cy="35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355600"/>
                    </a:xfrm>
                    <a:prstGeom prst="rect">
                      <a:avLst/>
                    </a:prstGeom>
                    <a:noFill/>
                  </pic:spPr>
                </pic:pic>
              </a:graphicData>
            </a:graphic>
          </wp:anchor>
        </w:drawing>
      </w:r>
    </w:p>
    <w:p>
      <w:pPr>
        <w:spacing w:after="0" w:line="268" w:lineRule="exact"/>
        <w:rPr>
          <w:sz w:val="20"/>
          <w:szCs w:val="20"/>
          <w:color w:val="auto"/>
        </w:rPr>
      </w:pPr>
    </w:p>
    <w:p>
      <w:pPr>
        <w:jc w:val="center"/>
        <w:ind w:left="280" w:right="360"/>
        <w:spacing w:after="0" w:line="282" w:lineRule="auto"/>
        <w:rPr>
          <w:sz w:val="20"/>
          <w:szCs w:val="20"/>
          <w:color w:val="auto"/>
        </w:rPr>
      </w:pPr>
      <w:r>
        <w:rPr>
          <w:rFonts w:ascii="Arial" w:cs="Arial" w:eastAsia="Arial" w:hAnsi="Arial"/>
          <w:sz w:val="18"/>
          <w:szCs w:val="18"/>
          <w:b w:val="1"/>
          <w:bCs w:val="1"/>
          <w:color w:val="auto"/>
        </w:rPr>
        <w:t>THE OFFER AND WITHDRAWAL RIGHTS WILL EXPIRE AT 9:00 A.M., EASTERN TIME, ON APRIL 11, 2014, AND MAY NOT BE EXTENDED, EXCEPT AS REQUIRED BY APPLICABLE LAW.</w:t>
      </w:r>
    </w:p>
    <w:p>
      <w:pPr>
        <w:spacing w:after="0" w:line="233"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Amdocs Limited, a company organized under the laws of the Island of Guernsey, hereby gives notice to the holders of its outstanding 0.50% Convertible Senior Notes due 2024, or the notes, of the holders’ right to require Amdocs to repurchase the notes at a repurchase price equal to 100% of the principal amount of the notes, plus accrued and unpaid interest to but excluding the date of repurchase. As of the date of this notice, there is $1,020,000 aggregate principal amount of notes outstanding. Under the terms of the indenture governing the notes, Amdocs has the option to pay for the notes with cash, ordinary shares, or a combination of cash and ordinary shares. Amdocs is hereby offering to purchase for cash any and all of the outstanding notes at that repurchase price, plus accrued and unpaid interest. If the expiration date of this offer is April 11, 2014, holders will receive $1,000.3611 per $1,000 principal amount of notes tendered. Interest on the notes will continue to accrue at a daily rate of approximately $0.0139 for each $1,000 principal amount of notes if the offer is extended past April 11, 2014. Holders of record of the notes on March 1, 2014 will receive the regularly scheduled interest payment on March 17, 2014 pursuant to the terms of the indenture. Scheduled interest payments will be payable by the trustee in accordance with standard practices. Amdocs is giving this notice of put right and making this offer in order to satisfy its obligations under the indenture governing the notes and, in order to satisfy its notice obligations under the indenture governing the notes, is voluntarily extending the repurchase date from March 17, 2014 (as called for under the indenture governing the notes) to April 11, 2014.</w:t>
      </w:r>
    </w:p>
    <w:p>
      <w:pPr>
        <w:spacing w:after="0" w:line="18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notes are obligations of Amdocs. Any notes that remain outstanding after consummation of this offer will continue to be obligations of Amdocs and will continue to accrue interest and have the benefits of the indenture, including the right of the holder to convert the notes into Amdocs’ ordinary shares.</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Any person desiring to tender notes in this offer must comply with the procedures set forth in this document under “PROCEDURES FOR TENDERING AND WITHDRAWING NOTES” and in the letter of transmittal. Tenders of notes may be withdrawn at any time prior to the expiration of this offer.</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CUSIP numbers for the notes are: 02342TAC3 and 02342TAD1. The CUSIP numbers referenced above have been assigned by 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Amdocs makes no recommendation as to whether or not holders should tender notes pursuant to this offer.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document contains important information about this offer. We urge you to read it in its entirety.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14, 2014.</w:t>
      </w:r>
    </w:p>
    <w:p>
      <w:pPr>
        <w:sectPr>
          <w:pgSz w:w="11900" w:h="16838" w:orient="portrait"/>
          <w:cols w:equalWidth="0" w:num="1">
            <w:col w:w="11420"/>
          </w:cols>
          <w:pgMar w:left="240" w:top="122"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gridSpan w:val="9"/>
            <w:vMerge w:val="restart"/>
          </w:tcPr>
          <w:p>
            <w:pPr>
              <w:spacing w:after="0"/>
              <w:rPr>
                <w:rFonts w:ascii="Arial" w:cs="Arial" w:eastAsia="Arial" w:hAnsi="Arial"/>
                <w:sz w:val="18"/>
                <w:szCs w:val="18"/>
                <w:color w:val="0000EE"/>
                <w:w w:val="96"/>
              </w:rPr>
            </w:pPr>
            <w:hyperlink w:anchor="page10">
              <w:r>
                <w:rPr>
                  <w:rFonts w:ascii="Arial" w:cs="Arial" w:eastAsia="Arial" w:hAnsi="Arial"/>
                  <w:sz w:val="18"/>
                  <w:szCs w:val="18"/>
                  <w:color w:val="0000EE"/>
                  <w:w w:val="96"/>
                </w:rPr>
                <w:t>SUMMARY TERM SHEET</w:t>
              </w:r>
            </w:hyperlink>
          </w:p>
        </w:tc>
        <w:tc>
          <w:tcPr>
            <w:tcW w:w="8940" w:type="dxa"/>
            <w:vAlign w:val="bottom"/>
            <w:gridSpan w:val="13"/>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080" w:type="dxa"/>
            <w:vAlign w:val="bottom"/>
            <w:tcBorders>
              <w:bottom w:val="single" w:sz="8" w:color="0000EE"/>
            </w:tcBorders>
            <w:gridSpan w:val="9"/>
            <w:vMerge w:val="continue"/>
          </w:tcPr>
          <w:p>
            <w:pPr>
              <w:spacing w:after="0"/>
              <w:rPr>
                <w:sz w:val="13"/>
                <w:szCs w:val="13"/>
                <w:color w:val="auto"/>
              </w:rPr>
            </w:pPr>
          </w:p>
        </w:tc>
        <w:tc>
          <w:tcPr>
            <w:tcW w:w="8940" w:type="dxa"/>
            <w:vAlign w:val="bottom"/>
            <w:gridSpan w:val="13"/>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AVAILABLE INFORMATION</w:t>
              </w:r>
            </w:hyperlink>
          </w:p>
        </w:tc>
        <w:tc>
          <w:tcPr>
            <w:tcW w:w="8740" w:type="dxa"/>
            <w:vAlign w:val="bottom"/>
            <w:gridSpan w:val="10"/>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INCORPORATION OF CERTAIN DOCUMENTS BY REFERENCE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0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THE OFFER</w:t>
              </w:r>
            </w:hyperlink>
          </w:p>
        </w:tc>
        <w:tc>
          <w:tcPr>
            <w:tcW w:w="59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General</w:t>
              </w:r>
            </w:hyperlink>
          </w:p>
        </w:tc>
        <w:tc>
          <w:tcPr>
            <w:tcW w:w="20" w:type="dxa"/>
            <w:vAlign w:val="bottom"/>
            <w:tcBorders>
              <w:top w:val="single" w:sz="8" w:color="0000EE"/>
            </w:tcBorders>
          </w:tcPr>
          <w:p>
            <w:pPr>
              <w:spacing w:after="0"/>
              <w:rPr>
                <w:sz w:val="17"/>
                <w:szCs w:val="17"/>
                <w:color w:val="auto"/>
              </w:rPr>
            </w:pPr>
          </w:p>
        </w:tc>
        <w:tc>
          <w:tcPr>
            <w:tcW w:w="1006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Purpose of the Offer</w:t>
              </w:r>
            </w:hyperlink>
          </w:p>
        </w:tc>
        <w:tc>
          <w:tcPr>
            <w:tcW w:w="918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Information about the Notes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Source and Amount of Funds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Expiration Date; Extensions; Amendments; Termination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Conditions to this Offer</w:t>
              </w:r>
            </w:hyperlink>
          </w:p>
        </w:tc>
        <w:tc>
          <w:tcPr>
            <w:tcW w:w="2340" w:type="dxa"/>
            <w:vAlign w:val="bottom"/>
            <w:tcBorders>
              <w:top w:val="single" w:sz="8" w:color="0000EE"/>
            </w:tcBorders>
            <w:gridSpan w:val="9"/>
          </w:tcPr>
          <w:p>
            <w:pPr>
              <w:spacing w:after="0"/>
              <w:rPr>
                <w:sz w:val="17"/>
                <w:szCs w:val="17"/>
                <w:color w:val="auto"/>
              </w:rPr>
            </w:pPr>
          </w:p>
        </w:tc>
        <w:tc>
          <w:tcPr>
            <w:tcW w:w="66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PROCEDURES FOR TENDERING AND WITHDRAWING NOTES</w:t>
              </w:r>
            </w:hyperlink>
          </w:p>
        </w:tc>
        <w:tc>
          <w:tcPr>
            <w:tcW w:w="59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Tendering Notes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Withdrawal Rights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Acceptance for Payment</w:t>
              </w:r>
            </w:hyperlink>
          </w:p>
        </w:tc>
        <w:tc>
          <w:tcPr>
            <w:tcW w:w="888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INFORMATION ABOUT AMDOCS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General</w:t>
              </w:r>
            </w:hyperlink>
          </w:p>
        </w:tc>
        <w:tc>
          <w:tcPr>
            <w:tcW w:w="1780" w:type="dxa"/>
            <w:vAlign w:val="bottom"/>
            <w:tcBorders>
              <w:top w:val="single" w:sz="8" w:color="0000EE"/>
            </w:tcBorders>
            <w:gridSpan w:val="13"/>
          </w:tcPr>
          <w:p>
            <w:pPr>
              <w:spacing w:after="0"/>
              <w:rPr>
                <w:sz w:val="17"/>
                <w:szCs w:val="17"/>
                <w:color w:val="auto"/>
              </w:rPr>
            </w:pPr>
          </w:p>
        </w:tc>
        <w:tc>
          <w:tcPr>
            <w:tcW w:w="83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Market Price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MATERIAL U.S. FEDERAL INCOME TAX CONSEQUENCES</w:t>
              </w:r>
            </w:hyperlink>
          </w:p>
        </w:tc>
        <w:tc>
          <w:tcPr>
            <w:tcW w:w="62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U.S. Holders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Purchase of Notes under the Offer</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Market Discount</w:t>
              </w:r>
            </w:hyperlink>
          </w:p>
        </w:tc>
        <w:tc>
          <w:tcPr>
            <w:tcW w:w="82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Amortizable Bond Premium</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900" w:type="dxa"/>
            <w:vAlign w:val="bottom"/>
            <w:tcBorders>
              <w:left w:val="single" w:sz="8" w:color="0000EE"/>
            </w:tcBorders>
            <w:gridSpan w:val="8"/>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PAYING AGENT; FEES AND EXPENSES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MISCELLANEOUS</w:t>
              </w:r>
            </w:hyperlink>
          </w:p>
        </w:tc>
        <w:tc>
          <w:tcPr>
            <w:tcW w:w="78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ABOUT FORWARD-LOOKING STATEMENTS</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This Notice of Put Right and Offer to Purchase and the documents incorporated herein by reference contain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Notice of Put Right and Offer to Purchase.</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2013, filed on December 9, 2013 with the U.S. Securities and Exchange Commission.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TERM SHEET</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are answers to some of the questions that you, as a holder of the 0.50% Convertible Senior Notes due 2024 of Amdocs Limited, may have. We urge you to read the remainder of this Notice of Put Right and Offer to Purchase and the other documents that are incorporated in this document by reference carefully because the information in this summary term sheet is not complete. Additional important information is contained in the remainder of this document and the other documents.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this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offering to purchase your notes? (Page 6)</w:t>
      </w:r>
    </w:p>
    <w:p>
      <w:pPr>
        <w:spacing w:after="0" w:line="135" w:lineRule="exact"/>
        <w:rPr>
          <w:sz w:val="20"/>
          <w:szCs w:val="20"/>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Amdocs Limited is offering to purchase the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class of securities is sought in this offer? (Page 6)</w:t>
      </w:r>
    </w:p>
    <w:p>
      <w:pPr>
        <w:spacing w:after="0" w:line="135" w:lineRule="exact"/>
        <w:rPr>
          <w:sz w:val="20"/>
          <w:szCs w:val="20"/>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offering to acquire any and all of our 0.50% Convertible Senior Notes due 2024 that are currently outstanding.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Amdocs making this offer? (Page 7)</w:t>
      </w:r>
    </w:p>
    <w:p>
      <w:pPr>
        <w:spacing w:after="0" w:line="135" w:lineRule="exact"/>
        <w:rPr>
          <w:sz w:val="20"/>
          <w:szCs w:val="20"/>
          <w:color w:val="auto"/>
        </w:rPr>
      </w:pPr>
    </w:p>
    <w:p>
      <w:pPr>
        <w:ind w:left="440" w:hanging="324"/>
        <w:spacing w:after="0" w:line="279" w:lineRule="auto"/>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indenture for the notes gives the holders of the notes the right to require us to repurchase all or a portion of each holder’s notes on March 17, 2014, at a repurchase price equal to 100% of the principal amount of the notes being repurchased, plus accrued and unpaid interest to but excluding the date of repurchase. In order to satisfy our notice obligations under the indenture governing the notes, we have voluntarily extended the repurchase date from March 17, 2014 (as called for under the indenture governing the notes) to April 11, 2014.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price will you receive for your notes if you tender them to us? (Page 6)</w:t>
      </w:r>
    </w:p>
    <w:p>
      <w:pPr>
        <w:spacing w:after="0" w:line="135" w:lineRule="exact"/>
        <w:rPr>
          <w:sz w:val="20"/>
          <w:szCs w:val="20"/>
          <w:color w:val="auto"/>
        </w:rPr>
      </w:pPr>
    </w:p>
    <w:p>
      <w:pPr>
        <w:ind w:left="440" w:right="80" w:hanging="324"/>
        <w:spacing w:after="0" w:line="255"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offering to repurchase your notes at a repurchase price of 100% of the principal amount of the notes, plus accrued and unpaid interest to but excluding the expiration date of this offer. If the expiration date of this offer is April 11, 2014, you will receive $1,000.3611 per $1,000 principal amount of the notes you tender. Interest on the notes will continue to accrue at a daily rate of approximately $0.0139 per $1,000 principal amount of notes if the offer is extended past April 11, 2014. Holders of record of the notes on March 1, 2014 will receive the regularly scheduled interest payment on March 17, 2014 pursuant to the terms of the indenture. Scheduled interest payments will be payable by the trustee in accordance with standard practices.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process for tendering your notes? (Page 10)</w:t>
      </w:r>
    </w:p>
    <w:p>
      <w:pPr>
        <w:spacing w:after="0" w:line="135" w:lineRule="exact"/>
        <w:rPr>
          <w:sz w:val="20"/>
          <w:szCs w:val="20"/>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three ways to tender notes, depending upon the manner in which your notes are held:</w:t>
      </w:r>
    </w:p>
    <w:p>
      <w:pPr>
        <w:spacing w:after="0" w:line="130" w:lineRule="exact"/>
        <w:rPr>
          <w:rFonts w:ascii="Arial" w:cs="Arial" w:eastAsia="Arial" w:hAnsi="Arial"/>
          <w:sz w:val="18"/>
          <w:szCs w:val="18"/>
          <w:color w:val="auto"/>
        </w:rPr>
      </w:pPr>
    </w:p>
    <w:p>
      <w:pPr>
        <w:jc w:val="both"/>
        <w:ind w:left="900" w:right="80" w:hanging="325"/>
        <w:spacing w:after="0" w:line="30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your notes are registered in your name, (1) complete and sign the letter of transmittal or a facsimile copy in accordance with the instructions to the letter of transmittal, (2) mail or deliver it and any other required documents to the Paying Agent for this offer at one of its addresses listed on the back cover of this Notice of Put Right and Offer to Purchase and (3) either deliver the certificates for the tendered notes to the Paying Agent or transfer your notes pursuant to the book-entry transfer procedures described in this Notice of Put Right and Offer to Purchase;</w:t>
      </w:r>
    </w:p>
    <w:p>
      <w:pPr>
        <w:spacing w:after="0" w:line="59" w:lineRule="exact"/>
        <w:rPr>
          <w:rFonts w:ascii="Arial" w:cs="Arial" w:eastAsia="Arial" w:hAnsi="Arial"/>
          <w:sz w:val="16"/>
          <w:szCs w:val="16"/>
          <w:color w:val="auto"/>
        </w:rPr>
      </w:pPr>
    </w:p>
    <w:p>
      <w:pPr>
        <w:ind w:left="900" w:right="140" w:hanging="325"/>
        <w:spacing w:after="0" w:line="34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your notes are registered in the name of a broker, dealer, commercial bank, trust company or other nominee, meaning your notes are owned in “street name,” then you must instruct your broker, dealer, commercial bank, trust company or other nominee to tender your notes; 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325"/>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your notes are held of record by The Depository Trust Company, or DTC, you may tender them through DTC’s Automated Tender Offer Program.</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more information on the tendering process, please see “PROCEDURES FOR TENDERING AND WITHDRAWING NOTES — Tendering notes.”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you tender a portion of your notes? (Page 7)</w:t>
      </w:r>
    </w:p>
    <w:p>
      <w:pPr>
        <w:spacing w:after="0" w:line="135" w:lineRule="exact"/>
        <w:rPr>
          <w:sz w:val="20"/>
          <w:szCs w:val="20"/>
          <w:color w:val="auto"/>
        </w:rPr>
      </w:pPr>
    </w:p>
    <w:p>
      <w:pPr>
        <w:ind w:left="440" w:right="320" w:hanging="324"/>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are not required to tender all of your notes in this offer. Under the terms of the indenture for the notes, if you choose to tender less than the full amount of your notes, you must tender $1,000 principal amount of notes or any greater integral multiple of $1,000.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does this offer expire? (Page 9)</w:t>
      </w:r>
    </w:p>
    <w:p>
      <w:pPr>
        <w:spacing w:after="0" w:line="135" w:lineRule="exact"/>
        <w:rPr>
          <w:sz w:val="20"/>
          <w:szCs w:val="20"/>
          <w:color w:val="auto"/>
        </w:rPr>
      </w:pPr>
    </w:p>
    <w:p>
      <w:pPr>
        <w:ind w:left="440" w:right="20" w:hanging="324"/>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have until 9:00 a.m., Eastern time, on Friday, April 11, 2014 to tender your notes in this offer. Unless required by applicable law, this offer will not be extended.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conditions to this offer? (Page 9)</w:t>
      </w:r>
    </w:p>
    <w:p>
      <w:pPr>
        <w:spacing w:after="0" w:line="135" w:lineRule="exact"/>
        <w:rPr>
          <w:sz w:val="20"/>
          <w:szCs w:val="20"/>
          <w:color w:val="auto"/>
        </w:rPr>
      </w:pPr>
    </w:p>
    <w:p>
      <w:pPr>
        <w:ind w:left="440" w:hanging="324"/>
        <w:spacing w:after="0"/>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There are no conditions to this offer except for the timely and proper delivery and tender of your notes in accordance with the terms of this offer.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will you receive payment for your tendered notes? (Page 12)</w:t>
      </w:r>
    </w:p>
    <w:p>
      <w:pPr>
        <w:spacing w:after="0" w:line="135" w:lineRule="exact"/>
        <w:rPr>
          <w:sz w:val="20"/>
          <w:szCs w:val="20"/>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pay for the tendered notes in cash promptly after this offer expires.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you withdraw your tendered notes? (Page 11)</w:t>
      </w:r>
    </w:p>
    <w:p>
      <w:pPr>
        <w:spacing w:after="0" w:line="135" w:lineRule="exact"/>
        <w:rPr>
          <w:sz w:val="20"/>
          <w:szCs w:val="20"/>
          <w:color w:val="auto"/>
        </w:rPr>
      </w:pPr>
    </w:p>
    <w:p>
      <w:pPr>
        <w:ind w:left="440" w:right="200" w:hanging="324"/>
        <w:spacing w:after="0" w:line="259"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may withdraw your tendered notes at any time before 9:00 a.m., Eastern time, on April 11, 2014, or, if this offer is extended as required by applicable law, the time and date when the extended offer expires. In addition, if we have not accepted your notes for payment by May 12, 2014, you may also withdraw your notes. To withdraw your tendered notes, please follow the instructions under “PROCEDURES FOR TENDERING AND WITHDRAWING NOTES — Withdrawal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to your notes if you do not tender them? (Page 7)</w:t>
      </w:r>
    </w:p>
    <w:p>
      <w:pPr>
        <w:spacing w:after="0" w:line="135" w:lineRule="exact"/>
        <w:rPr>
          <w:sz w:val="20"/>
          <w:szCs w:val="20"/>
          <w:color w:val="auto"/>
        </w:rPr>
      </w:pPr>
    </w:p>
    <w:p>
      <w:pPr>
        <w:ind w:left="440" w:right="120" w:hanging="324"/>
        <w:spacing w:after="0" w:line="277"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notes that remain outstanding after consummation of this offer will continue to be obligations of Amdocs and will continue to accrue interest and have the benefits of the indenture for the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tax consequences to you if you tender your notes? (Page 13)</w:t>
      </w:r>
    </w:p>
    <w:p>
      <w:pPr>
        <w:spacing w:after="0" w:line="135" w:lineRule="exact"/>
        <w:rPr>
          <w:sz w:val="20"/>
          <w:szCs w:val="20"/>
          <w:color w:val="auto"/>
        </w:rPr>
      </w:pPr>
    </w:p>
    <w:p>
      <w:pPr>
        <w:ind w:left="440" w:hanging="324"/>
        <w:spacing w:after="0" w:line="255"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receipt of cash in exchange for your notes in this offer will be a taxable transaction to you for U.S. federal income tax purposes. Except with respect to accrued but unpaid interest and accrued market discount, if any, which will be taxable as ordinary income unless previously included in gross income, you will generally recognize capital gain or loss on the sale equal to the difference between (1) the amount of cash you receive for your note and (2) your adjusted tax basis in the note. The capital gain or loss will be considered long-term if you held your note for longer than 12 months and short-term if you held your note for 12 months or less. For more information, please see “MATERIAL U.S. FEDERAL INCOME TAX CONSEQUENCES.”</w:t>
      </w:r>
    </w:p>
    <w:p>
      <w:pPr>
        <w:spacing w:after="0" w:line="98" w:lineRule="exact"/>
        <w:rPr>
          <w:rFonts w:ascii="Arial" w:cs="Arial" w:eastAsia="Arial" w:hAnsi="Arial"/>
          <w:sz w:val="18"/>
          <w:szCs w:val="18"/>
          <w:color w:val="auto"/>
        </w:rPr>
      </w:pPr>
    </w:p>
    <w:p>
      <w:pPr>
        <w:ind w:left="440" w:right="160" w:hanging="324"/>
        <w:spacing w:after="0" w:line="264"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should consult with your tax advisor with respect to the application of U.S. federal income tax laws to your particular situation as well as any tax consequences arising under U.S. federal tax laws other than income tax or the laws of any state, local or foreign taxing jurisdiction or under any applicable tax treaty.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you get more information regarding this offer? (Back cover page)</w:t>
      </w:r>
    </w:p>
    <w:p>
      <w:pPr>
        <w:spacing w:after="0" w:line="135" w:lineRule="exact"/>
        <w:rPr>
          <w:sz w:val="20"/>
          <w:szCs w:val="20"/>
          <w:color w:val="auto"/>
        </w:rPr>
      </w:pPr>
    </w:p>
    <w:p>
      <w:pPr>
        <w:ind w:left="440" w:hanging="324"/>
        <w:spacing w:after="0" w:line="259"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you have questions regarding the procedures for tendering your notes or require assistance in tendering your notes, please contact The Bank of New York Mellon, the Paying Agent for this offer, at one of the addresses or telephone numbers listed on the back cover of this Notice of Put Right and Offer to Purchase. You may also contact Amdocs by writing to Elizabeth W. McDermon, Secretary, Amdocs Limited, 1390 Timberlake Manor Parkway, Chesterfield, Missouri 63017 or by calling: (314) 212-8328.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Amdocs making any recommendation about the offer? (Page 7)</w:t>
      </w:r>
    </w:p>
    <w:p>
      <w:pPr>
        <w:spacing w:after="0" w:line="135" w:lineRule="exact"/>
        <w:rPr>
          <w:sz w:val="20"/>
          <w:szCs w:val="20"/>
          <w:color w:val="auto"/>
        </w:rPr>
      </w:pPr>
    </w:p>
    <w:p>
      <w:pPr>
        <w:ind w:left="440" w:hanging="32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Amdocs makes no recommendation as to whether or not holders should tender their notes pursuant to the offer.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issuer of the notes? (Page 8)</w:t>
      </w:r>
    </w:p>
    <w:p>
      <w:pPr>
        <w:spacing w:after="0" w:line="135" w:lineRule="exact"/>
        <w:rPr>
          <w:sz w:val="20"/>
          <w:szCs w:val="20"/>
          <w:color w:val="auto"/>
        </w:rPr>
      </w:pPr>
    </w:p>
    <w:p>
      <w:pPr>
        <w:ind w:left="440" w:hanging="324"/>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Amdocs Limited is the issuer of the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conversion rate of the notes? (Page 8)</w:t>
      </w:r>
    </w:p>
    <w:p>
      <w:pPr>
        <w:spacing w:after="0" w:line="135" w:lineRule="exact"/>
        <w:rPr>
          <w:sz w:val="20"/>
          <w:szCs w:val="20"/>
          <w:color w:val="auto"/>
        </w:rPr>
      </w:pPr>
    </w:p>
    <w:p>
      <w:pPr>
        <w:ind w:left="440" w:hanging="324"/>
        <w:spacing w:after="0" w:line="255"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notes are convertible into Amdocs Limited ordinary shares. Upon conversion, you would receive 23.6987 of our ordinary shares for every $1,000 principal amount of the notes. This is equivalent to a conversion price of approximately $42.20 per share. On March 12, 2014, the last reported sale price for Amdocs’ ordinary shares was $45.22 per share. As a result of the quarterly cash dividend to be paid on our ordinary shares on April 17, 2014 to shareholders of record on March 31, 2014, the conversion rate applicable to the notes will adjust further. In accordance with our obligations under the indenture, we will provide notice of that adjustment promptly following such adjustment, which will occur immediately prior to the opening of business on April 1, 2014.</w:t>
      </w:r>
    </w:p>
    <w:p>
      <w:pPr>
        <w:spacing w:after="0" w:line="98" w:lineRule="exact"/>
        <w:rPr>
          <w:rFonts w:ascii="Arial" w:cs="Arial" w:eastAsia="Arial" w:hAnsi="Arial"/>
          <w:sz w:val="18"/>
          <w:szCs w:val="18"/>
          <w:color w:val="auto"/>
        </w:rPr>
      </w:pPr>
    </w:p>
    <w:p>
      <w:pPr>
        <w:ind w:left="440" w:right="240" w:hanging="324"/>
        <w:spacing w:after="0" w:line="312"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right to convert your notes expires at the close of business on March 14, 2024, unless we have previously redeemed or repurchased your notes. Your right to convert a note called for redemption or delivered for repurchase will terminate at the close of business on the business day immediately preceding the redemption date or repurchase date for that note, unless we default in making the payment due upon redemption or repurchase.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holders have any rights to require Amdocs to repurchase the notes? (Page 7)</w:t>
      </w:r>
    </w:p>
    <w:p>
      <w:pPr>
        <w:spacing w:after="0" w:line="135" w:lineRule="exact"/>
        <w:rPr>
          <w:sz w:val="20"/>
          <w:szCs w:val="20"/>
          <w:color w:val="auto"/>
        </w:rPr>
      </w:pPr>
    </w:p>
    <w:p>
      <w:pPr>
        <w:ind w:left="440" w:right="60" w:hanging="324"/>
        <w:spacing w:after="0" w:line="259"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offer is being made in connection with the right of noteholders under the indenture for the notes to require us to repurchase their notes on March 17, 2014. In order to satisfy our notice obligations under the indenture governing the notes, we have voluntarily extended the repurchase date from March 17, 2014 (as called for under the indenture governing the notes) to April 11, 2014. Under the indenture for the notes, noteholders also have the right to require us to repurchase their notes on March 15, 2019.</w:t>
      </w:r>
    </w:p>
    <w:p>
      <w:pPr>
        <w:spacing w:after="0" w:line="92" w:lineRule="exact"/>
        <w:rPr>
          <w:rFonts w:ascii="Arial" w:cs="Arial" w:eastAsia="Arial" w:hAnsi="Arial"/>
          <w:sz w:val="18"/>
          <w:szCs w:val="18"/>
          <w:color w:val="auto"/>
        </w:rPr>
      </w:pPr>
    </w:p>
    <w:p>
      <w:pPr>
        <w:ind w:left="440" w:hanging="324"/>
        <w:spacing w:after="0" w:line="259"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designated event, as defined in the indenture for the notes, occurs in the future, you will have the right, at your option, to require us to repurchase all of your notes not called for redemption, or any portion of the principal amount of your notes that is equal to $1,000 or any greater integral multiple of $1,000. The repurchase price would be 100% of the principal amount of the notes to be repurchased, together with interest accrued and unpaid to but excluding the repurchase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redemption provisions of the notes? (Page 8)</w:t>
      </w:r>
    </w:p>
    <w:p>
      <w:pPr>
        <w:spacing w:after="0" w:line="135" w:lineRule="exact"/>
        <w:rPr>
          <w:sz w:val="20"/>
          <w:szCs w:val="20"/>
          <w:color w:val="auto"/>
        </w:rPr>
      </w:pPr>
    </w:p>
    <w:p>
      <w:pPr>
        <w:ind w:left="440" w:right="20" w:hanging="324"/>
        <w:spacing w:after="0" w:line="264"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redeem the notes, in whole or in part, at our option, at a redemption price of 100% of principal amount plus accrued and unpaid interest to but excluding the redemption date. The indenture requires us to give notice of redemption not more than 60 and not less than 30 days before the redemption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interest payment provisions of the notes? (Page 8)</w:t>
      </w:r>
    </w:p>
    <w:p>
      <w:pPr>
        <w:spacing w:after="0" w:line="135" w:lineRule="exact"/>
        <w:rPr>
          <w:sz w:val="20"/>
          <w:szCs w:val="20"/>
          <w:color w:val="auto"/>
        </w:rPr>
      </w:pPr>
    </w:p>
    <w:p>
      <w:pPr>
        <w:ind w:left="440" w:hanging="324"/>
        <w:spacing w:after="0" w:line="286"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Interest on outstanding notes is paid on March 15 and September 15 of each year at an annual rate of 0.50% of the principal amount of the notes. Unless there is a default in payment of the repurchase price, interest on any notes purchased by Amdocs pursuant to this offer will cease to accrue from and after April 11, 2014 or, if the expiration date for this offer is after April 11, 2014, from and after such expiration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you still receive your scheduled interest payment for your notes on March 17, 2014? (Page 6)</w:t>
      </w:r>
    </w:p>
    <w:p>
      <w:pPr>
        <w:spacing w:after="0" w:line="135" w:lineRule="exact"/>
        <w:rPr>
          <w:sz w:val="20"/>
          <w:szCs w:val="20"/>
          <w:color w:val="auto"/>
        </w:rPr>
      </w:pPr>
    </w:p>
    <w:p>
      <w:pPr>
        <w:ind w:left="440" w:right="20" w:hanging="324"/>
        <w:spacing w:after="0" w:line="277"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you were a holder of record of the notes on March 1, 2014, you will receive your March 17, 2014 scheduled interest payment pursuant to the terms of the indenture. Scheduled interest payments will be payable by the trustee in accordance with standard practices.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subject to the reporting requirements of foreign private issuers under the Securities Exchange Act of 1934, as amended (the “Exchange Act”). Pursuant to the Exchange Act, we file reports with the Securities and Exchange Commission (the “SEC”), including an Annual Report on Form 20-F, and we submit reports to the SEC, including Reports of Foreign Private Issuers on Form 6-K. These reports and other information may be inspected and copied at the Public Reference Section of the SEC at 100 F Street, N.E., Washington, D.C. 20549. Information on the operation of the Public Reference Room may be obtained by calling the SEC at 1-800-SEC-0330. Reports and information statements and other information filed electronically with the SEC are available at the SEC’s website at http://www.sec.gov. This information may also be found on our website at www.amdocs.com.</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which have been filed by Amdocs (File No. 001-14840) with the SEC, are incorporated herein by reference:</w:t>
      </w:r>
    </w:p>
    <w:p>
      <w:pPr>
        <w:spacing w:after="0" w:line="131" w:lineRule="exact"/>
        <w:rPr>
          <w:sz w:val="20"/>
          <w:szCs w:val="20"/>
          <w:color w:val="auto"/>
        </w:rPr>
      </w:pPr>
    </w:p>
    <w:p>
      <w:pPr>
        <w:ind w:left="440" w:hanging="324"/>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Amdocs’ Annual Report on Form 20-F for the fiscal year ended September 30, 2013, filed on December 9, 2013;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Amdocs’ report on Form 6-K containing its results for the quarterly period ended December 31, 2013, filed on February 11, 2014.</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documents incorporated by reference herein (other than exhibits to such documents that are not specifically incorporated by reference herein) are available without charge to any person to whom this Notice of Put Right and Offer to Purchase has been delivered upon written or oral request to Elizabeth W. McDermon, Secretary, Amdocs Limited, 1390 Timberlake Manor Parkway, Chesterfield, Missouri 63017, telephone: (314) 212-8328.</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Amdocs Limited, a company organized under the laws of the Island of Guernsey (“Amdocs”), hereby offers to purchase for cash any and all of its outstanding 0.50% Convertible Senior Notes due 2024 (the “Notes”) at the Repurchase Price (as defined herein), upon the terms and subject to the conditions set forth in this Notice of Put Right and Offer to Purchase (as it may be amended or supplemented from time to time, the “Offer to Purchase”), and in the related Letter of Transmittal (as it may be amended or supplemented from time to time, the “Letter of Transmittal”). This Offer to Purchase and the Letter of Transmittal collectively constitute this “Offer.”</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This Offer will expire at 9:00 a.m., Eastern time, on April 11, 2014, and may not be extended except as required by applicable law (such time and date, as it may be extended, the “Expiration Date”).</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“Repurchase Price” is equal to 100% of the principal amount of the Notes, plus interest accrued and unpaid to but excluding April 11, 2014 (or, if the Expiration Date is after April 11, 2014, through and including the date immediately preceding the Expiration Date). If the Expiration Date is April 11, 2014, the Repurchase Price will equal $1,000.3611 per $1,000 principal amount of the Notes tendered. Interest on the Notes will continue to accrue at a daily rate of approximately $0.0139 for each $1,000 principal amount of Notes if the offer is extended past April 11, 2014. Holders of record of the Notes on March 1, 2014 will receive the regularly scheduled interest payment on March 17, 2014 pursuant to the terms of the indenture. Scheduled interest payments will be payable by the trustee in accordance with standard practices.</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Amdocs will accept tenders of all of a holder’s Notes or of any portion of a holder’s Notes that is in an amount equal to $1,000 principal amount or any greater integral multiple of $1,000. Tenders of Notes may be withdrawn at any time before 9:00 a.m. Eastern Time on the Expiration Date. Any holder of the Notes desiring to tender the Notes must comply with the procedures set forth herein under “PROCEDURES FOR TENDERING AND WITHDRAWING NOTES” and in the Letter of Transmittal.</w:t>
      </w:r>
    </w:p>
    <w:p>
      <w:pPr>
        <w:spacing w:after="0" w:line="18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Upon the terms and subject to the conditions of this Offer (including, if this Offer is extended or amended, the terms and conditions of any such extension or amendment) and applicable law, Amdocs will, promptly after the Expiration Date, purchase, by accepting for payment, and will pay for, all Notes validly tendered (and not properly withdrawn) pursuant to this Offer. Such payment will be made by the deposit of immediately available funds with The Bank of New York Mellon (the “Paying Agent”), which will act as agent for tendering holders for the purpose of receiving payment from Amdocs and transmitting such payment to tendering holders. Subject to the requirements of the Indenture, dated as of March 5, 2004 (as amended, the “Indenture”), between Amdocs and The Bank of New York Mellon (formerly known as The Bank of New York), as Trustee (the “Trustee”), and the Notes, Amdocs expressly reserves the right, in its sole discretion and subject to applicable law, to delay acceptance for payment of or payment for Notes in order to comply, in whole or in part, with any applicable law. Amdocs would only delay such acceptance for payment or payment in the event that, at such time, Amdocs had not yet received any necessary governmental approvals.</w:t>
      </w:r>
    </w:p>
    <w:p>
      <w:pPr>
        <w:spacing w:after="0" w:line="18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less than all the principal amount of Notes held by a holder is tendered by such holder pursuant to this Offer, promptly after the Expiration Date, Amdocs shall issue, and the Trustee shall authenticate and deliver to or on the order of the holder thereof, at the expense of Amdocs, new Notes of authorized denominations in a principal amount equal to the portion of the Notes not tendered.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Rule 13e-4 promulgated under the Exchange Act generally prohibits Amdocs and its affiliates from purchasing Notes, other than pursuant to this Offer, until at least ten business days after the expiration or termination of this Offer.</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Any questions or requests for assistance or for additional copies of this Offer to Purchase, the Letter of Transmittal or related documents may be directed to the Paying Agent at one of its addresses or telephone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numbers set forth on the back cover hereof. Any beneficial owner owning interests in the Notes should contact such beneficial owner’s broker, dealer, commercial bank, trust company or other nominee for assistance concerning this Offer.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Offer</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purpose of this Offer is to fulfill Amdocs’ contractual obligations under the Indenture. This Offer to Purchase serves as the “Company Repurchase Notice” required under Section 3.07 of the Indenture. The Letter of Transmittal serves as the “Repurchase Notice” as specified and required in Section 3.06 of the Indenture. In order to satisfy our notice obligations under the indenture governing the Notes, we have voluntarily extended the repurchase date from March 17, 2014 (as called for under the indenture governing the Notes) to April 11,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Amdocs makes no recommendation as to whether or not holders should tender Notes pursuant to this Offer.</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Notes purchased pursuant to this Offer will cease to be outstanding and will be delivered to the Trustee for cancellation immediately after such purchase. Interest on any Notes purchased by Amdocs pursuant to this Offer will cease to accrue from and after the Expiration Date (unless there is a default in payment of the Repurchase Price).</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Holders of Notes that are not tendered pursuant to this Offer will not have the right after the Expiration Date to exercise the put right described in this Offer to Purchase.</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Pursuant to the Indenture, holders of Notes that are not tendered pursuant to this Offer will still have the right to require Amdocs to repurchase their Notes on March 15, 2019. Such holders will also have the right to require Amdocs to repurchase their Notes upon a designated event, as defined in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Notes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Notes are obligations of Amdocs. Any Notes which remain outstanding after consummation of this Offer will continue to be obligations of Amdocs and will continue to accrue interest and have the benefits of the Indenture. Amdocs is not seeking noteholder approval of any amendments to the Notes or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Principal Amount of Notes Outstanding. </w:t>
      </w:r>
      <w:r>
        <w:rPr>
          <w:rFonts w:ascii="Arial" w:cs="Arial" w:eastAsia="Arial" w:hAnsi="Arial"/>
          <w:sz w:val="17"/>
          <w:szCs w:val="17"/>
          <w:color w:val="auto"/>
        </w:rPr>
        <w:t>As of the date of this notice, there was $1,020,000 aggregate principal amount of Notes outstanding.</w:t>
      </w:r>
    </w:p>
    <w:p>
      <w:pPr>
        <w:spacing w:after="0" w:line="23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CUSIP Numbers. </w:t>
      </w:r>
      <w:r>
        <w:rPr>
          <w:rFonts w:ascii="Arial" w:cs="Arial" w:eastAsia="Arial" w:hAnsi="Arial"/>
          <w:sz w:val="18"/>
          <w:szCs w:val="18"/>
          <w:color w:val="auto"/>
        </w:rPr>
        <w:t>The CUSIP numbers for the Notes are: 02342TAC3 and 02342TAD1. The CUSIP numbers referenced above have been assigned by</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The Notes that remain outstanding after consummation of this Offer will continue to accrue interest until the date of maturity, March 15, 2024,</w:t>
      </w:r>
      <w:r>
        <w:rPr>
          <w:rFonts w:ascii="Arial" w:cs="Arial" w:eastAsia="Arial" w:hAnsi="Arial"/>
          <w:sz w:val="18"/>
          <w:szCs w:val="18"/>
          <w:i w:val="1"/>
          <w:iCs w:val="1"/>
          <w:color w:val="auto"/>
        </w:rPr>
        <w:t xml:space="preserve"> </w:t>
      </w:r>
      <w:r>
        <w:rPr>
          <w:rFonts w:ascii="Arial" w:cs="Arial" w:eastAsia="Arial" w:hAnsi="Arial"/>
          <w:sz w:val="18"/>
          <w:szCs w:val="18"/>
          <w:color w:val="auto"/>
        </w:rPr>
        <w:t>or until the principal of the Notes has been paid. The Notes bear an interest rate of 0.50% per year, payable on March 15 and September 15 of each year, to record holders of the Notes as of the preceding March 1 or September 1.</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The Notes which remain outstanding after consummation of this Offer will continue to be subject to Amdocs’ right to call such Notes for</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Amdocs may redeem the Notes, in whole or in part, at Amdocs’ option, at the redemption price of 100% of principal amount plus accrued and unpaid interest to but excluding the redemption date. The Indenture requires Amdocs to give notice of redemption not more than 60 and not less than 30 days before the redemption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redemption of the Notes can occur prior to the Expiration Date of this Offer.</w:t>
      </w:r>
    </w:p>
    <w:p>
      <w:pPr>
        <w:spacing w:after="0" w:line="225"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Under certain circumstances, the Notes are convertible into 23.6987 ordinary shares for each $1,000 principal amount of the Notes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Amount”). This is equivalent to a conversion price of approximately $42.20 per share. As a result of the quarterly cash dividend to be paid on Amdocs’ ordinary shares on April 17, 2014 to shareholders of record on March 31, 2014, the conversion rate applicable to the Notes will adjust further. In accordance with Amdocs’ obligations under the Indenture, Amdocs will provide notice of that adjustment promptly following such adjustment, which will occur immediately prior to the opening of business on April 1, 2014. A holder may convert the Notes into the Conversion Amount until, but not after, such Notes are properly tendered in this Offer to the Paying Agent, unless the tender of such Notes is properly withdrawn or there is a default in payment of the Repurchase Price. In order to convert the Notes, a holder must present the Notes and a conversion notice meeting the requirements of the Indenture to the Trustee at: The Bank of New York Mellon, 101 Barclay Street, 7 East, New York, New York 10286, Attention: Danny Lee, telephone (212) 815-5813.</w:t>
      </w:r>
    </w:p>
    <w:p>
      <w:pPr>
        <w:spacing w:after="0" w:line="166"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 xml:space="preserve">Resale of Notes. </w:t>
      </w:r>
      <w:r>
        <w:rPr>
          <w:rFonts w:ascii="Arial" w:cs="Arial" w:eastAsia="Arial" w:hAnsi="Arial"/>
          <w:sz w:val="17"/>
          <w:szCs w:val="17"/>
          <w:color w:val="auto"/>
        </w:rPr>
        <w:t>The Notes were originally issued in a private placement pursuant to Rule 144A under the Securities Act and are entitled to the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of a registration rights agreement. On September 23, 2004, the SEC declared effective a resale registration statement relating to the Notes and the ordinary shares issuable upon conversion of the Notes. Amdocs agreed that it would, at its expense, use its reasonable efforts to keep the resale registration statement effective until the earlier of (1) the sale of all registrable securities registered pursuant to the resale registration statement or sold to the public pursuant to Rule 144 under the Securities Act, and (2) the expiration of the holding period referred to in Rule 144(k) under the Securities Act or any successor provision with respect to all registrable securities held by persons who are not affiliates of Amdocs. On August 16, 2012, due to satisfaction of the conditions set forth above, Amdocs filed a post-effective amendment removing from registration the resale registration statement relating to the Notes and the ordinary shares issuable upon conversion of the Notes.</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Trading Market. </w:t>
      </w:r>
      <w:r>
        <w:rPr>
          <w:rFonts w:ascii="Arial" w:cs="Arial" w:eastAsia="Arial" w:hAnsi="Arial"/>
          <w:sz w:val="18"/>
          <w:szCs w:val="18"/>
          <w:color w:val="auto"/>
        </w:rPr>
        <w:t>The Notes are not listed on any securities exchange or automated quotation system. The Notes are traded in the over-the-counter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various dealers, brokers or traders publicly price quotations for the Notes. The following table sets forth, as reported by Bloomberg, the high and low end-of-day bid/offer quotes of the Notes for each quarterly period during the previous two calendar years. In accordance with market practice, the Notes are quoted based on a price per $1,000 principal amount at maturity.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High</w:t>
            </w: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2012</w:t>
            </w: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Quarter ended March 31, 2012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$825.00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June 30, 2012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Quarter ended September 30, 2012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886.40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December 31, 2012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906.25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2013</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2013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Quarter ended June 30, 2013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930.00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2013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977.50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Quarter ended December 31, 2013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950.00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Quarter ending March 31, 2014 (through March 12, 2014)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$956.25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Quotations for securities that are not widely traded may differ from actual trading prices and should be viewed as approximations. Holders are urged to contact their broker to obtain current market prices for the Notes. See “INFORMATION ABOUT AMDOCS — Market Price Information” for information about trading in Amdocs’ ordinary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Right to Require Repurchase Upon Change in Control. </w:t>
      </w:r>
      <w:r>
        <w:rPr>
          <w:rFonts w:ascii="Arial" w:cs="Arial" w:eastAsia="Arial" w:hAnsi="Arial"/>
          <w:sz w:val="18"/>
          <w:szCs w:val="18"/>
          <w:color w:val="auto"/>
        </w:rPr>
        <w:t>Following a Designated Event (as defined in the Indenture), each holder of Notes would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at such holder’s option, to require Amdocs to repurchase all of such holder’s Notes or any portion of such holder’s Notes that is equal to $1,000 or any greater integral multiple of $1,000 at a price equal to 100% of the principal amount of the Notes, plus interest accrued and unpaid to but excluding the repurchase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and Amount of Funds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If all outstanding Notes are tendered and purchased, the aggregate amount of funds required to pay the Repurchase Price and the fees and expenses related to this Offer would be approximately $1.05 million. Amdocs expects to use cash on hand to pay this amount.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 Extensions; Amendments; Termination</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Expiration Date of this Offer is 9:00 a.m., Eastern time, on April 11, 2014. This Offer may not be extended, except as required by applicable law. During any extension of this Offer, all Notes previously tendered pursuant to this Offer (and not properly withdrawn) will remain subject to this Offer and may be accepted for payment by Amdocs, subject to the withdrawal rights of holders.</w:t>
      </w:r>
    </w:p>
    <w:p>
      <w:pPr>
        <w:spacing w:after="0" w:line="18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Amdocs expressly reserves the right, subject to the requirements of the Indenture, the Notes and applicable law: (1) to delay acceptance for payment of or payment for any Notes tendered pursuant to this Offer in the event that Amdocs has not yet received any necessary governmental approvals; and (2) at any time, prior to the expiration of this Offer, or from time to time, to amend the terms of this Offer in any respect.</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Any extension, amendment or termination of this Offer will be followed as promptly as practicable by a public announcement thereof. Without limiting the manner in which Amdocs may choose to make a public announcement of any extension, amendment or termination of this Offer, except as required by law, Amdocs shall have no obligation to publish, advertise, or otherwise communicate any such public announcement, other than by issuing a release to the Dow Jones News Service, except in the case of an announcement of an extension of this Offer, in which case Amdocs shall have no obligation to publish, advertise or otherwise communicate such announcement other than by issuing a notice of such extension by press release or other public announcement, which notice shall be issued no later than 9:00 a.m., Eastern time, on the next business day after the previously scheduled Expiration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this Offer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no conditions to this Offer except for the timely and proper delivery and tender of Notes in accordance with the terms of this Offer.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PROCEDURES FOR TENDERING AND WITHDRAWING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Notes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tender of Notes pursuant to any of the procedures set forth in this Offer to Purchase and in the Letter of Transmittal will constitute the</w:t>
      </w:r>
      <w:r>
        <w:rPr>
          <w:rFonts w:ascii="Arial" w:cs="Arial" w:eastAsia="Arial" w:hAnsi="Arial"/>
          <w:sz w:val="18"/>
          <w:szCs w:val="18"/>
          <w:i w:val="1"/>
          <w:iCs w:val="1"/>
          <w:color w:val="auto"/>
        </w:rPr>
        <w:t xml:space="preserve"> </w:t>
      </w:r>
      <w:r>
        <w:rPr>
          <w:rFonts w:ascii="Arial" w:cs="Arial" w:eastAsia="Arial" w:hAnsi="Arial"/>
          <w:sz w:val="18"/>
          <w:szCs w:val="18"/>
          <w:color w:val="auto"/>
        </w:rPr>
        <w:t>tendering holder’s acceptance of the terms and conditions of this Offer. Amdocs’ acceptance of such Notes for payment will constitute a binding agreement between the tendering holder and Amdocs upon the terms and subject to the conditions of this Offer. The tender of Notes will constitute an agreement to deliver good, marketable and unencumbered title to all tendered Notes prior to the Expiration Date, free and clear of all liens, restrictions, charges and encumbrances and not subject to any adverse claim or right.</w:t>
      </w:r>
    </w:p>
    <w:p>
      <w:pPr>
        <w:spacing w:after="0" w:line="184"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Unless the Notes being tendered are deposited by the holder with the Paying Agent by the Expiration Date (accompanied by a properly completed and duly executed Letter of Transmittal or an Agent’s Message), Amdocs may, at its option, reject such tender. Payment for Notes will be made only against deposit of tendered Notes and delivery of all other required documents.</w:t>
      </w:r>
    </w:p>
    <w:p>
      <w:pPr>
        <w:spacing w:after="0" w:line="18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 alternative, conditional, irregular or contingent tenders will be accepted. By executing a Letter of Transmittal (or facsimile thereof), each tendering holder waives any right to receive any notice of the acceptance of its Notes for payment.</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Tender of Notes. </w:t>
      </w:r>
      <w:r>
        <w:rPr>
          <w:rFonts w:ascii="Arial" w:cs="Arial" w:eastAsia="Arial" w:hAnsi="Arial"/>
          <w:sz w:val="18"/>
          <w:szCs w:val="18"/>
          <w:color w:val="auto"/>
        </w:rPr>
        <w:t>In order for Notes to be validly tendered pursuant to this Offer, the Letter of Transmittal (or facsimile thereof), properly completed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duly executed, together with any required signature guarantees, or an Agent’s Message in connection with a book-entry delivery of Notes, and any other documents required by the Letter of Transmittal, must be received by the Paying Agent at one of its addresses set forth on the back cover of this Offer to Purchase prior to the Expiration Date, and the certificates evidencing tendered Notes must be received by the Paying Agent at one of such addresses or such Notes must be tendered pursuant to the procedures for book-entry transfer set forth below (and a Book-Entry Confirmation must be received by the Paying Agent), in each case prior to the Expiration Date.</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Book-Entry Transfer. </w:t>
      </w:r>
      <w:r>
        <w:rPr>
          <w:rFonts w:ascii="Arial" w:cs="Arial" w:eastAsia="Arial" w:hAnsi="Arial"/>
          <w:sz w:val="17"/>
          <w:szCs w:val="17"/>
          <w:color w:val="auto"/>
        </w:rPr>
        <w:t>The Paying Agent will establish an account with respect to the Notes at DTC for purposes of this Offer within two business days</w:t>
      </w:r>
      <w:r>
        <w:rPr>
          <w:rFonts w:ascii="Arial" w:cs="Arial" w:eastAsia="Arial" w:hAnsi="Arial"/>
          <w:sz w:val="17"/>
          <w:szCs w:val="17"/>
          <w:i w:val="1"/>
          <w:iCs w:val="1"/>
          <w:color w:val="auto"/>
        </w:rPr>
        <w:t xml:space="preserve"> </w:t>
      </w:r>
      <w:r>
        <w:rPr>
          <w:rFonts w:ascii="Arial" w:cs="Arial" w:eastAsia="Arial" w:hAnsi="Arial"/>
          <w:sz w:val="17"/>
          <w:szCs w:val="17"/>
          <w:color w:val="auto"/>
        </w:rPr>
        <w:t>after the date of this Offer to Purchase. Any financial institution that is a DTC participant may make book-entry delivery of Notes by causing DTC to transfer such Notes into the Paying Agent’s account at DTC in accordance with DTC’s Automated Tender Offer Program procedures for such transfer. However, although delivery of Notes may be effected through book-entry transfer into the Paying Agent’s account at DTC, the Letter of Transmittal (or facsimile thereof), properly completed and duly executed, together with any required signature guarantees, or an Agent’s Message and any other documents required by the Letter of Transmittal, must, in any case, be received by the Paying Agent at one of its addresses set forth on the back cover of this Offer to Purchase prior to the Expiration Date in order for such Notes to be validly tendered pursuant to this Offer.</w:t>
      </w:r>
    </w:p>
    <w:p>
      <w:pPr>
        <w:spacing w:after="0" w:line="17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confirmation of a book-entry transfer into the Paying Agent’s account at DTC as described above is referred to as a “Book-Entry Confirmation.” The term “Agent’s Message” means a message transmitted by DTC to, and received by, the Paying Agent and forming a part of a Book-Entry Confirmation that states that DTC has received an express acknowledgement from the DTC participant tendering the Notes that are subject of such Book-Entry Confirmation, that such participant has received, and agrees to be bound by the terms of, the Letter of Transmittal and that Amdocs may enforce such agreement against such participant.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Delivery of documents to DTC does not constitute delivery to the Paying Agent.</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i w:val="1"/>
          <w:iCs w:val="1"/>
          <w:color w:val="auto"/>
        </w:rPr>
        <w:t xml:space="preserve">Signature Guarantees. </w:t>
      </w:r>
      <w:r>
        <w:rPr>
          <w:rFonts w:ascii="Arial" w:cs="Arial" w:eastAsia="Arial" w:hAnsi="Arial"/>
          <w:sz w:val="18"/>
          <w:szCs w:val="18"/>
          <w:color w:val="auto"/>
        </w:rPr>
        <w:t>All signatures on a Letter of Transmittal must be guaranteed by a firm that is a commercial bank, broker, dealer, credit union,</w:t>
      </w:r>
      <w:r>
        <w:rPr>
          <w:rFonts w:ascii="Arial" w:cs="Arial" w:eastAsia="Arial" w:hAnsi="Arial"/>
          <w:sz w:val="18"/>
          <w:szCs w:val="18"/>
          <w:i w:val="1"/>
          <w:iCs w:val="1"/>
          <w:color w:val="auto"/>
        </w:rPr>
        <w:t xml:space="preserve"> </w:t>
      </w:r>
      <w:r>
        <w:rPr>
          <w:rFonts w:ascii="Arial" w:cs="Arial" w:eastAsia="Arial" w:hAnsi="Arial"/>
          <w:sz w:val="18"/>
          <w:szCs w:val="18"/>
          <w:color w:val="auto"/>
        </w:rPr>
        <w:t>savings association or other entity that is a member in good standing of the Securities Transfer Agents Medallion Program, the Stock Exchanges Medallion Program or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New York Stock Exchange, Inc. Medallion Signature Program (each of the foregoing, an “Eligible Institution”);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signatures on a Letter of Transmittal need not be guaranteed if (1) Notes are tendered by a holder who has not completed either the box entitled “Special Delivery Instructions” or “Special Payment Instructions” in the Letter of Transmittal or (2) Notes are tendered for the account of an Eligible Institution.</w:t>
      </w:r>
    </w:p>
    <w:p>
      <w:pPr>
        <w:spacing w:after="0" w:line="166"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i w:val="1"/>
          <w:iCs w:val="1"/>
          <w:color w:val="auto"/>
        </w:rPr>
        <w:t xml:space="preserve">Mutilated, Lost, Stolen or Destroyed Notes. </w:t>
      </w:r>
      <w:r>
        <w:rPr>
          <w:rFonts w:ascii="Arial" w:cs="Arial" w:eastAsia="Arial" w:hAnsi="Arial"/>
          <w:sz w:val="16"/>
          <w:szCs w:val="16"/>
          <w:color w:val="auto"/>
        </w:rPr>
        <w:t>If a holder desires to tender Notes pursuant to this Offer, but any such Note has been mutilated, lost, stolen</w:t>
      </w:r>
      <w:r>
        <w:rPr>
          <w:rFonts w:ascii="Arial" w:cs="Arial" w:eastAsia="Arial" w:hAnsi="Arial"/>
          <w:sz w:val="16"/>
          <w:szCs w:val="16"/>
          <w:i w:val="1"/>
          <w:iCs w:val="1"/>
          <w:color w:val="auto"/>
        </w:rPr>
        <w:t xml:space="preserve"> </w:t>
      </w:r>
      <w:r>
        <w:rPr>
          <w:rFonts w:ascii="Arial" w:cs="Arial" w:eastAsia="Arial" w:hAnsi="Arial"/>
          <w:sz w:val="16"/>
          <w:szCs w:val="16"/>
          <w:color w:val="auto"/>
        </w:rPr>
        <w:t>or destroyed, such holder should write to or telephone the Trustee concerning the procedures for obtaining a replacement Note. Inquiries should be directed to the Trustee at: The Bank of New York Mellon, 101 Barclay Street, 7 East, New York, New York 10286, Attention: Danny Lee, telephone (212) 815-5813.</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Backup Federal Income Tax Withholding. </w:t>
      </w:r>
      <w:r>
        <w:rPr>
          <w:rFonts w:ascii="Arial" w:cs="Arial" w:eastAsia="Arial" w:hAnsi="Arial"/>
          <w:sz w:val="17"/>
          <w:szCs w:val="17"/>
          <w:color w:val="auto"/>
        </w:rPr>
        <w:t>Under the “backup withholding” provisions of U.S. federal income tax law, unless a tendering holder, or his</w:t>
      </w:r>
      <w:r>
        <w:rPr>
          <w:rFonts w:ascii="Arial" w:cs="Arial" w:eastAsia="Arial" w:hAnsi="Arial"/>
          <w:sz w:val="17"/>
          <w:szCs w:val="17"/>
          <w:i w:val="1"/>
          <w:iCs w:val="1"/>
          <w:color w:val="auto"/>
        </w:rPr>
        <w:t xml:space="preserve"> </w:t>
      </w:r>
      <w:r>
        <w:rPr>
          <w:rFonts w:ascii="Arial" w:cs="Arial" w:eastAsia="Arial" w:hAnsi="Arial"/>
          <w:sz w:val="17"/>
          <w:szCs w:val="17"/>
          <w:color w:val="auto"/>
        </w:rPr>
        <w:t>or her assignee (in either case, the “Payee”), satisfies the conditions described in Instruction 8 of the Letter of Transmittal or is otherwise exempt, the aggregate purchase price may be subject to backup withholding tax at a current rate of 28%. To prevent backup withholding, each Payee who is a U.S. person (as defined in the instructions to the IRS Form W-9) should complete and sign the IRS Form W-9 provided in the Letter of Transmittal. Each Payee who is not a U.S. person should complete and sign an appropriate IRS Form W-8. See Instruction 8 of the Letter of Transmittal.</w:t>
      </w:r>
    </w:p>
    <w:p>
      <w:pPr>
        <w:spacing w:after="0" w:line="17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i w:val="1"/>
          <w:iCs w:val="1"/>
          <w:color w:val="auto"/>
        </w:rPr>
        <w:t xml:space="preserve">Effect of the Letter of Transmittal. </w:t>
      </w:r>
      <w:r>
        <w:rPr>
          <w:rFonts w:ascii="Arial" w:cs="Arial" w:eastAsia="Arial" w:hAnsi="Arial"/>
          <w:sz w:val="16"/>
          <w:szCs w:val="16"/>
          <w:color w:val="auto"/>
        </w:rPr>
        <w:t>Subject to, and effective upon, the acceptance for purchase of and payment of the Repurchase Price for Notes</w:t>
      </w:r>
      <w:r>
        <w:rPr>
          <w:rFonts w:ascii="Arial" w:cs="Arial" w:eastAsia="Arial" w:hAnsi="Arial"/>
          <w:sz w:val="16"/>
          <w:szCs w:val="16"/>
          <w:i w:val="1"/>
          <w:iCs w:val="1"/>
          <w:color w:val="auto"/>
        </w:rPr>
        <w:t xml:space="preserve"> </w:t>
      </w:r>
      <w:r>
        <w:rPr>
          <w:rFonts w:ascii="Arial" w:cs="Arial" w:eastAsia="Arial" w:hAnsi="Arial"/>
          <w:sz w:val="16"/>
          <w:szCs w:val="16"/>
          <w:color w:val="auto"/>
        </w:rPr>
        <w:t>tendered thereby, by executing and delivering a Letter of Transmittal, a tendering holder of Notes (1) irrevocably sells, assigns and transfers to, or upon the order of, Amdocs, all right, title and interest in and to all Notes tendered thereby and (2) irrevocably constitutes and appoints the Paying Agent as the true and lawful agent and attorney-in-fact of such holder with respect to such Notes, with full power of substitution and resubstitution (such power of attorney being deemed to be an irrevocable power coupled with an interest) to (a) deliver such Notes, or transfer ownership of such Notes, together with all accompanying evidences of transfer and authenticity, to or upon the order of Amdocs, upon receipt by the Paying Agent, as the undersigned’s agent, of the Repurchase Price,</w:t>
      </w:r>
    </w:p>
    <w:p>
      <w:pPr>
        <w:spacing w:after="0" w:line="5" w:lineRule="exact"/>
        <w:rPr>
          <w:sz w:val="20"/>
          <w:szCs w:val="20"/>
          <w:color w:val="auto"/>
        </w:rPr>
      </w:pPr>
    </w:p>
    <w:p>
      <w:pPr>
        <w:jc w:val="both"/>
        <w:ind w:firstLine="8"/>
        <w:spacing w:after="0" w:line="255"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present such Notes for transfer on the relevant security register and (c) receive all benefits and otherwise exercise all rights of beneficial ownership of such Notes, all in accordance with the terms of this Offer. Notwithstanding the foregoing, except in the exercise of its duties as the Paying Agent, the Paying Agent will have no rights to, or control over, funds it receives from Amdocs.</w:t>
      </w:r>
    </w:p>
    <w:p>
      <w:pPr>
        <w:spacing w:after="0" w:line="19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Determination of Validity. </w:t>
      </w:r>
      <w:r>
        <w:rPr>
          <w:rFonts w:ascii="Arial" w:cs="Arial" w:eastAsia="Arial" w:hAnsi="Arial"/>
          <w:sz w:val="18"/>
          <w:szCs w:val="18"/>
          <w:color w:val="auto"/>
        </w:rPr>
        <w:t>All questions as to the validity, form, eligibility (including time of receipt) and acceptance for payment of tendered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resolved by Amdocs, in its sole discretion, whose determination will be final and binding. Amdocs reserves the absolute right to reject any or all tenders that are not in proper form or the acceptance of which may, in the opinion of Amdocs or its counsel, be unlawful. Amdocs also reserves the absolute right to waive any irregularities as to particular Notes. Amdocs’ interpretation of the terms and conditions of this offer (including the Instructions in the Letter of Transmittal) will be final and binding.</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Unless waived, any irregularities in connection with tenders must be cured within such time as Amdocs shall determine. Tenders of Notes will not be deemed to have been made until such irregularities have been cured or waived. Any Notes received by the Paying Agent that are not properly tendered or delivered and as to which the irregularities have not been cured or waived will be returned by the Paying Agent to the tendering holder, unless otherwise provided in the Letter of Transmittal, promptly following the Expiration Date.</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None of Amdocs, the Paying Agent, the Trustee or any other person shall be obligated to give notification of defects or irregularities in any tender or shall incur any liability for failure to give any such notification.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Letters of Transmittal and Notes must be sent only to the Paying Agent. Do not send Letters of Transmittal or Notes to Amdocs.</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The method of delivery of Letters of Transmittal, Notes and all other required documents, including delivery through DTC, is at the sole option and risk of the tendering holder and the delivery will be deemed made only when actually received by the Paying Agent. In all cases, sufficient time should be allowed to ensure timely delivery.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Holders of Notes should be aware that no guaranteed delivery process is available to tender Notes.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Tenders of Notes may be withdrawn until 9:00 a.m., Eastern time, on April 11, 2014, and, unless already accepted for payment as provided herein, may also be withdrawn at any time after May 12, 2014.</w:t>
      </w:r>
    </w:p>
    <w:p>
      <w:pPr>
        <w:spacing w:after="0" w:line="17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For a withdrawal of a tender of Notes to be effective, a telegram, facsimile transmission or letter must be received by the Paying Agent on or prior to 9:00 a.m., Eastern time, on April 11, 2014, at one of its addresses set forth on the back cover of this Offer to Purchase. Any such notice of withdrawal must</w:t>
      </w:r>
    </w:p>
    <w:p>
      <w:pPr>
        <w:ind w:right="60" w:firstLine="8"/>
        <w:spacing w:after="0" w:line="269"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specify the name of the holder who tendered the Notes to be withdrawn, (2) contain a description of the Notes to be withdrawn and identify the certificate number or numbers shown on the particular Notes (unless such Notes were tendered by book-entry transfer) and the aggregate principal amount represented by such Notes, (3) include a statement that such holder is withdrawing his election to have such principal amount of such Notes purchased and (4) specify the principal amount, if any, of such Notes (which shall be $1,000 or any greater integral multiple of $1,000 thereof) that remains subject to this Offer and that has been or will be delivered for purchase by Amdocs. If the Notes to be withdrawn have been delivered or otherwise identified to the Paying Agent, a signed notice of withdrawal is effective immediately upon receipt by the Paying Agent even if physical release is not yet effected. Any Notes properly withdrawn will be deemed to be not validly tendered for purposes of this Offer.</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Withdrawals may not be revoked. However, withdrawn Notes may be retendered at any time prior to 9:00 a.m., Eastern time, on April 11, 2014, by following one of the procedures described above under “— Tendering Notes.”</w:t>
      </w:r>
    </w:p>
    <w:p>
      <w:pPr>
        <w:spacing w:after="0" w:line="170"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All questions as to the validity, form or eligibility (including time of receipt) of any notice of withdrawal will be resolved by Amdocs, in its sole discretion, whose determination will be final and binding. None of Amdocs, the Paying Agent, the Trustee or any other person shall be obligated to give notification of defects or irregularities in any notice of withdrawal or shall incur any liability for failure to give any such notification.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for Payment</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Upon the terms and subject to the conditions to this Offer (including if this Offer is extended or amended, the terms of such extension or amendment) and applicable law, Amdocs will, promptly after the Expiration Date, purchase, by accepting for payment, and will pay for, all Notes properly tendered prior to the Expiration Date (and not properly withdrawn) pursuant to this Offer.</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purposes of this Offer, Amdocs shall be deemed to have accepted for payment (and thereby to have purchased) tendered Notes as, if and when Amdocs delivers to the Paying Agent written notification of Amdocs’ acceptance of such Notes for payment. Subject to the terms and conditions of this Offer, payment for Notes so accepted will be made by deposit of the consideration therefor with the Paying Agent. The Paying Agent will act as agent for tendering holders for the purpose of receiving payment from Amdocs and transmitting payment to such tendering holders.</w:t>
      </w:r>
    </w:p>
    <w:p>
      <w:pPr>
        <w:spacing w:after="0" w:line="17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In all cases, payment by the Paying Agent to tendering holders will be made only after timely receipt by the Paying Agent of the documentation described above under “— Tendering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AMDOCS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Amdocs Limited was organized under the laws of the Island of Guernsey in 1988. Since 1995, Amdocs Limited has been a holding company for the various subsidiaries that conduct Amdocs’ business on a worldwide basis. Amdocs Limited is registered at the Companies Registry in Guernsey and has been assigned company number 19528, with its registered office situated at Hirzel House, Smith Street, St. Peter Port, Island of Guernsey, GY1 2NG.</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Additional information about Amdocs’ business can be found in its periodic filings with the SEC, including its most recent annual report on Form 20-F, which was filed with the SEC on December 9, 2013 and its report on Form 6-K containing its results for the quarterly period ended December 31, 2013, which was filed with the SEC on February 11, 2014. Please see “AVAILABLE INFORMATION” and “INCORPORATION OF CERTAIN DOCUMENTS BY REFERENCE” for more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Information</w:t>
      </w:r>
    </w:p>
    <w:p>
      <w:pPr>
        <w:spacing w:after="0" w:line="121"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Currently, the Notes are convertible into 23.6987 of our ordinary shares for each $1,000 principal amount of the Notes. This is equivalent to a conversion price of approximately $42.20 per share. As a result of the quarterly cash dividend to be paid on our ordinary shares on April 17, 2014 to shareholders of record on March 31, 2014, the conversion rate applicable to the Notes will adjust further. In accordance with our obligations under the Indenture, we will provide notice of that adjustment promptly following such adjustment, which will occur immediately prior to the opening of business on April 1, 2014. Our ordinary shares were quoted on the New York Stock Exchange under the symbol “DOX” from June 19, 1998 until December 19, 2013. Our ordinary shares ceased being listed on the New York Stock Exchange after market close on December 19, 2013 and commenced being listed on the Nasdaq Global Select Market under the same symbol on December 20, 2013.</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table below sets forth the range of intraday high and low sales prices of the ordinary shares as reported on the New York Stock Exchange or the Nasdaq Global Market, as applicable, beginning with the year ended December 31,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2012</w:t>
            </w:r>
          </w:p>
        </w:tc>
        <w:tc>
          <w:tcPr>
            <w:tcW w:w="2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Quarter ended December 31, 2011</w:t>
            </w:r>
          </w:p>
        </w:tc>
        <w:tc>
          <w:tcPr>
            <w:tcW w:w="3720" w:type="dxa"/>
            <w:vAlign w:val="bottom"/>
            <w:gridSpan w:val="3"/>
          </w:tcPr>
          <w:p>
            <w:pPr>
              <w:jc w:val="right"/>
              <w:ind w:right="300"/>
              <w:spacing w:after="0"/>
              <w:rPr>
                <w:sz w:val="20"/>
                <w:szCs w:val="20"/>
                <w:color w:val="auto"/>
              </w:rPr>
            </w:pPr>
            <w:r>
              <w:rPr>
                <w:rFonts w:ascii="Arial" w:cs="Arial" w:eastAsia="Arial" w:hAnsi="Arial"/>
                <w:sz w:val="18"/>
                <w:szCs w:val="18"/>
                <w:color w:val="auto"/>
              </w:rPr>
              <w:t>$31.06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2012</w:t>
            </w:r>
          </w:p>
        </w:tc>
        <w:tc>
          <w:tcPr>
            <w:tcW w:w="3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Quarter ended June 30, 2012</w:t>
            </w:r>
          </w:p>
        </w:tc>
        <w:tc>
          <w:tcPr>
            <w:tcW w:w="3720" w:type="dxa"/>
            <w:vAlign w:val="bottom"/>
            <w:gridSpan w:val="3"/>
          </w:tcPr>
          <w:p>
            <w:pPr>
              <w:jc w:val="right"/>
              <w:ind w:right="300"/>
              <w:spacing w:after="0"/>
              <w:rPr>
                <w:sz w:val="20"/>
                <w:szCs w:val="20"/>
                <w:color w:val="auto"/>
              </w:rPr>
            </w:pPr>
            <w:r>
              <w:rPr>
                <w:rFonts w:ascii="Arial" w:cs="Arial" w:eastAsia="Arial" w:hAnsi="Arial"/>
                <w:sz w:val="18"/>
                <w:szCs w:val="18"/>
                <w:color w:val="auto"/>
              </w:rPr>
              <w:t>32.39</w:t>
            </w:r>
          </w:p>
        </w:tc>
        <w:tc>
          <w:tcPr>
            <w:tcW w:w="500" w:type="dxa"/>
            <w:vAlign w:val="bottom"/>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2012</w:t>
            </w:r>
          </w:p>
        </w:tc>
        <w:tc>
          <w:tcPr>
            <w:tcW w:w="3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33.79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color w:val="auto"/>
              </w:rPr>
              <w:t>2013</w:t>
            </w:r>
          </w:p>
        </w:tc>
        <w:tc>
          <w:tcPr>
            <w:tcW w:w="2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December 31, 2012</w:t>
            </w:r>
          </w:p>
        </w:tc>
        <w:tc>
          <w:tcPr>
            <w:tcW w:w="3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Quarter ended March 31, 2013</w:t>
            </w:r>
          </w:p>
        </w:tc>
        <w:tc>
          <w:tcPr>
            <w:tcW w:w="3720" w:type="dxa"/>
            <w:vAlign w:val="bottom"/>
            <w:gridSpan w:val="3"/>
          </w:tcPr>
          <w:p>
            <w:pPr>
              <w:jc w:val="right"/>
              <w:ind w:right="300"/>
              <w:spacing w:after="0"/>
              <w:rPr>
                <w:sz w:val="20"/>
                <w:szCs w:val="20"/>
                <w:color w:val="auto"/>
              </w:rPr>
            </w:pPr>
            <w:r>
              <w:rPr>
                <w:rFonts w:ascii="Arial" w:cs="Arial" w:eastAsia="Arial" w:hAnsi="Arial"/>
                <w:sz w:val="18"/>
                <w:szCs w:val="18"/>
                <w:color w:val="auto"/>
              </w:rPr>
              <w:t>36.73</w:t>
            </w:r>
          </w:p>
        </w:tc>
        <w:tc>
          <w:tcPr>
            <w:tcW w:w="500" w:type="dxa"/>
            <w:vAlign w:val="bottom"/>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June 30, 2013</w:t>
            </w:r>
          </w:p>
        </w:tc>
        <w:tc>
          <w:tcPr>
            <w:tcW w:w="3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Quarter ended, September 30, 2013</w:t>
            </w:r>
          </w:p>
        </w:tc>
        <w:tc>
          <w:tcPr>
            <w:tcW w:w="3720" w:type="dxa"/>
            <w:vAlign w:val="bottom"/>
            <w:gridSpan w:val="3"/>
          </w:tcPr>
          <w:p>
            <w:pPr>
              <w:jc w:val="right"/>
              <w:ind w:right="300"/>
              <w:spacing w:after="0"/>
              <w:rPr>
                <w:sz w:val="20"/>
                <w:szCs w:val="20"/>
                <w:color w:val="auto"/>
              </w:rPr>
            </w:pPr>
            <w:r>
              <w:rPr>
                <w:rFonts w:ascii="Arial" w:cs="Arial" w:eastAsia="Arial" w:hAnsi="Arial"/>
                <w:sz w:val="18"/>
                <w:szCs w:val="18"/>
                <w:color w:val="auto"/>
              </w:rPr>
              <w:t>39.01</w:t>
            </w:r>
          </w:p>
        </w:tc>
        <w:tc>
          <w:tcPr>
            <w:tcW w:w="500" w:type="dxa"/>
            <w:vAlign w:val="bottom"/>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Quarter ended December 31, 2013</w:t>
            </w:r>
          </w:p>
        </w:tc>
        <w:tc>
          <w:tcPr>
            <w:tcW w:w="3720" w:type="dxa"/>
            <w:vAlign w:val="bottom"/>
            <w:gridSpan w:val="3"/>
          </w:tcPr>
          <w:p>
            <w:pPr>
              <w:jc w:val="right"/>
              <w:ind w:right="300"/>
              <w:spacing w:after="0"/>
              <w:rPr>
                <w:sz w:val="20"/>
                <w:szCs w:val="20"/>
                <w:color w:val="auto"/>
              </w:rPr>
            </w:pPr>
            <w:r>
              <w:rPr>
                <w:rFonts w:ascii="Arial" w:cs="Arial" w:eastAsia="Arial" w:hAnsi="Arial"/>
                <w:sz w:val="18"/>
                <w:szCs w:val="18"/>
                <w:color w:val="auto"/>
              </w:rPr>
              <w:t>$41.50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Quarter ending March 31, 2014 (through March 12, 2014)</w:t>
            </w:r>
          </w:p>
        </w:tc>
        <w:tc>
          <w:tcPr>
            <w:tcW w:w="3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45.45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12, 2014, the last reported sale price for our ordinary shares was $45.22 per share.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discussion addresses the material U.S. federal income tax considerations relating to this Offer. This summary does not address all aspects of U.S. federal income taxation that may be relevant to a holder in light of the holder’s personal circumstances. This discussion is based on provisions of the Internal Revenue Code of 1986, as amended (the “Code”), applicable Treasury Regulations promulgated or proposed thereunder (“Treasury Regulations”), judicial authority and current administrative rulings and practice, all as in effect as of the date of this Offer to Purchase and all of which are subject to change without notice, possibly on a retroactive basis, or to differing interpretation. This summary addresses the tax consequences to persons described below under “U.S. Holders” who hold Notes as “capital assets” (within the meaning of Section 1221 of the Code) and does not address tax considerations applicable to investors that may be subject to special tax rules, such as banks and other financial institutions; regulated investment companies; tax-exempt organizations; expatriates; insurance companies; traders or dealers in securities or currencies; custodians, nominees or similar financial intermediaries holding Notes for others; persons that hold Notes as a position in a hedging transaction or other risk reduction transactions for tax purposes; persons who own an interest in a partnership or other pass through entity that holds Notes; or persons that have a “functional currency” other than the U.S. dollar. Amdocs has not sought any ruling from the Internal Revenue Service (the “IRS”) with respect to the statements made and the conclusions reached in the following summary, and there can be no assurance that the IRS will agree with such statements and conclusions. In addition, this summary does not address any tax considerations that may arise under state, local or non-U.S. tax laws, nor does it address any U.S. federal alternative minimum tax consequences.</w:t>
      </w:r>
    </w:p>
    <w:p>
      <w:pPr>
        <w:spacing w:after="0" w:line="171"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Holders of Notes should consult their own tax advisors with respect to the application of U.S. federal income tax laws to their particular situation as well as any tax consequences arising under U.S. federal tax laws other than income tax or the laws of any state, local or foreign taxing jurisdiction or under any applicable tax treaty.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discussion herein relates solely to a beneficial owner of Notes who, for U.S. federal income tax purposes, is (1) a citizen or resident of the United States, (2) a corporation (or any other entity taxable as a corporation) created or organized in or under the laws of the United States or any state thereof or the District of Columbia, (3) an estate, the income of which is includible in gross income for U.S. federal income tax purposes regardless of its source, or (4) a trust (a) the administration of which is subject to the primary supervision of a U.S. court and with respect to which one or more U.S. persons have the authority to control all substantial decisions; or (b) if it has a valid election under applicable Treasury Regulations to be treated as a U.S. person. If a partnership (including any entity treated as a partnership or other pass-through entity for U.S. federal income tax purposes) holds a Note, the U.S. federal income tax treatment of a partner in the partnership generally will depend on the status of the partner and the activities of such partnership. Partners and partnerships should consult their tax advisors as to the particular U.S. federal income tax consequences applicable to them.</w:t>
      </w:r>
    </w:p>
    <w:p>
      <w:pPr>
        <w:spacing w:after="0" w:line="166"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Subject to certain exceptions, an individual may be deemed to be a U.S. resident (as opposed to a non-resident alien) by virtue of being present in the United States on at least 31 days in the current calendar year and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U.S. federal income tax as if they were U.S. citizens.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Notes under the Offer</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Upon disposition of a Note pursuant to this Offer, a holder generally will recognize gain or loss equal to the difference between (1) the amount of cash received for the Note and (2) the holder’s adjusted tax basis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Note. For these purposes, the amount of cash received for the Note does not include any amount attributable to accrued but unpaid interest or accrued market discount, which will be taxable as ordinary income unless previously included in gross income. A holder’s adjusted tax basis in a Note generally will equal the cost of the Note to the holder, increased by any market discount previously included in income, and decreased by any amortizable bond premium which the holder previously elected to deduct from gross income on an annual basis (as described in “Amortizable Bond Premium” below and principal payment on the Note). Except as described herein, such gain or loss generally will be capital gain or loss. Such capital gain or loss will be long-term if the holder’s holding period is more than 12 months and will be short-term if the holding period is equal to or less than 12 months. For individual taxpayers, the deductibility of capital losses is subject to limitations.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Discount</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Holders should be aware that a Note that was purchased by a holder after its original issue may be affected by the “market discount” rules of the Code. For this purpose, the market discount on a Note generally will equal the amount, if any, by which the stated redemption price at maturity of the Note immediately after its acquisition exceeded its acquisition price. Subject to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 these provisions generally require a holder who acquires a Note at a market discount to treat as ordinary income any gain recognized on any disposition of that Note, including a sale to Amdocs under this Offer, to the extent of the accrued market discount on that Note at the time of disposition. In general, market discount is treated as accruing on a straight-line basis over the remaining term of the Note as of the time of acquisition, or, at the election of the holder, under a constant yield method.</w:t>
      </w:r>
    </w:p>
    <w:p>
      <w:pPr>
        <w:spacing w:after="0" w:line="17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 holder of a Note acquired at market discount also may have elected to include the market discount in income as it accrued. If a holder so elected, the rules discussed above under this heading “Market Discount” with respect to ordinary income recognition resulting from the disposition of a Note would not apply, and the holder’s tax basis in the Note would be increased by the amount of the market discount included in income at the time it accrued.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Amortizable Bond Premium</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holder that acquired a Note at a premium over its stated principal amount plus accrued interest, disregarding any premium attributable to the Note’s conversion feature, generally could have elected to treat such premium as “Section 171 premium.” If such an election had been made, (1) the amount required to be included in the holder’s income each year with respect to interest on the Note would have been reduced by the amount of Section 171 premium allocable to such year and (2) each year the holder’s tax basis in the Note would have been reduced by the Section 171 premium allocable to such year. If the amortizable bond premium allocable to a year exceeded the amount of interest allocable to that year, the excess would have been allowed as a deduction for that year but only to the extent of the holder’s prior interest inclusions with respect to the Note. If such an election were applicable with respect to a Note, the holder’s tax basis in the Note would be less than it otherwise would have been so that more gain (or less loss) would be realized by the holder upon a disposition of the Note, including a sale to Amdocs under this Offer.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 tax of 3.8% is imposed on the “net investment income” of certain U.S. individuals, trusts and estates for taxable years beginning after December 31, 2012. Among other items, net investment income generally includes gross income from interest and net gain attributable to the disposition of certain property (including debt instruments), less deductions. Interest on Notes and gross proceeds from the sale of Notes are expected to be treated as “net investment income.” U.S. Holders should consult their tax advisors regarding the possible implications of the tax on net investment income in their particular circumstances.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 holder, other than a corporation or other exempt recipient, will be subject to information reporting on the cash received pursuant to the Offer. In addition, under the backup withholding rules of the Code, the Paying Agent generally is required to withhold 28% of all payments to which a holder is entitled, unless the holder (1) is a corporation or comes within other exempt categories and demonstrates this fact or (2) provides its correct tax identification number, certifies under penalties of perjury that the number is correct, certifies as to no loss of exemption from backup withholding and otherwise complies with the applicable requirements of the backup withholding rules. Backup withholding is not an additional tax. Generally, any amounts withheld under the backup withholding rules described above can be refunded or credited against the holder’s U.S. federal income tax liability, if any, provided that such holder furnishes the required information to the IRS in a timely manner. Holders should consult their own tax advisors as to the qualifications for exemption from backup withholding and the procedures for obtaining such exemption.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Non-U.S. holder means a Holder of Notes that is not a U.S. Holder. If you are a Non-U.S. Holder, any capital gain realized by you on the disposition of a Note, including a sale to Amdocs under this Offer will be exempt from U.S. federal income and withholding tax; provided, that:</w:t>
      </w:r>
    </w:p>
    <w:p>
      <w:pPr>
        <w:spacing w:after="0" w:line="76" w:lineRule="exact"/>
        <w:rPr>
          <w:sz w:val="20"/>
          <w:szCs w:val="20"/>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gain is not effectively connected with your conduct of a trade or business in the United States; and</w:t>
      </w:r>
    </w:p>
    <w:p>
      <w:pPr>
        <w:spacing w:after="0" w:line="130" w:lineRule="exact"/>
        <w:rPr>
          <w:rFonts w:ascii="Arial" w:cs="Arial" w:eastAsia="Arial" w:hAnsi="Arial"/>
          <w:sz w:val="18"/>
          <w:szCs w:val="18"/>
          <w:color w:val="auto"/>
        </w:rPr>
      </w:pPr>
    </w:p>
    <w:p>
      <w:pPr>
        <w:ind w:left="5620" w:right="1760" w:hanging="5504"/>
        <w:spacing w:after="0" w:line="449" w:lineRule="auto"/>
        <w:tabs>
          <w:tab w:leader="none" w:pos="4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you are an individual foreign person, you have not been present in the United States for 183 days or more in the taxable year. 17</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PAYING AGENT; FEES AND EXPENSES</w:t>
      </w:r>
    </w:p>
    <w:p>
      <w:pPr>
        <w:spacing w:after="0" w:line="22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Amdocs has retained The Bank of New York Mellon as the Paying Agent in connection with this Offer. Amdocs has agreed to pay the Paying Agent $10,000 for its services as Paying Agent in this Offer. The Paying Agent will also be reimbursed by Amdocs for its reasonable expenses and indemnified by Amdocs against certain liabilities and expenses in connection with this Offer, including certain liabilities under U.S. federal securities laws.</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Directors, officers and regular employees of either Amdocs and its affiliates (who will not be specifically compensated for such services) and the Paying Agent may contact holders of Notes by mail, telephone, telex, telecopy, telegraph and personal interview regarding this Offer and may request brokers, dealers, commercial banks, trust companies and other nominees to forward this Offer to Purchase and related materials to beneficial owners of Notes.</w:t>
      </w:r>
    </w:p>
    <w:p>
      <w:pPr>
        <w:spacing w:after="0" w:line="14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Tendering holders of Notes who tender their Notes directly to the Paying Agent will not be obligated to pay brokers’ fees or commissions or, except as set forth in the Letter of Transmittal, transfer taxes on the purchase of Notes by Amdocs pursuant to this Offer. Amdocs will pay all fees and expenses of the Paying Agent in connection with this Offer.</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Brokers, dealers, commercial banks and trust companies will be reimbursed by Amdocs for customary mailing and handling expenses incurred by them in forwarding material to their customers. Amdocs will not pay any fees or commissions to any broker, dealer or other person (other than the Paying Agent) in connection with the solicitation of tenders of Notes pursuant to this Offer.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Rule 13e-4 under the Exchange Act, Amdocs has filed with the SEC a Tender Offer Statement on Schedule TO (the “Schedule TO”), which contains additional information with respect to this Offer. The Schedule TO, including the exhibits and any amendments thereto, may be examined, and copies may be obtained, at the same places and in the same manner as set forth under “AVAILABLE INFORMATION” and “INCORPORATION OF CERTAIN DOCUMENTS BY REFERENCE.”</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Offer is being made solely by this Offer to Purchase and the related Letter of Transmittal and is being made to all holders of Notes. This Offer is not being made to, nor will tenders be accepted from or on behalf of, holders of Notes in any jurisdiction in which the making of this Offer or the acceptance thereof would violate the laws of such jurisdiction. Amdocs is not aware of any jurisdiction where the making of this Offer is not in compliance with the laws of such jurisdiction. If Amdocs becomes aware of any jurisdiction where the making of this Offer would not be in compliance with such laws, Amdocs will make a good faith effort to comply with any such laws or seek to have such laws declared inapplicable to this Offer. If, after such good faith effort, Amdocs cannot comply with any such applicable laws, this Offer will not be made to (nor will tenders be accepted from or on behalf of) the holders of Notes residing in such jurisdiction.</w:t>
      </w:r>
    </w:p>
    <w:p>
      <w:pPr>
        <w:spacing w:after="0" w:line="18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No person has been authorized to make any recommendation on behalf of Amdocs as to whether any holder should tender or refrain from tendering Notes in this Offer or to give any information or to make any representations other than those contained in this Offer to Purchase and, if made or given, such recommendation, information or representations must not be relied upon as having been authorized. The delivery of this Offer to Purchase shall not, under any circumstances, create any implication that the information contained herein is current as of any time subsequent to the date of such information.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14,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Letter of Transmittal, properly completed and duly executed, together with certificates evidencing Notes and any other required documents should be sent or delivered by holders of Notes or their broker, dealer, commercial bank, trust company or other nominee to the Paying Agent at one of its addresses set forth below or the procedures for book-entry transfer of Notes should be complied with. Any questions or requests for assistance or for additional copies of this Offer to Purchase, the Letter of Transmittal or related documents may be directed to the Paying Agent at one of its addresses or telephone numbers set forth below. Any beneficial owner owning interests in Notes should contact such beneficial owner’s broker, dealer, commercial bank, trust company or other nominee for assistance concerning this Offer.</w:t>
      </w:r>
    </w:p>
    <w:p>
      <w:pPr>
        <w:spacing w:after="0" w:line="193"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4320" w:type="dxa"/>
            <w:vAlign w:val="bottom"/>
          </w:tcPr>
          <w:p>
            <w:pPr>
              <w:jc w:val="center"/>
              <w:ind w:right="170"/>
              <w:spacing w:after="0"/>
              <w:rPr>
                <w:sz w:val="20"/>
                <w:szCs w:val="20"/>
                <w:color w:val="auto"/>
              </w:rPr>
            </w:pPr>
            <w:r>
              <w:rPr>
                <w:rFonts w:ascii="Arial" w:cs="Arial" w:eastAsia="Arial" w:hAnsi="Arial"/>
                <w:sz w:val="18"/>
                <w:szCs w:val="18"/>
                <w:b w:val="1"/>
                <w:bCs w:val="1"/>
                <w:i w:val="1"/>
                <w:iCs w:val="1"/>
                <w:color w:val="auto"/>
                <w:w w:val="88"/>
              </w:rPr>
              <w:t>The Paying Agent for this Offer is:</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4"/>
                <w:szCs w:val="24"/>
                <w:color w:val="auto"/>
              </w:rPr>
            </w:pPr>
          </w:p>
        </w:tc>
        <w:tc>
          <w:tcPr>
            <w:tcW w:w="4320" w:type="dxa"/>
            <w:vAlign w:val="bottom"/>
          </w:tcPr>
          <w:p>
            <w:pPr>
              <w:jc w:val="center"/>
              <w:ind w:right="170"/>
              <w:spacing w:after="0"/>
              <w:rPr>
                <w:sz w:val="20"/>
                <w:szCs w:val="20"/>
                <w:color w:val="auto"/>
              </w:rPr>
            </w:pPr>
            <w:r>
              <w:rPr>
                <w:rFonts w:ascii="Arial" w:cs="Arial" w:eastAsia="Arial" w:hAnsi="Arial"/>
                <w:sz w:val="18"/>
                <w:szCs w:val="18"/>
                <w:color w:val="auto"/>
                <w:w w:val="98"/>
              </w:rPr>
              <w:t>THE BANK OF NEW YORK MELLON</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920" w:type="dxa"/>
            <w:vAlign w:val="bottom"/>
          </w:tcPr>
          <w:p>
            <w:pPr>
              <w:jc w:val="center"/>
              <w:ind w:right="470"/>
              <w:spacing w:after="0"/>
              <w:rPr>
                <w:sz w:val="20"/>
                <w:szCs w:val="20"/>
                <w:color w:val="auto"/>
              </w:rPr>
            </w:pPr>
            <w:r>
              <w:rPr>
                <w:rFonts w:ascii="Arial" w:cs="Arial" w:eastAsia="Arial" w:hAnsi="Arial"/>
                <w:sz w:val="18"/>
                <w:szCs w:val="18"/>
                <w:b w:val="1"/>
                <w:bCs w:val="1"/>
                <w:i w:val="1"/>
                <w:iCs w:val="1"/>
                <w:color w:val="auto"/>
                <w:w w:val="88"/>
              </w:rPr>
              <w:t>By Registered or Certified Mail,</w:t>
            </w:r>
          </w:p>
        </w:tc>
        <w:tc>
          <w:tcPr>
            <w:tcW w:w="43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By Facsimile:</w:t>
            </w:r>
          </w:p>
        </w:tc>
        <w:tc>
          <w:tcPr>
            <w:tcW w:w="2400" w:type="dxa"/>
            <w:vAlign w:val="bottom"/>
          </w:tcPr>
          <w:p>
            <w:pPr>
              <w:jc w:val="center"/>
              <w:ind w:left="710"/>
              <w:spacing w:after="0"/>
              <w:rPr>
                <w:sz w:val="20"/>
                <w:szCs w:val="20"/>
                <w:color w:val="auto"/>
              </w:rPr>
            </w:pPr>
            <w:r>
              <w:rPr>
                <w:rFonts w:ascii="Arial" w:cs="Arial" w:eastAsia="Arial" w:hAnsi="Arial"/>
                <w:sz w:val="18"/>
                <w:szCs w:val="18"/>
                <w:b w:val="1"/>
                <w:bCs w:val="1"/>
                <w:i w:val="1"/>
                <w:iCs w:val="1"/>
                <w:color w:val="auto"/>
                <w:w w:val="91"/>
              </w:rPr>
              <w:t>For Information call:</w:t>
            </w:r>
          </w:p>
        </w:tc>
        <w:tc>
          <w:tcPr>
            <w:tcW w:w="0" w:type="dxa"/>
            <w:vAlign w:val="bottom"/>
          </w:tcPr>
          <w:p>
            <w:pPr>
              <w:spacing w:after="0"/>
              <w:rPr>
                <w:sz w:val="1"/>
                <w:szCs w:val="1"/>
                <w:color w:val="auto"/>
              </w:rPr>
            </w:pPr>
          </w:p>
        </w:tc>
      </w:tr>
      <w:tr>
        <w:trPr>
          <w:trHeight w:val="216"/>
        </w:trPr>
        <w:tc>
          <w:tcPr>
            <w:tcW w:w="2920" w:type="dxa"/>
            <w:vAlign w:val="bottom"/>
          </w:tcPr>
          <w:p>
            <w:pPr>
              <w:jc w:val="center"/>
              <w:ind w:right="450"/>
              <w:spacing w:after="0"/>
              <w:rPr>
                <w:sz w:val="20"/>
                <w:szCs w:val="20"/>
                <w:color w:val="auto"/>
              </w:rPr>
            </w:pPr>
            <w:r>
              <w:rPr>
                <w:rFonts w:ascii="Arial" w:cs="Arial" w:eastAsia="Arial" w:hAnsi="Arial"/>
                <w:sz w:val="18"/>
                <w:szCs w:val="18"/>
                <w:b w:val="1"/>
                <w:bCs w:val="1"/>
                <w:i w:val="1"/>
                <w:iCs w:val="1"/>
                <w:color w:val="auto"/>
                <w:w w:val="89"/>
              </w:rPr>
              <w:t>Overnight Courier</w:t>
            </w:r>
          </w:p>
        </w:tc>
        <w:tc>
          <w:tcPr>
            <w:tcW w:w="4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jc w:val="center"/>
              <w:ind w:right="450"/>
              <w:spacing w:after="0"/>
              <w:rPr>
                <w:sz w:val="20"/>
                <w:szCs w:val="20"/>
                <w:color w:val="auto"/>
              </w:rPr>
            </w:pPr>
            <w:r>
              <w:rPr>
                <w:rFonts w:ascii="Arial" w:cs="Arial" w:eastAsia="Arial" w:hAnsi="Arial"/>
                <w:sz w:val="18"/>
                <w:szCs w:val="18"/>
                <w:b w:val="1"/>
                <w:bCs w:val="1"/>
                <w:i w:val="1"/>
                <w:iCs w:val="1"/>
                <w:color w:val="auto"/>
                <w:w w:val="89"/>
              </w:rPr>
              <w:t>or Hand Delivery:</w:t>
            </w:r>
          </w:p>
        </w:tc>
        <w:tc>
          <w:tcPr>
            <w:tcW w:w="4320" w:type="dxa"/>
            <w:vAlign w:val="bottom"/>
          </w:tcPr>
          <w:p>
            <w:pPr>
              <w:jc w:val="center"/>
              <w:spacing w:after="0"/>
              <w:rPr>
                <w:sz w:val="20"/>
                <w:szCs w:val="20"/>
                <w:color w:val="auto"/>
              </w:rPr>
            </w:pPr>
            <w:r>
              <w:rPr>
                <w:rFonts w:ascii="Arial" w:cs="Arial" w:eastAsia="Arial" w:hAnsi="Arial"/>
                <w:sz w:val="18"/>
                <w:szCs w:val="18"/>
                <w:color w:val="auto"/>
                <w:w w:val="90"/>
              </w:rPr>
              <w:t>(212) 815-5603</w:t>
            </w:r>
          </w:p>
        </w:tc>
        <w:tc>
          <w:tcPr>
            <w:tcW w:w="2400" w:type="dxa"/>
            <w:vAlign w:val="bottom"/>
          </w:tcPr>
          <w:p>
            <w:pPr>
              <w:jc w:val="center"/>
              <w:ind w:left="710"/>
              <w:spacing w:after="0"/>
              <w:rPr>
                <w:sz w:val="20"/>
                <w:szCs w:val="20"/>
                <w:color w:val="auto"/>
              </w:rPr>
            </w:pPr>
            <w:r>
              <w:rPr>
                <w:rFonts w:ascii="Arial" w:cs="Arial" w:eastAsia="Arial" w:hAnsi="Arial"/>
                <w:sz w:val="18"/>
                <w:szCs w:val="18"/>
                <w:color w:val="auto"/>
                <w:w w:val="91"/>
              </w:rPr>
              <w:t>Danny Lee</w:t>
            </w:r>
          </w:p>
        </w:tc>
        <w:tc>
          <w:tcPr>
            <w:tcW w:w="0" w:type="dxa"/>
            <w:vAlign w:val="bottom"/>
          </w:tcPr>
          <w:p>
            <w:pPr>
              <w:spacing w:after="0"/>
              <w:rPr>
                <w:sz w:val="1"/>
                <w:szCs w:val="1"/>
                <w:color w:val="auto"/>
              </w:rPr>
            </w:pPr>
          </w:p>
        </w:tc>
      </w:tr>
      <w:tr>
        <w:trPr>
          <w:trHeight w:val="230"/>
        </w:trPr>
        <w:tc>
          <w:tcPr>
            <w:tcW w:w="2920" w:type="dxa"/>
            <w:vAlign w:val="bottom"/>
            <w:vMerge w:val="restart"/>
          </w:tcPr>
          <w:p>
            <w:pPr>
              <w:jc w:val="center"/>
              <w:ind w:right="470"/>
              <w:spacing w:after="0"/>
              <w:rPr>
                <w:sz w:val="20"/>
                <w:szCs w:val="20"/>
                <w:color w:val="auto"/>
              </w:rPr>
            </w:pPr>
            <w:r>
              <w:rPr>
                <w:rFonts w:ascii="Arial" w:cs="Arial" w:eastAsia="Arial" w:hAnsi="Arial"/>
                <w:sz w:val="18"/>
                <w:szCs w:val="18"/>
                <w:color w:val="auto"/>
                <w:w w:val="89"/>
              </w:rPr>
              <w:t>101 Barclay Street, 7 East</w:t>
            </w:r>
          </w:p>
        </w:tc>
        <w:tc>
          <w:tcPr>
            <w:tcW w:w="4320" w:type="dxa"/>
            <w:vAlign w:val="bottom"/>
          </w:tcPr>
          <w:p>
            <w:pPr>
              <w:jc w:val="center"/>
              <w:spacing w:after="0"/>
              <w:rPr>
                <w:sz w:val="20"/>
                <w:szCs w:val="20"/>
                <w:color w:val="auto"/>
              </w:rPr>
            </w:pPr>
            <w:r>
              <w:rPr>
                <w:rFonts w:ascii="Arial" w:cs="Arial" w:eastAsia="Arial" w:hAnsi="Arial"/>
                <w:sz w:val="18"/>
                <w:szCs w:val="18"/>
                <w:color w:val="auto"/>
                <w:w w:val="92"/>
              </w:rPr>
              <w:t>Attention: Danny Lee</w:t>
            </w:r>
          </w:p>
        </w:tc>
        <w:tc>
          <w:tcPr>
            <w:tcW w:w="2400" w:type="dxa"/>
            <w:vAlign w:val="bottom"/>
          </w:tcPr>
          <w:p>
            <w:pPr>
              <w:jc w:val="center"/>
              <w:ind w:left="710"/>
              <w:spacing w:after="0"/>
              <w:rPr>
                <w:sz w:val="20"/>
                <w:szCs w:val="20"/>
                <w:color w:val="auto"/>
              </w:rPr>
            </w:pPr>
            <w:r>
              <w:rPr>
                <w:rFonts w:ascii="Arial" w:cs="Arial" w:eastAsia="Arial" w:hAnsi="Arial"/>
                <w:sz w:val="18"/>
                <w:szCs w:val="18"/>
                <w:color w:val="auto"/>
                <w:w w:val="90"/>
              </w:rPr>
              <w:t>(212) 815-5813</w:t>
            </w:r>
          </w:p>
        </w:tc>
        <w:tc>
          <w:tcPr>
            <w:tcW w:w="0" w:type="dxa"/>
            <w:vAlign w:val="bottom"/>
          </w:tcPr>
          <w:p>
            <w:pPr>
              <w:spacing w:after="0"/>
              <w:rPr>
                <w:sz w:val="1"/>
                <w:szCs w:val="1"/>
                <w:color w:val="auto"/>
              </w:rPr>
            </w:pPr>
          </w:p>
        </w:tc>
      </w:tr>
      <w:tr>
        <w:trPr>
          <w:trHeight w:val="202"/>
        </w:trPr>
        <w:tc>
          <w:tcPr>
            <w:tcW w:w="2920" w:type="dxa"/>
            <w:vAlign w:val="bottom"/>
            <w:vMerge w:val="continue"/>
          </w:tcPr>
          <w:p>
            <w:pPr>
              <w:spacing w:after="0"/>
              <w:rPr>
                <w:sz w:val="17"/>
                <w:szCs w:val="17"/>
                <w:color w:val="auto"/>
              </w:rPr>
            </w:pPr>
          </w:p>
        </w:tc>
        <w:tc>
          <w:tcPr>
            <w:tcW w:w="4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jc w:val="center"/>
              <w:ind w:right="450"/>
              <w:spacing w:after="0"/>
              <w:rPr>
                <w:sz w:val="20"/>
                <w:szCs w:val="20"/>
                <w:color w:val="auto"/>
              </w:rPr>
            </w:pPr>
            <w:r>
              <w:rPr>
                <w:rFonts w:ascii="Arial" w:cs="Arial" w:eastAsia="Arial" w:hAnsi="Arial"/>
                <w:sz w:val="18"/>
                <w:szCs w:val="18"/>
                <w:color w:val="auto"/>
                <w:w w:val="93"/>
              </w:rPr>
              <w:t>New York, New York 10286</w:t>
            </w:r>
          </w:p>
        </w:tc>
        <w:tc>
          <w:tcPr>
            <w:tcW w:w="43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Confirm by telephone:</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vMerge w:val="restart"/>
          </w:tcPr>
          <w:p>
            <w:pPr>
              <w:jc w:val="center"/>
              <w:ind w:right="450"/>
              <w:spacing w:after="0"/>
              <w:rPr>
                <w:sz w:val="20"/>
                <w:szCs w:val="20"/>
                <w:color w:val="auto"/>
              </w:rPr>
            </w:pPr>
            <w:r>
              <w:rPr>
                <w:rFonts w:ascii="Arial" w:cs="Arial" w:eastAsia="Arial" w:hAnsi="Arial"/>
                <w:sz w:val="18"/>
                <w:szCs w:val="18"/>
                <w:color w:val="auto"/>
                <w:w w:val="93"/>
              </w:rPr>
              <w:t>Attention: Danny Lee</w:t>
            </w:r>
          </w:p>
        </w:tc>
        <w:tc>
          <w:tcPr>
            <w:tcW w:w="4320" w:type="dxa"/>
            <w:vAlign w:val="bottom"/>
          </w:tcPr>
          <w:p>
            <w:pPr>
              <w:jc w:val="center"/>
              <w:spacing w:after="0"/>
              <w:rPr>
                <w:sz w:val="20"/>
                <w:szCs w:val="20"/>
                <w:color w:val="auto"/>
              </w:rPr>
            </w:pPr>
            <w:r>
              <w:rPr>
                <w:rFonts w:ascii="Arial" w:cs="Arial" w:eastAsia="Arial" w:hAnsi="Arial"/>
                <w:sz w:val="18"/>
                <w:szCs w:val="18"/>
                <w:color w:val="auto"/>
                <w:w w:val="90"/>
              </w:rPr>
              <w:t>(212) 815-5813</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4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7" w:name="page28"/>
    <w:bookmarkEnd w:id="27"/>
    <w:p>
      <w:pPr>
        <w:jc w:val="right"/>
        <w:ind w:right="20"/>
        <w:spacing w:after="0"/>
        <w:rPr>
          <w:sz w:val="20"/>
          <w:szCs w:val="20"/>
          <w:color w:val="auto"/>
        </w:rPr>
      </w:pPr>
      <w:r>
        <w:rPr>
          <w:rFonts w:ascii="Arial" w:cs="Arial" w:eastAsia="Arial" w:hAnsi="Arial"/>
          <w:sz w:val="18"/>
          <w:szCs w:val="18"/>
          <w:b w:val="1"/>
          <w:bCs w:val="1"/>
          <w:color w:val="auto"/>
        </w:rPr>
        <w:t>Exhibit (a)(1)(ii)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LETTER OF TRANSMITTAL</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TENDER</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AMDOCS LIMITED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PUT RIGHT AND OFFER TO PURCHASE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DATED MARCH 14, 2014</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CUSIP NUMBERS: 02342TAC3, 02342TAD1(†)</w:t>
      </w:r>
    </w:p>
    <w:p>
      <w:pPr>
        <w:spacing w:after="0" w:line="225" w:lineRule="exact"/>
        <w:rPr>
          <w:sz w:val="20"/>
          <w:szCs w:val="20"/>
          <w:color w:val="auto"/>
        </w:rPr>
      </w:pPr>
    </w:p>
    <w:p>
      <w:pPr>
        <w:jc w:val="center"/>
        <w:ind w:left="380" w:right="400"/>
        <w:spacing w:after="0" w:line="282" w:lineRule="auto"/>
        <w:rPr>
          <w:sz w:val="20"/>
          <w:szCs w:val="20"/>
          <w:color w:val="auto"/>
        </w:rPr>
      </w:pPr>
      <w:r>
        <w:rPr>
          <w:rFonts w:ascii="Arial" w:cs="Arial" w:eastAsia="Arial" w:hAnsi="Arial"/>
          <w:sz w:val="18"/>
          <w:szCs w:val="18"/>
          <w:b w:val="1"/>
          <w:bCs w:val="1"/>
          <w:color w:val="auto"/>
        </w:rPr>
        <w:t>THE OFFER AND WITHDRAWAL RIGHTS WILL EXPIRE AT 9:00 A.M., EASTERN TIME, ON APRIL 11, 2014, AND MAY NOT BE EXTENDED, EXCEPT AS REQUIRED BY APPLICABLE LAW.</w:t>
      </w: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80"/>
        <w:spacing w:after="0"/>
        <w:rPr>
          <w:sz w:val="20"/>
          <w:szCs w:val="20"/>
          <w:color w:val="auto"/>
        </w:rPr>
      </w:pPr>
      <w:r>
        <w:rPr>
          <w:rFonts w:ascii="Arial" w:cs="Arial" w:eastAsia="Arial" w:hAnsi="Arial"/>
          <w:sz w:val="16"/>
          <w:szCs w:val="16"/>
          <w:i w:val="1"/>
          <w:iCs w:val="1"/>
          <w:color w:val="auto"/>
        </w:rPr>
        <w:t>By Registered or Certified Mail,</w:t>
      </w:r>
    </w:p>
    <w:p>
      <w:pPr>
        <w:spacing w:after="0" w:line="46"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Overnight Courier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or Hand Delivery:</w:t>
      </w:r>
    </w:p>
    <w:p>
      <w:pPr>
        <w:spacing w:after="0" w:line="23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101 Barclay Street, 7 East</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New York, New York 10286</w:t>
      </w:r>
    </w:p>
    <w:p>
      <w:pPr>
        <w:spacing w:after="0" w:line="23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Attention: Danny Lee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4160"/>
        <w:spacing w:after="0"/>
        <w:rPr>
          <w:sz w:val="20"/>
          <w:szCs w:val="20"/>
          <w:color w:val="auto"/>
        </w:rPr>
      </w:pPr>
      <w:r>
        <w:rPr>
          <w:rFonts w:ascii="Arial" w:cs="Arial" w:eastAsia="Arial" w:hAnsi="Arial"/>
          <w:sz w:val="18"/>
          <w:szCs w:val="18"/>
          <w:i w:val="1"/>
          <w:iCs w:val="1"/>
          <w:color w:val="auto"/>
        </w:rPr>
        <w:t>The Paying Agent for this Offer 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NEW YORK MELLON</w:t>
      </w:r>
    </w:p>
    <w:p>
      <w:pPr>
        <w:spacing w:after="0" w:line="256" w:lineRule="exact"/>
        <w:rPr>
          <w:sz w:val="20"/>
          <w:szCs w:val="20"/>
          <w:color w:val="auto"/>
        </w:rPr>
      </w:pPr>
    </w:p>
    <w:p>
      <w:pPr>
        <w:jc w:val="right"/>
        <w:ind w:right="960"/>
        <w:spacing w:after="0"/>
        <w:tabs>
          <w:tab w:leader="none" w:pos="1520" w:val="left"/>
        </w:tabs>
        <w:rPr>
          <w:sz w:val="20"/>
          <w:szCs w:val="20"/>
          <w:color w:val="auto"/>
        </w:rPr>
      </w:pPr>
      <w:r>
        <w:rPr>
          <w:rFonts w:ascii="Arial" w:cs="Arial" w:eastAsia="Arial" w:hAnsi="Arial"/>
          <w:sz w:val="18"/>
          <w:szCs w:val="18"/>
          <w:i w:val="1"/>
          <w:iCs w:val="1"/>
          <w:color w:val="auto"/>
        </w:rPr>
        <w:t>By Facsimile:</w:t>
      </w:r>
      <w:r>
        <w:rPr>
          <w:sz w:val="20"/>
          <w:szCs w:val="20"/>
          <w:color w:val="auto"/>
        </w:rPr>
        <w:tab/>
      </w:r>
      <w:r>
        <w:rPr>
          <w:rFonts w:ascii="Arial" w:cs="Arial" w:eastAsia="Arial" w:hAnsi="Arial"/>
          <w:sz w:val="17"/>
          <w:szCs w:val="17"/>
          <w:i w:val="1"/>
          <w:iCs w:val="1"/>
          <w:color w:val="auto"/>
        </w:rPr>
        <w:t>For Information call:</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(212) 815-5603</w:t>
      </w:r>
    </w:p>
    <w:p>
      <w:pPr>
        <w:spacing w:after="0" w:line="23" w:lineRule="exact"/>
        <w:rPr>
          <w:sz w:val="20"/>
          <w:szCs w:val="20"/>
          <w:color w:val="auto"/>
        </w:rPr>
      </w:pPr>
    </w:p>
    <w:p>
      <w:pPr>
        <w:ind w:left="5000" w:right="1160" w:hanging="3929"/>
        <w:spacing w:after="0" w:line="200" w:lineRule="auto"/>
        <w:tabs>
          <w:tab w:leader="none" w:pos="4980" w:val="left"/>
        </w:tabs>
        <w:rPr>
          <w:sz w:val="20"/>
          <w:szCs w:val="20"/>
          <w:color w:val="auto"/>
        </w:rPr>
      </w:pPr>
      <w:r>
        <w:rPr>
          <w:rFonts w:ascii="Arial" w:cs="Arial" w:eastAsia="Arial" w:hAnsi="Arial"/>
          <w:sz w:val="18"/>
          <w:szCs w:val="18"/>
          <w:color w:val="auto"/>
        </w:rPr>
        <w:t>Attention: Danny Lee</w:t>
      </w:r>
      <w:r>
        <w:rPr>
          <w:sz w:val="20"/>
          <w:szCs w:val="20"/>
          <w:color w:val="auto"/>
        </w:rPr>
        <w:tab/>
      </w:r>
      <w:r>
        <w:rPr>
          <w:rFonts w:ascii="Arial" w:cs="Arial" w:eastAsia="Arial" w:hAnsi="Arial"/>
          <w:sz w:val="24"/>
          <w:szCs w:val="24"/>
          <w:color w:val="auto"/>
          <w:vertAlign w:val="subscript"/>
        </w:rPr>
        <w:t>Danny Lee (212) 815-5813</w:t>
      </w:r>
    </w:p>
    <w:p>
      <w:pPr>
        <w:spacing w:after="0" w:line="1" w:lineRule="exact"/>
        <w:rPr>
          <w:sz w:val="20"/>
          <w:szCs w:val="20"/>
          <w:color w:val="auto"/>
        </w:rPr>
      </w:pPr>
    </w:p>
    <w:p>
      <w:pPr>
        <w:jc w:val="center"/>
        <w:ind w:right="3580"/>
        <w:spacing w:after="0"/>
        <w:rPr>
          <w:sz w:val="20"/>
          <w:szCs w:val="20"/>
          <w:color w:val="auto"/>
        </w:rPr>
      </w:pPr>
      <w:r>
        <w:rPr>
          <w:rFonts w:ascii="Arial" w:cs="Arial" w:eastAsia="Arial" w:hAnsi="Arial"/>
          <w:sz w:val="18"/>
          <w:szCs w:val="18"/>
          <w:i w:val="1"/>
          <w:iCs w:val="1"/>
          <w:color w:val="auto"/>
        </w:rPr>
        <w:t>Confirm by telephone:</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(212) 815-5813</w:t>
      </w:r>
    </w:p>
    <w:p>
      <w:pPr>
        <w:spacing w:after="0" w:line="200" w:lineRule="exact"/>
        <w:rPr>
          <w:sz w:val="20"/>
          <w:szCs w:val="20"/>
          <w:color w:val="auto"/>
        </w:rPr>
      </w:pPr>
    </w:p>
    <w:p>
      <w:pPr>
        <w:sectPr>
          <w:pgSz w:w="11900" w:h="16838" w:orient="portrait"/>
          <w:cols w:equalWidth="0" w:num="2">
            <w:col w:w="3420" w:space="720"/>
            <w:col w:w="7300"/>
          </w:cols>
          <w:pgMar w:left="240" w:top="121" w:right="219" w:bottom="1440" w:gutter="0" w:footer="0" w:header="0"/>
          <w:type w:val="continuous"/>
        </w:sectPr>
      </w:pPr>
    </w:p>
    <w:p>
      <w:pPr>
        <w:spacing w:after="0" w:line="3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or transmissions of instructions via a facsimile number other than as set forth above, will not constitute a valid delivery. You must sign this Letter of Transmittal in the appropriate space provided therefor and complete the enclosed IRS Form W-9 (or an appropriate Form W-8, if applicable).</w:t>
      </w:r>
    </w:p>
    <w:p>
      <w:pPr>
        <w:spacing w:after="0" w:line="21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NOTES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1663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166370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20" w:type="dxa"/>
            <w:vAlign w:val="bottom"/>
            <w:tcBorders>
              <w:top w:val="single" w:sz="8" w:color="auto"/>
            </w:tcBorders>
          </w:tcPr>
          <w:p>
            <w:pPr>
              <w:spacing w:after="0"/>
              <w:rPr>
                <w:sz w:val="10"/>
                <w:szCs w:val="10"/>
                <w:color w:val="auto"/>
              </w:rPr>
            </w:pPr>
          </w:p>
        </w:tc>
        <w:tc>
          <w:tcPr>
            <w:tcW w:w="5300" w:type="dxa"/>
            <w:vAlign w:val="bottom"/>
            <w:tcBorders>
              <w:top w:val="single" w:sz="8" w:color="auto"/>
              <w:right w:val="single" w:sz="8" w:color="auto"/>
            </w:tcBorders>
          </w:tcPr>
          <w:p>
            <w:pPr>
              <w:jc w:val="center"/>
              <w:ind w:right="205"/>
              <w:spacing w:after="0" w:line="119" w:lineRule="exact"/>
              <w:rPr>
                <w:sz w:val="20"/>
                <w:szCs w:val="20"/>
                <w:color w:val="auto"/>
              </w:rPr>
            </w:pPr>
            <w:r>
              <w:rPr>
                <w:rFonts w:ascii="Arial" w:cs="Arial" w:eastAsia="Arial" w:hAnsi="Arial"/>
                <w:sz w:val="13"/>
                <w:szCs w:val="13"/>
                <w:b w:val="1"/>
                <w:bCs w:val="1"/>
                <w:color w:val="auto"/>
                <w:w w:val="97"/>
              </w:rPr>
              <w:t>Name(s) and Address(es) of Registered Holder(s)</w:t>
            </w:r>
          </w:p>
        </w:tc>
        <w:tc>
          <w:tcPr>
            <w:tcW w:w="13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Notes Tendered</w:t>
            </w:r>
          </w:p>
        </w:tc>
        <w:tc>
          <w:tcPr>
            <w:tcW w:w="2100" w:type="dxa"/>
            <w:vAlign w:val="bottom"/>
            <w:tcBorders>
              <w:top w:val="single" w:sz="8" w:color="auto"/>
            </w:tcBorders>
          </w:tcPr>
          <w:p>
            <w:pPr>
              <w:spacing w:after="0"/>
              <w:rPr>
                <w:sz w:val="10"/>
                <w:szCs w:val="10"/>
                <w:color w:val="auto"/>
              </w:rPr>
            </w:pPr>
          </w:p>
        </w:tc>
      </w:tr>
      <w:tr>
        <w:trPr>
          <w:trHeight w:val="149"/>
        </w:trPr>
        <w:tc>
          <w:tcPr>
            <w:tcW w:w="420" w:type="dxa"/>
            <w:vAlign w:val="bottom"/>
          </w:tcPr>
          <w:p>
            <w:pPr>
              <w:spacing w:after="0"/>
              <w:rPr>
                <w:sz w:val="12"/>
                <w:szCs w:val="12"/>
                <w:color w:val="auto"/>
              </w:rPr>
            </w:pPr>
          </w:p>
        </w:tc>
        <w:tc>
          <w:tcPr>
            <w:tcW w:w="5300" w:type="dxa"/>
            <w:vAlign w:val="bottom"/>
            <w:tcBorders>
              <w:right w:val="single" w:sz="8" w:color="auto"/>
            </w:tcBorders>
          </w:tcPr>
          <w:p>
            <w:pPr>
              <w:jc w:val="center"/>
              <w:ind w:right="205"/>
              <w:spacing w:after="0" w:line="149" w:lineRule="exact"/>
              <w:rPr>
                <w:sz w:val="20"/>
                <w:szCs w:val="20"/>
                <w:color w:val="auto"/>
              </w:rPr>
            </w:pPr>
            <w:r>
              <w:rPr>
                <w:rFonts w:ascii="Arial" w:cs="Arial" w:eastAsia="Arial" w:hAnsi="Arial"/>
                <w:sz w:val="14"/>
                <w:szCs w:val="14"/>
                <w:b w:val="1"/>
                <w:bCs w:val="1"/>
                <w:color w:val="auto"/>
                <w:w w:val="93"/>
              </w:rPr>
              <w:t>(Please fill in, if blank, exactly as</w:t>
            </w:r>
          </w:p>
        </w:tc>
        <w:tc>
          <w:tcPr>
            <w:tcW w:w="1340" w:type="dxa"/>
            <w:vAlign w:val="bottom"/>
          </w:tcPr>
          <w:p>
            <w:pPr>
              <w:spacing w:after="0"/>
              <w:rPr>
                <w:sz w:val="12"/>
                <w:szCs w:val="12"/>
                <w:color w:val="auto"/>
              </w:rPr>
            </w:pPr>
          </w:p>
        </w:tc>
        <w:tc>
          <w:tcPr>
            <w:tcW w:w="4380" w:type="dxa"/>
            <w:vAlign w:val="bottom"/>
            <w:gridSpan w:val="4"/>
          </w:tcPr>
          <w:p>
            <w:pPr>
              <w:jc w:val="center"/>
              <w:ind w:right="1297"/>
              <w:spacing w:after="0" w:line="149" w:lineRule="exact"/>
              <w:rPr>
                <w:sz w:val="20"/>
                <w:szCs w:val="20"/>
                <w:color w:val="auto"/>
              </w:rPr>
            </w:pPr>
            <w:r>
              <w:rPr>
                <w:rFonts w:ascii="Arial" w:cs="Arial" w:eastAsia="Arial" w:hAnsi="Arial"/>
                <w:sz w:val="14"/>
                <w:szCs w:val="14"/>
                <w:b w:val="1"/>
                <w:bCs w:val="1"/>
                <w:color w:val="auto"/>
                <w:w w:val="91"/>
              </w:rPr>
              <w:t>(Attach additional signed list, if necessary).</w:t>
            </w:r>
          </w:p>
        </w:tc>
      </w:tr>
      <w:tr>
        <w:trPr>
          <w:trHeight w:val="171"/>
        </w:trPr>
        <w:tc>
          <w:tcPr>
            <w:tcW w:w="420" w:type="dxa"/>
            <w:vAlign w:val="bottom"/>
            <w:tcBorders>
              <w:bottom w:val="single" w:sz="8" w:color="auto"/>
            </w:tcBorders>
          </w:tcPr>
          <w:p>
            <w:pPr>
              <w:spacing w:after="0"/>
              <w:rPr>
                <w:sz w:val="14"/>
                <w:szCs w:val="14"/>
                <w:color w:val="auto"/>
              </w:rPr>
            </w:pPr>
          </w:p>
        </w:tc>
        <w:tc>
          <w:tcPr>
            <w:tcW w:w="5300" w:type="dxa"/>
            <w:vAlign w:val="bottom"/>
            <w:tcBorders>
              <w:bottom w:val="single" w:sz="8" w:color="auto"/>
              <w:right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1"/>
              </w:rPr>
              <w:t>name(s) appear(s) on Note(s))</w:t>
            </w:r>
          </w:p>
        </w:tc>
        <w:tc>
          <w:tcPr>
            <w:tcW w:w="1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See Instruction 3.</w:t>
            </w:r>
          </w:p>
        </w:tc>
        <w:tc>
          <w:tcPr>
            <w:tcW w:w="2100" w:type="dxa"/>
            <w:vAlign w:val="bottom"/>
            <w:tcBorders>
              <w:bottom w:val="single" w:sz="8" w:color="auto"/>
            </w:tcBorders>
          </w:tcPr>
          <w:p>
            <w:pPr>
              <w:spacing w:after="0"/>
              <w:rPr>
                <w:sz w:val="14"/>
                <w:szCs w:val="14"/>
                <w:color w:val="auto"/>
              </w:rPr>
            </w:pPr>
          </w:p>
        </w:tc>
      </w:tr>
      <w:tr>
        <w:trPr>
          <w:trHeight w:val="119"/>
        </w:trPr>
        <w:tc>
          <w:tcPr>
            <w:tcW w:w="420" w:type="dxa"/>
            <w:vAlign w:val="bottom"/>
          </w:tcPr>
          <w:p>
            <w:pPr>
              <w:spacing w:after="0"/>
              <w:rPr>
                <w:sz w:val="10"/>
                <w:szCs w:val="10"/>
                <w:color w:val="auto"/>
              </w:rPr>
            </w:pPr>
          </w:p>
        </w:tc>
        <w:tc>
          <w:tcPr>
            <w:tcW w:w="530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ind w:left="700"/>
              <w:spacing w:after="0" w:line="119" w:lineRule="exact"/>
              <w:rPr>
                <w:sz w:val="20"/>
                <w:szCs w:val="20"/>
                <w:color w:val="auto"/>
              </w:rPr>
            </w:pPr>
            <w:r>
              <w:rPr>
                <w:rFonts w:ascii="Arial" w:cs="Arial" w:eastAsia="Arial" w:hAnsi="Arial"/>
                <w:sz w:val="13"/>
                <w:szCs w:val="13"/>
                <w:b w:val="1"/>
                <w:bCs w:val="1"/>
                <w:color w:val="auto"/>
              </w:rPr>
              <w:t>Security</w:t>
            </w:r>
          </w:p>
        </w:tc>
        <w:tc>
          <w:tcPr>
            <w:tcW w:w="780" w:type="dxa"/>
            <w:vAlign w:val="bottom"/>
          </w:tcPr>
          <w:p>
            <w:pPr>
              <w:spacing w:after="0"/>
              <w:rPr>
                <w:sz w:val="10"/>
                <w:szCs w:val="10"/>
                <w:color w:val="auto"/>
              </w:rPr>
            </w:pPr>
          </w:p>
        </w:tc>
        <w:tc>
          <w:tcPr>
            <w:tcW w:w="1040" w:type="dxa"/>
            <w:vAlign w:val="bottom"/>
            <w:tcBorders>
              <w:right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Total Principal</w:t>
            </w:r>
          </w:p>
        </w:tc>
        <w:tc>
          <w:tcPr>
            <w:tcW w:w="460" w:type="dxa"/>
            <w:vAlign w:val="bottom"/>
          </w:tcPr>
          <w:p>
            <w:pPr>
              <w:spacing w:after="0"/>
              <w:rPr>
                <w:sz w:val="10"/>
                <w:szCs w:val="10"/>
                <w:color w:val="auto"/>
              </w:rPr>
            </w:pPr>
          </w:p>
        </w:tc>
        <w:tc>
          <w:tcPr>
            <w:tcW w:w="210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Principal Amount</w:t>
            </w:r>
          </w:p>
        </w:tc>
      </w:tr>
      <w:tr>
        <w:trPr>
          <w:trHeight w:val="185"/>
        </w:trPr>
        <w:tc>
          <w:tcPr>
            <w:tcW w:w="420" w:type="dxa"/>
            <w:vAlign w:val="bottom"/>
          </w:tcPr>
          <w:p>
            <w:pPr>
              <w:spacing w:after="0"/>
              <w:rPr>
                <w:sz w:val="16"/>
                <w:szCs w:val="16"/>
                <w:color w:val="auto"/>
              </w:rPr>
            </w:pPr>
          </w:p>
        </w:tc>
        <w:tc>
          <w:tcPr>
            <w:tcW w:w="5300" w:type="dxa"/>
            <w:vAlign w:val="bottom"/>
            <w:tcBorders>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b w:val="1"/>
                <w:bCs w:val="1"/>
                <w:color w:val="auto"/>
                <w:w w:val="95"/>
              </w:rPr>
              <w:t>Number(s)*</w:t>
            </w:r>
          </w:p>
        </w:tc>
        <w:tc>
          <w:tcPr>
            <w:tcW w:w="1820" w:type="dxa"/>
            <w:vAlign w:val="bottom"/>
            <w:tcBorders>
              <w:bottom w:val="single" w:sz="8" w:color="auto"/>
              <w:right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1"/>
              </w:rPr>
              <w:t>Amount of Notes*</w:t>
            </w:r>
          </w:p>
        </w:tc>
        <w:tc>
          <w:tcPr>
            <w:tcW w:w="4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of Notes Tendered**</w:t>
            </w:r>
          </w:p>
        </w:tc>
      </w:tr>
      <w:tr>
        <w:trPr>
          <w:trHeight w:val="210"/>
        </w:trPr>
        <w:tc>
          <w:tcPr>
            <w:tcW w:w="420" w:type="dxa"/>
            <w:vAlign w:val="bottom"/>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r>
      <w:tr>
        <w:trPr>
          <w:trHeight w:val="210"/>
        </w:trPr>
        <w:tc>
          <w:tcPr>
            <w:tcW w:w="420" w:type="dxa"/>
            <w:vAlign w:val="bottom"/>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r>
      <w:tr>
        <w:trPr>
          <w:trHeight w:val="210"/>
        </w:trPr>
        <w:tc>
          <w:tcPr>
            <w:tcW w:w="420" w:type="dxa"/>
            <w:vAlign w:val="bottom"/>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r>
      <w:tr>
        <w:trPr>
          <w:trHeight w:val="210"/>
        </w:trPr>
        <w:tc>
          <w:tcPr>
            <w:tcW w:w="420" w:type="dxa"/>
            <w:vAlign w:val="bottom"/>
            <w:tcBorders>
              <w:bottom w:val="single" w:sz="8" w:color="auto"/>
            </w:tcBorders>
          </w:tcPr>
          <w:p>
            <w:pPr>
              <w:spacing w:after="0"/>
              <w:rPr>
                <w:sz w:val="18"/>
                <w:szCs w:val="18"/>
                <w:color w:val="auto"/>
              </w:rPr>
            </w:pPr>
          </w:p>
        </w:tc>
        <w:tc>
          <w:tcPr>
            <w:tcW w:w="53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r>
      <w:tr>
        <w:trPr>
          <w:trHeight w:val="211"/>
        </w:trPr>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40" w:type="dxa"/>
            <w:vAlign w:val="bottom"/>
            <w:gridSpan w:val="2"/>
          </w:tcPr>
          <w:p>
            <w:pPr>
              <w:ind w:left="160"/>
              <w:spacing w:after="0"/>
              <w:rPr>
                <w:sz w:val="20"/>
                <w:szCs w:val="20"/>
                <w:color w:val="auto"/>
              </w:rPr>
            </w:pPr>
            <w:r>
              <w:rPr>
                <w:rFonts w:ascii="Arial" w:cs="Arial" w:eastAsia="Arial" w:hAnsi="Arial"/>
                <w:sz w:val="18"/>
                <w:szCs w:val="18"/>
                <w:color w:val="auto"/>
              </w:rPr>
              <w:t>Need not be completed by book-entry holders.</w:t>
            </w: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r>
    </w:tbl>
    <w:p>
      <w:pPr>
        <w:ind w:left="520" w:right="1020" w:hanging="359"/>
        <w:spacing w:after="0" w:line="259" w:lineRule="auto"/>
        <w:tabs>
          <w:tab w:leader="none" w:pos="500" w:val="left"/>
        </w:tabs>
        <w:rPr>
          <w:sz w:val="20"/>
          <w:szCs w:val="20"/>
          <w:color w:val="auto"/>
        </w:rPr>
      </w:pPr>
      <w:r>
        <w:rPr>
          <w:rFonts w:ascii="Arial" w:cs="Arial" w:eastAsia="Arial" w:hAnsi="Arial"/>
          <w:sz w:val="18"/>
          <w:szCs w:val="18"/>
          <w:color w:val="auto"/>
        </w:rPr>
        <w:t>**</w:t>
        <w:tab/>
        <w:t>Unless otherwise indicated, the entire aggregate principal amount represented by the Notes described above will be deemed to have been tendered. See Instruction 2.</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INSTRUCTIONS ACCOMPANYING THIS LETTER OF TRANSMITTAL SHOULD BE READ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CAREFULLY BEFORE THIS LETTER OF TRANSMITTAL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jc w:val="both"/>
        <w:ind w:left="460" w:right="60" w:hanging="452"/>
        <w:spacing w:after="0" w:line="286"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CUSIP numbers referenced above have been assigned by 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ectPr>
          <w:pgSz w:w="11900" w:h="16838" w:orient="portrait"/>
          <w:cols w:equalWidth="0" w:num="1">
            <w:col w:w="11440"/>
          </w:cols>
          <w:pgMar w:left="240" w:top="121" w:right="219" w:bottom="1440" w:gutter="0" w:footer="0" w:header="0"/>
          <w:type w:val="continuous"/>
        </w:sectPr>
      </w:pPr>
    </w:p>
    <w:bookmarkStart w:id="28" w:name="page29"/>
    <w:bookmarkEnd w:id="28"/>
    <w:p>
      <w:pPr>
        <w:ind w:right="16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of Transmittal is to be completed by holders of 0.50% Convertible Senior Notes due 2024 (the “Notes”) of Amdocs Limited, a company organized under the laws of the Island of Guernsey (“Amdocs”), to tender Notes as described in the Notice of Put Right and Offer to Purchase dated March 14, 2014 (as the same may be amended or supplemented from time to time, the “Offer to Purchase”). This Letter of Transmittal serves as the “Repurchase Notice” as specified and required in Section 3.06 of the Indenture (as defined in the Offer to Purchase).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Letter of Transmittal is to be completed either if certificates evidencing Notes are to be forwarded herewith or, unless an Agent’s Message (as defined in the Offer to Purchase) is utilized, if delivery of Notes is to be made by book-entry transfer into the account of The Bank of New York Mellon (the “Paying Agent”) at The Depository Trust Company (“DTC”) pursuant to the procedures for book-entry transfer described in the Offer to Purchase. Holders who tender their Notes by book-entry transfer are referred to herein as “book-entry holders.”</w:t>
      </w:r>
    </w:p>
    <w:p>
      <w:pPr>
        <w:spacing w:after="0" w:line="210" w:lineRule="exact"/>
        <w:rPr>
          <w:sz w:val="20"/>
          <w:szCs w:val="20"/>
          <w:color w:val="auto"/>
        </w:rPr>
      </w:pPr>
    </w:p>
    <w:p>
      <w:pPr>
        <w:ind w:left="460" w:hanging="452"/>
        <w:spacing w:after="0"/>
        <w:tabs>
          <w:tab w:leader="none" w:pos="460" w:val="left"/>
        </w:tabs>
        <w:numPr>
          <w:ilvl w:val="0"/>
          <w:numId w:val="44"/>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TENDERED NOTES ARE ENCLOSED HEREWITH.</w:t>
      </w:r>
    </w:p>
    <w:p>
      <w:pPr>
        <w:spacing w:after="0" w:line="252" w:lineRule="exact"/>
        <w:rPr>
          <w:rFonts w:ascii="MS PGothic" w:cs="MS PGothic" w:eastAsia="MS PGothic" w:hAnsi="MS PGothic"/>
          <w:sz w:val="18"/>
          <w:szCs w:val="18"/>
          <w:color w:val="auto"/>
        </w:rPr>
      </w:pPr>
    </w:p>
    <w:p>
      <w:pPr>
        <w:ind w:left="460" w:right="300" w:hanging="452"/>
        <w:spacing w:after="0" w:line="266" w:lineRule="auto"/>
        <w:tabs>
          <w:tab w:leader="none" w:pos="460" w:val="left"/>
        </w:tabs>
        <w:numPr>
          <w:ilvl w:val="0"/>
          <w:numId w:val="44"/>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TENDERED NOTES ARE BEING DELIVERED BY BOOK-ENTRY TRANSFER MADE TO AN ACCOUNT MAINTAINED BY THE PAYING AGENT WITH DTC AND COMPLETE THE FOLLOWING (ONLY PARTICIPANTS IN DTC MAY DELIVER SHARES BY BOOK-ENTRY TRANSFER):</w:t>
      </w:r>
    </w:p>
    <w:p>
      <w:pPr>
        <w:spacing w:after="0" w:line="207" w:lineRule="exact"/>
        <w:rPr>
          <w:rFonts w:ascii="MS PGothic" w:cs="MS PGothic" w:eastAsia="MS PGothic" w:hAnsi="MS PGothic"/>
          <w:sz w:val="18"/>
          <w:szCs w:val="18"/>
          <w:color w:val="auto"/>
        </w:rPr>
      </w:pPr>
    </w:p>
    <w:p>
      <w:pPr>
        <w:ind w:left="460" w:right="8580"/>
        <w:spacing w:after="0" w:line="563" w:lineRule="auto"/>
        <w:rPr>
          <w:rFonts w:ascii="MS PGothic" w:cs="MS PGothic" w:eastAsia="MS PGothic" w:hAnsi="MS PGothic"/>
          <w:sz w:val="18"/>
          <w:szCs w:val="18"/>
          <w:color w:val="auto"/>
        </w:rPr>
      </w:pPr>
      <w:r>
        <w:rPr>
          <w:rFonts w:ascii="Arial" w:cs="Arial" w:eastAsia="Arial" w:hAnsi="Arial"/>
          <w:sz w:val="16"/>
          <w:szCs w:val="16"/>
          <w:color w:val="auto"/>
        </w:rPr>
        <w:t>Name of Tendering Institution: 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1713865</wp:posOffset>
            </wp:positionH>
            <wp:positionV relativeFrom="paragraph">
              <wp:posOffset>-426720</wp:posOffset>
            </wp:positionV>
            <wp:extent cx="43148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4825" cy="889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-152400</wp:posOffset>
            </wp:positionV>
            <wp:extent cx="4743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4345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DTC 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1793875</wp:posOffset>
            </wp:positionH>
            <wp:positionV relativeFrom="paragraph">
              <wp:posOffset>-10160</wp:posOffset>
            </wp:positionV>
            <wp:extent cx="42291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29100" cy="8890"/>
                    </a:xfrm>
                    <a:prstGeom prst="rect">
                      <a:avLst/>
                    </a:prstGeom>
                    <a:noFill/>
                  </pic:spPr>
                </pic:pic>
              </a:graphicData>
            </a:graphic>
          </wp:anchor>
        </w:drawing>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 SIGNATURES MUST BE PROVIDED ON PAGES 8 AND 9.</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Ladies and Gentlemen:</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By execution hereof, the undersigned hereby acknowledges receipt of the Offer to Purchase and this Letter of Transmittal and Instructions hereto (as the same may be amended or supplemented from time to time, this “Letter of Transmittal”), relating to Amdocs’s offer to purchase any and all of its outstanding Notes, upon the terms and subject to the conditions set forth in the Offer to Purchase. The Offer to Purchase and the Letter of Transmittal collectively constitute the “Offer.”</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Upon the terms and subject to the conditions of the Offer as set forth in the Offer to Purchase and this Letter of Transmittal, the undersigned hereby tenders to Amdocs the principal amount of Notes indicated above.</w:t>
      </w:r>
    </w:p>
    <w:p>
      <w:pPr>
        <w:spacing w:after="0" w:line="17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Subject to, and effective upon, the acceptance for purchase of and payment of the Repurchase Price (as defined in the Offer to Purchase) for Notes tendered hereby, the undersigned hereby (1) irrevocably sells, assigns and transfers to, or upon the order of, Amdocs, all right, title and interest in and to all Notes tendered hereby and (2) irrevocably constitutes and appoints the Paying Agent as the true and lawful agent and attorney-in-fact of the undersigned with respect to such Notes, with full power of substitution and resubstitution (such power of attorney being deemed to be an irrevocable power coupled with an interest) to (a) deliver such Notes, or transfer ownership of such Notes, together with all accompanying evidences of transfer and authenticity, to or upon the order of Amdocs, upon receipt by the Paying Agent, as the undersigned’s agent, of the Repurchase Price, (b) present such Notes for transfer on the relevant security register and (c) receive all benefits and otherwise exercise all rights of beneficial ownership of such Notes, all in accordance with the terms of the Offer as described in the Offer.</w:t>
      </w:r>
    </w:p>
    <w:p>
      <w:pPr>
        <w:spacing w:after="0" w:line="17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undersigned hereby represents and warrants that (1) the undersigned has full power and authority to tender, sell, assign and transfer the Notes tendered hereby and (2) when such Notes are accepted for payment by Amdocs, Amdocs will acquire good, marketable and unencumbered title to the Notes, free and clear of all liens, restrictions, charges and encumbrances, and the same will not be subject to any adverse claim or right. The undersigned, upon request, shall execute and deliver any additional documents deemed by the Paying Agent or Amdocs to be necessary or desirable to complete the sale, assignment and transfer of the Notes tendered hereby.</w:t>
      </w:r>
    </w:p>
    <w:p>
      <w:pPr>
        <w:spacing w:after="0" w:line="18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No authority herein conferred or agreed to be conferred shall be affected by, and all authority herein conferred or agreed to be conferred shall survive, the death or incapacity of the undersigned and any obligation of the undersigned hereunder shall be binding upon the undersigned’s heirs, personal representatives, executors, administrators, successors, assigns, trustees in bankruptcy and other legal representatives.</w:t>
      </w:r>
    </w:p>
    <w:p>
      <w:pPr>
        <w:spacing w:after="0" w:line="166"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Notes tendered pursuant to the Offer may be withdrawn at any time prior to 9:00 a.m., Eastern time, on April 11, 2014 (such time and date, or the latest extension thereof, if extended as required by applicable law, the “Expiration Date”), and, unless theretofore accepted for payment by Amdocs pursuant to the Offer, may also be withdrawn at any time after May 12, 2014. See Instruction 4.</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undersigned understands that tenders of Notes pursuant to any of the procedures described in the Offer to Purchase and in the Instructions hereto will constitute the undersigned’s acceptance of the terms and conditions of the Offer. Amdocs’ acceptance of such Notes for payment will constitute a binding agreement between the undersigned and Amdocs upon the terms and subject to the conditions set forth in the Offer.</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Unless otherwise indicated herein under “Special Payment Instructions,” the Paying Agent will issue the check for the Repurchase Price with respect to Notes accepted for payment and issue or return any certificate(s) for Notes not tendered or not purchased in the name(s) of the registered holder(s) appearing under “Description of Notes Tendered.” Similarly, unless otherwise indicated herein under “Special Delivery Instructions,” the Paying Agent will mail the check for the Repurchase Price with respect to Notes accepted for payment and return any certificate(s) for Notes not tendered or not purchased (and accompanying documents, as appropriate) to the address of the registered holder(s) appearing under “Description of Notes Tendered.” In the event that both the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0" w:name="page31"/>
    <w:bookmarkEnd w:id="30"/>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Delivery Instructions” and the “Special Payment Instructions” boxes are completed, the Paying Agent will issue the check for the Repurchase Price with respect to Notes accepted for payment and return any certificate(s) for Notes not tendered or not purchased in the name(s) of, and deliver such check and return such certificate(s) to, the person(s) so indicated. Any Notes tendered herewith by book-entry transfer that are not purchased will be returned by crediting the DTC account designated above. The undersigned recognizes that Amdocs has no obligation pursuant to the “Special Payment Instructions” to transfer any Notes from the name(s) of the registered holder(s) thereof if Amdocs does not accept for payment any of the Notes tendered hereby.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31" w:name="page32"/>
    <w:bookmarkEnd w:id="31"/>
    <w:p>
      <w:pPr>
        <w:jc w:val="center"/>
        <w:ind w:right="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-127635</wp:posOffset>
            </wp:positionV>
            <wp:extent cx="3481705" cy="2984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81705" cy="2984500"/>
                    </a:xfrm>
                    <a:prstGeom prst="rect">
                      <a:avLst/>
                    </a:prstGeom>
                    <a:noFill/>
                  </pic:spPr>
                </pic:pic>
              </a:graphicData>
            </a:graphic>
          </wp:anchor>
        </w:drawing>
      </w:r>
    </w:p>
    <w:p>
      <w:pPr>
        <w:spacing w:after="0" w:line="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(See Instructions 1, 5, 6, 7 and 8)</w:t>
      </w:r>
    </w:p>
    <w:p>
      <w:pPr>
        <w:spacing w:after="0" w:line="211" w:lineRule="exact"/>
        <w:rPr>
          <w:sz w:val="20"/>
          <w:szCs w:val="20"/>
          <w:color w:val="auto"/>
        </w:rPr>
      </w:pPr>
    </w:p>
    <w:p>
      <w:pPr>
        <w:ind w:right="320" w:firstLine="360"/>
        <w:spacing w:after="0" w:line="286" w:lineRule="auto"/>
        <w:rPr>
          <w:sz w:val="20"/>
          <w:szCs w:val="20"/>
          <w:color w:val="auto"/>
        </w:rPr>
      </w:pPr>
      <w:r>
        <w:rPr>
          <w:rFonts w:ascii="Arial" w:cs="Arial" w:eastAsia="Arial" w:hAnsi="Arial"/>
          <w:sz w:val="17"/>
          <w:szCs w:val="17"/>
          <w:color w:val="auto"/>
        </w:rPr>
        <w:t>To be completed ONLY if certificate(s) representing Notes not tendered or not purchased or the check for the Repurchase Price are to be issued in the name of someone other than the undersigned.</w:t>
      </w:r>
    </w:p>
    <w:p>
      <w:pPr>
        <w:spacing w:after="0" w:line="38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Issue: </w:t>
      </w:r>
      <w:r>
        <w:rPr>
          <w:rFonts w:ascii="MS PGothic" w:cs="MS PGothic" w:eastAsia="MS PGothic" w:hAnsi="MS PGothic"/>
          <w:sz w:val="18"/>
          <w:szCs w:val="18"/>
          <w:color w:val="auto"/>
        </w:rPr>
        <w:t>☐</w:t>
      </w:r>
      <w:r>
        <w:rPr>
          <w:rFonts w:ascii="Arial" w:cs="Arial" w:eastAsia="Arial" w:hAnsi="Arial"/>
          <w:sz w:val="18"/>
          <w:szCs w:val="18"/>
          <w:color w:val="auto"/>
        </w:rPr>
        <w:t xml:space="preserve"> check </w:t>
      </w:r>
      <w:r>
        <w:rPr>
          <w:rFonts w:ascii="MS PGothic" w:cs="MS PGothic" w:eastAsia="MS PGothic" w:hAnsi="MS PGothic"/>
          <w:sz w:val="18"/>
          <w:szCs w:val="18"/>
          <w:color w:val="auto"/>
        </w:rPr>
        <w:t>☐</w:t>
      </w:r>
      <w:r>
        <w:rPr>
          <w:rFonts w:ascii="Arial" w:cs="Arial" w:eastAsia="Arial" w:hAnsi="Arial"/>
          <w:sz w:val="18"/>
          <w:szCs w:val="18"/>
          <w:color w:val="auto"/>
        </w:rPr>
        <w:t xml:space="preserve"> certificates to: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(Please Print)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(Include Zip Code)</w:t>
      </w:r>
    </w:p>
    <w:p>
      <w:pPr>
        <w:spacing w:after="0" w:line="35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(Tax Identification or Social Security No.)</w:t>
      </w:r>
    </w:p>
    <w:p>
      <w:pPr>
        <w:spacing w:after="0" w:line="4"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(See Instruction 8)</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jc w:val="center"/>
        <w:ind w:right="-139"/>
        <w:spacing w:after="0"/>
        <w:rPr>
          <w:sz w:val="20"/>
          <w:szCs w:val="20"/>
          <w:color w:val="auto"/>
        </w:rPr>
      </w:pPr>
      <w:r>
        <w:rPr>
          <w:rFonts w:ascii="Arial" w:cs="Arial" w:eastAsia="Arial" w:hAnsi="Arial"/>
          <w:sz w:val="18"/>
          <w:szCs w:val="18"/>
          <w:b w:val="1"/>
          <w:bCs w:val="1"/>
          <w:color w:val="auto"/>
        </w:rPr>
        <w:t>SPECIAL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-127635</wp:posOffset>
            </wp:positionV>
            <wp:extent cx="3481705" cy="2984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81705" cy="2984500"/>
                    </a:xfrm>
                    <a:prstGeom prst="rect">
                      <a:avLst/>
                    </a:prstGeom>
                    <a:noFill/>
                  </pic:spPr>
                </pic:pic>
              </a:graphicData>
            </a:graphic>
          </wp:anchor>
        </w:drawing>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(See Instructions 1, 5, 6, 7 and 8)</w:t>
      </w:r>
    </w:p>
    <w:p>
      <w:pPr>
        <w:spacing w:after="0" w:line="21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To be completed ONLY if certificate(s) representing Notes not tendered or not purchased or the check for the Repurchase Price are to be sent to someone other than the undersigned or to the undersigned at an address other than that shown above.</w:t>
      </w:r>
    </w:p>
    <w:p>
      <w:pPr>
        <w:spacing w:after="0" w:line="19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Mail: </w:t>
      </w:r>
      <w:r>
        <w:rPr>
          <w:rFonts w:ascii="MS PGothic" w:cs="MS PGothic" w:eastAsia="MS PGothic" w:hAnsi="MS PGothic"/>
          <w:sz w:val="18"/>
          <w:szCs w:val="18"/>
          <w:color w:val="auto"/>
        </w:rPr>
        <w:t>☐</w:t>
      </w:r>
      <w:r>
        <w:rPr>
          <w:rFonts w:ascii="Arial" w:cs="Arial" w:eastAsia="Arial" w:hAnsi="Arial"/>
          <w:sz w:val="18"/>
          <w:szCs w:val="18"/>
          <w:color w:val="auto"/>
        </w:rPr>
        <w:t xml:space="preserve"> check </w:t>
      </w:r>
      <w:r>
        <w:rPr>
          <w:rFonts w:ascii="MS PGothic" w:cs="MS PGothic" w:eastAsia="MS PGothic" w:hAnsi="MS PGothic"/>
          <w:sz w:val="18"/>
          <w:szCs w:val="18"/>
          <w:color w:val="auto"/>
        </w:rPr>
        <w:t>☐</w:t>
      </w:r>
      <w:r>
        <w:rPr>
          <w:rFonts w:ascii="Arial" w:cs="Arial" w:eastAsia="Arial" w:hAnsi="Arial"/>
          <w:sz w:val="18"/>
          <w:szCs w:val="18"/>
          <w:color w:val="auto"/>
        </w:rPr>
        <w:t xml:space="preserve"> certificates to: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(Please Print)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(Include Zip Code)</w:t>
      </w: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(Tax Identification or Social Security No.)</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(See Instruction 8)</w:t>
      </w:r>
    </w:p>
    <w:p>
      <w:pPr>
        <w:sectPr>
          <w:pgSz w:w="11900" w:h="16838" w:orient="portrait"/>
          <w:cols w:equalWidth="0" w:num="2">
            <w:col w:w="5600" w:space="300"/>
            <w:col w:w="5080"/>
          </w:cols>
          <w:pgMar w:left="400" w:top="283" w:right="51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Forming Part of the Terms and Conditions of the Offer</w:t>
      </w:r>
    </w:p>
    <w:p>
      <w:pPr>
        <w:spacing w:after="0" w:line="225" w:lineRule="exact"/>
        <w:rPr>
          <w:sz w:val="20"/>
          <w:szCs w:val="20"/>
          <w:color w:val="auto"/>
        </w:rPr>
      </w:pPr>
    </w:p>
    <w:p>
      <w:pPr>
        <w:ind w:right="40" w:firstLine="464"/>
        <w:spacing w:after="0" w:line="273" w:lineRule="auto"/>
        <w:tabs>
          <w:tab w:leader="none" w:pos="636"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Guarantee of Signatures. </w:t>
      </w:r>
      <w:r>
        <w:rPr>
          <w:rFonts w:ascii="Arial" w:cs="Arial" w:eastAsia="Arial" w:hAnsi="Arial"/>
          <w:sz w:val="17"/>
          <w:szCs w:val="17"/>
          <w:color w:val="auto"/>
        </w:rPr>
        <w:t>No signature guarantee is required on this Letter of Transmittal if: (1) this Letter of Transmittal is signed by the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Notes (which term, for purposes of this document, shall include any DTC participant whose name appears on a security position listing as the owner of Note(s)) tendered herewith, unless such holder(s) has (have) completed either the box entitled “Special Payment Instructions” or the box entitled “Special Delivery Instructions,” or (2) such Notes are tendered for the account of a firm which is a commercial bank, broker, dealer, credit union, savings association or other entity which is a member in good standing of the Securities Transfer Agents Medallion Program, the Stock Exchanges Medallion Program or the New York Stock Exchange, Inc. Medallion Signature Program (each of the foregoing, an “Eligible Institution”). In all other cases, all signatures on this Letter of Transmittal must be guaranteed by an Eligible Institution. See Instruction 5.</w:t>
      </w:r>
    </w:p>
    <w:p>
      <w:pPr>
        <w:spacing w:after="0" w:line="172" w:lineRule="exact"/>
        <w:rPr>
          <w:rFonts w:ascii="Arial" w:cs="Arial" w:eastAsia="Arial" w:hAnsi="Arial"/>
          <w:sz w:val="17"/>
          <w:szCs w:val="17"/>
          <w:b w:val="1"/>
          <w:bCs w:val="1"/>
          <w:color w:val="auto"/>
        </w:rPr>
      </w:pPr>
    </w:p>
    <w:p>
      <w:pPr>
        <w:ind w:right="20" w:firstLine="464"/>
        <w:spacing w:after="0" w:line="272" w:lineRule="auto"/>
        <w:tabs>
          <w:tab w:leader="none" w:pos="636"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Delivery of Letter of Transmittal and Notes; Partial Tenders (Not Applicable to Book-Entry Holders). </w:t>
      </w:r>
      <w:r>
        <w:rPr>
          <w:rFonts w:ascii="Arial" w:cs="Arial" w:eastAsia="Arial" w:hAnsi="Arial"/>
          <w:sz w:val="17"/>
          <w:szCs w:val="17"/>
          <w:color w:val="auto"/>
        </w:rPr>
        <w:t>This Letter of Transmittal is to be</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by holders if Notes are to be forwarded herewith, or, unless an Agent’s Message is utilized, if delivery of Notes is to be made by book-entry transfer pursuant to the procedures set forth in the Offer to Purchase. In order for Notes to be validly tendered pursuant to the Offer, this Letter of Transmittal (or a facsimile hereof), properly completed and duly executed, together with any required signature guarantees, or an Agent’s Message in connection with a book-entry delivery of Notes, and any other documents required by this Letter of Transmittal, must be received by the Paying Agent at one of its addresses set forth on the front cover hereof prior to the Expiration Date and either (1) certificates evidencing tendered Notes must be received by the Paying Agent at such address prior to the Expiration Date or (2) such Notes must be tendered by book-entry transfer and a timely confirmation of such book-entry transfer must be received by the Paying Agent, in each case prior to the Expiration Date.</w:t>
      </w:r>
    </w:p>
    <w:p>
      <w:pPr>
        <w:spacing w:after="0" w:line="17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The method of delivery of this Letter of Transmittal, Notes and all other required documents, including delivery through DTC, is at the sole option and risk of the tendering holder and the delivery will be deemed made only when actually received by the Paying Agent. In all cases, sufficient time should be allowed to ensure timely delivery.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Holders of Notes should be aware that no guaranteed delivery process is available to tender Notes.</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No alternative, conditional, irregular or contingent tenders will be accepted. All tendering holders, by execution of this Letter of Transmittal (or a facsimile hereof), waive any right to receive any notice of the acceptance of its Notes for payment.</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If a holder wishes to tender less than the entire principal amount evidenced by any Note submitted, such holder must fill in the principal amount that is to be tendered in the column entitled “Principal Amount of Notes Tendered,” but only in an amount of $1,000 or any greater integral multiple of $1,000. In the case of a partial tender of Notes, as soon as practicable after the Expiration Date, new certificates for the remainder of the Notes that were evidenced by such holder’s old certificates will be sent to such holder, unless otherwise provided in the appropriate box on this Letter of Transmittal. The entire amount that is represented by Notes delivered to the Paying Agent will be deemed to have been tendered, unless otherwise indicated.</w:t>
      </w:r>
    </w:p>
    <w:p>
      <w:pPr>
        <w:spacing w:after="0" w:line="15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Notes are forwarded to the Paying Agent in multiple deliveries, a properly completed and duly executed Letter of Transmittal must accompany each such delivery.</w:t>
      </w:r>
    </w:p>
    <w:p>
      <w:pPr>
        <w:spacing w:after="0" w:line="166" w:lineRule="exact"/>
        <w:rPr>
          <w:sz w:val="20"/>
          <w:szCs w:val="20"/>
          <w:color w:val="auto"/>
        </w:rPr>
      </w:pPr>
    </w:p>
    <w:p>
      <w:pPr>
        <w:ind w:right="820" w:firstLine="464"/>
        <w:spacing w:after="0" w:line="347" w:lineRule="auto"/>
        <w:tabs>
          <w:tab w:leader="none" w:pos="636"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Inadequate Space. </w:t>
      </w:r>
      <w:r>
        <w:rPr>
          <w:rFonts w:ascii="Arial" w:cs="Arial" w:eastAsia="Arial" w:hAnsi="Arial"/>
          <w:sz w:val="16"/>
          <w:szCs w:val="16"/>
          <w:color w:val="auto"/>
        </w:rPr>
        <w:t>If the space provided herein is inadequate, the security numbers, the principal amount of Notes and any other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should be listed on a separate signed schedule attached hereto and referenced in the box entitled “Description of Notes Tendered.”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33" w:name="page34"/>
    <w:bookmarkEnd w:id="33"/>
    <w:p>
      <w:pPr>
        <w:ind w:firstLine="464"/>
        <w:spacing w:after="0" w:line="282" w:lineRule="auto"/>
        <w:tabs>
          <w:tab w:leader="none" w:pos="63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Withdrawal of Tenders. </w:t>
      </w:r>
      <w:r>
        <w:rPr>
          <w:rFonts w:ascii="Arial" w:cs="Arial" w:eastAsia="Arial" w:hAnsi="Arial"/>
          <w:sz w:val="18"/>
          <w:szCs w:val="18"/>
          <w:color w:val="auto"/>
        </w:rPr>
        <w:t>Tenders of Notes may be withdrawn at any time prior to 9:00 a.m., Eastern time, on the Expiration Date and, unless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for payment pursuant to the Offer, may also be withdrawn at any time after May 12, 2014.</w:t>
      </w:r>
    </w:p>
    <w:p>
      <w:pPr>
        <w:spacing w:after="0" w:line="166"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For a withdrawal of a tender of Notes to be effective, a telegram, facsimile transmission or letter must be received by the Paying Agent on or prior to the Expiration Date at one of its addresses set forth on the front cover hereof. Any such notice of withdrawal must (1) specify the name of the holder who tendered the Notes to be withdrawn, (2) contain a description of the Notes to be withdrawn and identify the certificate number or numbers shown on the particular Notes (unless such Notes were tendered by book-entry transfer) and the aggregate principal amount represented by such Notes, (3) include a statement that such holder is withdrawing his election to have such principal amount of such Notes purchased and (4) specify the principal amount, if any, of such Notes (which shall be $1,000 or any greater integral multiple of $1,000 thereof) that remains subject to the Offer and that has been or will be delivered for purchase by Amdocs. If the Notes to be withdrawn have been delivered or otherwise identified to the Paying Agent, a signed notice of withdrawal is effective immediately upon receipt by the Paying Agent even if physical release is not yet effected. Any Notes properly withdrawn will be deemed to be not validly tendered for purposes of the Offer.</w:t>
      </w:r>
    </w:p>
    <w:p>
      <w:pPr>
        <w:spacing w:after="0" w:line="178" w:lineRule="exact"/>
        <w:rPr>
          <w:sz w:val="20"/>
          <w:szCs w:val="20"/>
          <w:color w:val="auto"/>
        </w:rPr>
      </w:pPr>
    </w:p>
    <w:p>
      <w:pPr>
        <w:ind w:right="220" w:firstLine="464"/>
        <w:spacing w:after="0" w:line="266" w:lineRule="auto"/>
        <w:tabs>
          <w:tab w:leader="none" w:pos="636"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Signatures on Letter of Transmittal, Bond Powers and Endorsements. </w:t>
      </w:r>
      <w:r>
        <w:rPr>
          <w:rFonts w:ascii="Arial" w:cs="Arial" w:eastAsia="Arial" w:hAnsi="Arial"/>
          <w:sz w:val="18"/>
          <w:szCs w:val="18"/>
          <w:color w:val="auto"/>
        </w:rPr>
        <w:t>If this Letter of Transmittal is signed by the registered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tendered hereby, the signature(s) must correspond with the name(s) as written on the face of the Notes without alteration, enlargement or any change whatsoever.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Notes tendered hereby are owned of record by two or more persons, all such persons must sign this Letter of Transmittal.</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any of the tendered Notes are registered in the names of different holders, it will be necessary to complete, sign and submit as many separate Letters of Transmittal as there are different registrations of Notes.</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If this Letter of Transmittal or any Note or bond power is signed by a trustee, executor, administrator, guardian, attorney-in-fact, agent, officer of a corporation or other person acting in a fiduciary or representative capacity, such person must so indicate when signing, and proper evidence satisfactory to Amdocs of such person’s capacity and authority so to act must be submitted.</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this Letter of Transmittal is signed by the registered holder(s) of Notes listed and tendered hereby, no endorsements of Notes or separate bond powers are required, unless payment is to be made to, or Notes not tendered or not purchased are to be issued in the name of, a person other than the registered holder(s), in which case, the Notes tendered hereby must be endorsed or accompanied by appropriate bond powers signed exactly as the name(s) of the registered holder(s) appear(s) on such Notes. Signatures on such Notes or bond powers must be guaranteed by an Eligible Institution.</w:t>
      </w:r>
    </w:p>
    <w:p>
      <w:pPr>
        <w:spacing w:after="0" w:line="167" w:lineRule="exact"/>
        <w:rPr>
          <w:sz w:val="20"/>
          <w:szCs w:val="20"/>
          <w:color w:val="auto"/>
        </w:rPr>
      </w:pPr>
    </w:p>
    <w:p>
      <w:pPr>
        <w:ind w:firstLine="464"/>
        <w:spacing w:after="0" w:line="255" w:lineRule="auto"/>
        <w:tabs>
          <w:tab w:leader="none" w:pos="63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Taxes. </w:t>
      </w:r>
      <w:r>
        <w:rPr>
          <w:rFonts w:ascii="Arial" w:cs="Arial" w:eastAsia="Arial" w:hAnsi="Arial"/>
          <w:sz w:val="18"/>
          <w:szCs w:val="18"/>
          <w:color w:val="auto"/>
        </w:rPr>
        <w:t>Except as set forth in this Instruction 6, Amdocs will pay all transfer taxes, if any, applicable to its purchase of Notes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Offer. If, however, Notes for principal amounts not purchased are to be delivered to, or are to be registered or issued in the name of, any person other than the registered holder of the Notes, or if tendered Notes are registered in the name of any person other than the person signing the Letter of Transmittal, or if a transfer tax is imposed for any reason other than the purchase of Notes by Amdocs pursuant to the Offer, then the amount of any such transfer tax (whether imposed on the registered holder or any other person) will be payable by the person tendering such Note. If satisfactory evidence of payment of such tax or exemption therefrom is not submitted, then the amount of such transfer tax will be deducted from the Repurchase Price otherwise payable to such tendering person.</w:t>
      </w:r>
    </w:p>
    <w:p>
      <w:pPr>
        <w:spacing w:after="0" w:line="189" w:lineRule="exact"/>
        <w:rPr>
          <w:rFonts w:ascii="Arial" w:cs="Arial" w:eastAsia="Arial" w:hAnsi="Arial"/>
          <w:sz w:val="18"/>
          <w:szCs w:val="18"/>
          <w:b w:val="1"/>
          <w:bCs w:val="1"/>
          <w:color w:val="auto"/>
        </w:rPr>
      </w:pPr>
    </w:p>
    <w:p>
      <w:pPr>
        <w:ind w:right="180" w:firstLine="464"/>
        <w:spacing w:after="0" w:line="266" w:lineRule="auto"/>
        <w:tabs>
          <w:tab w:leader="none" w:pos="63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 Payment and Delivery Instructions. </w:t>
      </w:r>
      <w:r>
        <w:rPr>
          <w:rFonts w:ascii="Arial" w:cs="Arial" w:eastAsia="Arial" w:hAnsi="Arial"/>
          <w:sz w:val="18"/>
          <w:szCs w:val="18"/>
          <w:color w:val="auto"/>
        </w:rPr>
        <w:t>If a check for the Repurchase Price with respect to Notes accepted for payment is to be issued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or certificate(s) evidencing Notes not tendered or not purchased are to be issued or returned to, a person other than the signer of this Letter of Transmittal or if a check</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such Notes are to be returned to a person other than the signer of this Letter of Transmittal or to an address of the signer other than that shown in this Letter of Transmittal, the appropriate boxes on this Letter of Transmittal must be completed.</w:t>
      </w:r>
    </w:p>
    <w:p>
      <w:pPr>
        <w:spacing w:after="0" w:line="166" w:lineRule="exact"/>
        <w:rPr>
          <w:sz w:val="20"/>
          <w:szCs w:val="20"/>
          <w:color w:val="auto"/>
        </w:rPr>
      </w:pPr>
    </w:p>
    <w:p>
      <w:pPr>
        <w:ind w:firstLine="464"/>
        <w:spacing w:after="0" w:line="273" w:lineRule="auto"/>
        <w:tabs>
          <w:tab w:leader="none" w:pos="636"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Identification Number. </w:t>
      </w:r>
      <w:r>
        <w:rPr>
          <w:rFonts w:ascii="Arial" w:cs="Arial" w:eastAsia="Arial" w:hAnsi="Arial"/>
          <w:sz w:val="17"/>
          <w:szCs w:val="17"/>
          <w:color w:val="auto"/>
        </w:rPr>
        <w:t>Federal income tax law generally requires that a holder whose tendered Notes are purchased pursuant to the Offer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the Paying Agent with such holder’s correct Taxpayer Identification Number (“TIN”) on the IRS Form W-9 enclosed herein or otherwise establish a basis for exemption from backup withholding. If such holder is an individual, the TIN is his or her social security number. If the Paying Agent is not provided with the TIN or an adequate basis for an exemption, such tendering holder may be subject to a penalty of $50 imposed by the Internal Revenue Service. In addition, the holder may be subject to backup withholding on all reportable payments made pursuant to the Offer. The backup withholding rate is currently 28%. A holder who is not a “U.S. person” as defined in the instructions to the enclosed IRS Form W-9 (the “W-9 Instructions”) should not complete IRS Form W-9 and should instead provide the Paying Agent with an appropriate Form W-8.</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holders are not subject to these backup withholding and reporting requirements. See the enclosed W-9 Instructions for additional instructions.</w:t>
      </w:r>
    </w:p>
    <w:p>
      <w:pPr>
        <w:spacing w:after="0" w:line="24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To prevent backup withholding, each tendering holder of Notes who is a U.S. person (as defined in the W-9 Instructions) must provide its correct TIN by completing the enclosed IRS Form W-9, certifying, among other things, that the holder is a U.S. citizen or other U.S. person, that the TIN provided is correct (or that such holder is awaiting a TIN) and that (1) the holder is exempt from backup withholding, (2) the holder has not been notified by the Internal Revenue Service that such holder is subject to backup withholding as a result of a failure to report all interest or dividends or (3) the Internal Revenue Service has notified the holder that such holder is no longer subject to backup withholding. If the tendering holder of Notes is a nonresident alien or foreign entity not subject to backup withholding, such holder must give the Paying Agent the appropriate IRS Form W-8. These forms may be obtained from the Paying Agent. If the Notes are in more than one name or are not in the name of the actual owner, such holder should consult the W-9 Instructions for information on which TIN to report. If such holder does not have a TIN, such holder should consult the W-9 Instructions for instructions on applying for a TIN and write “applied for” in lieu of its TIN on the IRS Form W-9. Note: Writing “applied for” on the form means that such holder has already applied for a TIN or that such holder intends to apply for one soon. If a holder writes “applied for” on IRS Form W-9, backup withholding at the applicable rate will nevertheless apply to all reportable payments made to such holder until a TIN is provided.</w:t>
      </w:r>
    </w:p>
    <w:p>
      <w:pPr>
        <w:spacing w:after="0" w:line="18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Backup withholding is not an additional federal income tax. Rather, the U.S. federal income tax liability of persons subject to backup withholding will be reduced by the amount of tax withheld. If withholding results in overpayment of taxes, a refund may be obtained from the Internal Revenue Service provided that the required information is timely filed with the Internal Revenue Service.</w:t>
      </w:r>
    </w:p>
    <w:p>
      <w:pPr>
        <w:spacing w:after="0" w:line="177" w:lineRule="exact"/>
        <w:rPr>
          <w:sz w:val="20"/>
          <w:szCs w:val="20"/>
          <w:color w:val="auto"/>
        </w:rPr>
      </w:pPr>
    </w:p>
    <w:p>
      <w:pPr>
        <w:ind w:right="120" w:firstLine="464"/>
        <w:spacing w:after="0" w:line="282" w:lineRule="auto"/>
        <w:tabs>
          <w:tab w:leader="none" w:pos="636"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Conflicts. </w:t>
      </w:r>
      <w:r>
        <w:rPr>
          <w:rFonts w:ascii="Arial" w:cs="Arial" w:eastAsia="Arial" w:hAnsi="Arial"/>
          <w:sz w:val="18"/>
          <w:szCs w:val="18"/>
          <w:color w:val="auto"/>
        </w:rPr>
        <w:t>In the event of any conflicts between the terms of the Offer to Purchase and the terms of this Letter of Transmittal, the terms of the Offer</w:t>
      </w:r>
      <w:r>
        <w:rPr>
          <w:rFonts w:ascii="Arial" w:cs="Arial" w:eastAsia="Arial" w:hAnsi="Arial"/>
          <w:sz w:val="18"/>
          <w:szCs w:val="18"/>
          <w:b w:val="1"/>
          <w:bCs w:val="1"/>
          <w:color w:val="auto"/>
        </w:rPr>
        <w:t xml:space="preserve"> </w:t>
      </w:r>
      <w:r>
        <w:rPr>
          <w:rFonts w:ascii="Arial" w:cs="Arial" w:eastAsia="Arial" w:hAnsi="Arial"/>
          <w:sz w:val="18"/>
          <w:szCs w:val="18"/>
          <w:color w:val="auto"/>
        </w:rPr>
        <w:t>to Purchase will control.</w:t>
      </w:r>
    </w:p>
    <w:p>
      <w:pPr>
        <w:spacing w:after="0" w:line="161" w:lineRule="exact"/>
        <w:rPr>
          <w:rFonts w:ascii="Arial" w:cs="Arial" w:eastAsia="Arial" w:hAnsi="Arial"/>
          <w:sz w:val="18"/>
          <w:szCs w:val="18"/>
          <w:b w:val="1"/>
          <w:bCs w:val="1"/>
          <w:color w:val="auto"/>
        </w:rPr>
      </w:pPr>
    </w:p>
    <w:p>
      <w:pPr>
        <w:ind w:right="100" w:firstLine="464"/>
        <w:spacing w:after="0" w:line="266" w:lineRule="auto"/>
        <w:tabs>
          <w:tab w:leader="none" w:pos="726"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of Conditions. </w:t>
      </w:r>
      <w:r>
        <w:rPr>
          <w:rFonts w:ascii="Arial" w:cs="Arial" w:eastAsia="Arial" w:hAnsi="Arial"/>
          <w:sz w:val="18"/>
          <w:szCs w:val="18"/>
          <w:color w:val="auto"/>
        </w:rPr>
        <w:t>Amdocs reserves the absolute right, subject to the Indenture, dated as of March 5, 2004 between Amdocs and The Bank of</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Mellon (formerly known as The Bank of New York), as Trustee, and applicable law, to amend in any respect or waive any of the specified conditions in the Offer.</w:t>
      </w:r>
    </w:p>
    <w:p>
      <w:pPr>
        <w:spacing w:after="0" w:line="176" w:lineRule="exact"/>
        <w:rPr>
          <w:rFonts w:ascii="Arial" w:cs="Arial" w:eastAsia="Arial" w:hAnsi="Arial"/>
          <w:sz w:val="18"/>
          <w:szCs w:val="18"/>
          <w:b w:val="1"/>
          <w:bCs w:val="1"/>
          <w:color w:val="auto"/>
        </w:rPr>
      </w:pPr>
    </w:p>
    <w:p>
      <w:pPr>
        <w:ind w:right="140" w:firstLine="464"/>
        <w:spacing w:after="0" w:line="289" w:lineRule="auto"/>
        <w:tabs>
          <w:tab w:leader="none" w:pos="717" w:val="left"/>
        </w:tabs>
        <w:numPr>
          <w:ilvl w:val="1"/>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Mutilated, Lost, Stolen or Destroyed Notes. </w:t>
      </w:r>
      <w:r>
        <w:rPr>
          <w:rFonts w:ascii="Arial" w:cs="Arial" w:eastAsia="Arial" w:hAnsi="Arial"/>
          <w:sz w:val="16"/>
          <w:szCs w:val="16"/>
          <w:color w:val="auto"/>
        </w:rPr>
        <w:t>If a holder desires to tender Notes pursuant to the Offer, but any such Note has been mutilated, lost,</w:t>
      </w:r>
      <w:r>
        <w:rPr>
          <w:rFonts w:ascii="Arial" w:cs="Arial" w:eastAsia="Arial" w:hAnsi="Arial"/>
          <w:sz w:val="16"/>
          <w:szCs w:val="16"/>
          <w:b w:val="1"/>
          <w:bCs w:val="1"/>
          <w:color w:val="auto"/>
        </w:rPr>
        <w:t xml:space="preserve"> </w:t>
      </w:r>
      <w:r>
        <w:rPr>
          <w:rFonts w:ascii="Arial" w:cs="Arial" w:eastAsia="Arial" w:hAnsi="Arial"/>
          <w:sz w:val="16"/>
          <w:szCs w:val="16"/>
          <w:color w:val="auto"/>
        </w:rPr>
        <w:t>stolen or destroyed, such holder should write to or telephone the Trustee concerning the procedures for obtaining a replacement Note. Inquiries should be directed to the Trustee at: The Bank of New York Mellon, 101 Barclay Street, 7 East, New York, New York 10286, Attention: Danny Lee, telephone</w:t>
      </w:r>
    </w:p>
    <w:p>
      <w:pPr>
        <w:spacing w:after="0" w:line="1" w:lineRule="exact"/>
        <w:rPr>
          <w:rFonts w:ascii="Arial" w:cs="Arial" w:eastAsia="Arial" w:hAnsi="Arial"/>
          <w:sz w:val="16"/>
          <w:szCs w:val="16"/>
          <w:b w:val="1"/>
          <w:bCs w:val="1"/>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815-5813.</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35" w:name="page36"/>
    <w:bookmarkEnd w:id="35"/>
    <w:p>
      <w:pPr>
        <w:ind w:right="40" w:firstLine="464"/>
        <w:spacing w:after="0" w:line="314" w:lineRule="auto"/>
        <w:tabs>
          <w:tab w:leader="none" w:pos="726"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Questions and Requests for Assistance or Additional Copies. </w:t>
      </w:r>
      <w:r>
        <w:rPr>
          <w:rFonts w:ascii="Arial" w:cs="Arial" w:eastAsia="Arial" w:hAnsi="Arial"/>
          <w:sz w:val="16"/>
          <w:szCs w:val="16"/>
          <w:color w:val="auto"/>
        </w:rPr>
        <w:t>Questions and requests for assistance may be directed to the Paying Agent at its</w:t>
      </w:r>
      <w:r>
        <w:rPr>
          <w:rFonts w:ascii="Arial" w:cs="Arial" w:eastAsia="Arial" w:hAnsi="Arial"/>
          <w:sz w:val="16"/>
          <w:szCs w:val="16"/>
          <w:b w:val="1"/>
          <w:bCs w:val="1"/>
          <w:color w:val="auto"/>
        </w:rPr>
        <w:t xml:space="preserve"> </w:t>
      </w:r>
      <w:r>
        <w:rPr>
          <w:rFonts w:ascii="Arial" w:cs="Arial" w:eastAsia="Arial" w:hAnsi="Arial"/>
          <w:sz w:val="16"/>
          <w:szCs w:val="16"/>
          <w:color w:val="auto"/>
        </w:rPr>
        <w:t>address or telephone numbers set forth on the front cover hereof. Additional copies of the Offer to Purchase, this Letter of Transmittal and all other tender offer materials may be obtained from the Paying Agent or from brokers, dealers, commercial banks or trust companies at Amdocs’ expense.</w:t>
      </w:r>
    </w:p>
    <w:p>
      <w:pPr>
        <w:spacing w:after="0" w:line="142"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Important: This Letter of Transmittal (or a facsimile hereof), properly completed and duly executed, or, if appropriate, an Agent’s Message, together with Notes or confirmation of book-entry transfer and all other required documents, must be received by the Paying Agent not later than the Expiration Date.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270" w:right="459" w:bottom="1440" w:gutter="0" w:footer="0" w:header="0"/>
        </w:sectPr>
      </w:pPr>
    </w:p>
    <w:bookmarkStart w:id="36" w:name="page37"/>
    <w:bookmarkEnd w:id="36"/>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348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6348095"/>
                    </a:xfrm>
                    <a:prstGeom prst="rect">
                      <a:avLst/>
                    </a:prstGeom>
                    <a:noFill/>
                  </pic:spPr>
                </pic:pic>
              </a:graphicData>
            </a:graphic>
          </wp:anchor>
        </w:drawing>
        <w:t>IMPORTANT</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 HERE AND COMPLETE ENCLOSED FORM IRS W-9 (OR APPROPRIATE FORM W-8)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 of Holder(s)</w:t>
      </w:r>
    </w:p>
    <w:p>
      <w:pPr>
        <w:spacing w:after="0" w:line="211"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2014</w:t>
      </w:r>
    </w:p>
    <w:p>
      <w:pPr>
        <w:spacing w:after="0" w:line="252" w:lineRule="exact"/>
        <w:rPr>
          <w:sz w:val="20"/>
          <w:szCs w:val="20"/>
          <w:color w:val="auto"/>
        </w:rPr>
      </w:pPr>
    </w:p>
    <w:p>
      <w:pPr>
        <w:ind w:left="20"/>
        <w:spacing w:after="0" w:line="312" w:lineRule="auto"/>
        <w:rPr>
          <w:sz w:val="20"/>
          <w:szCs w:val="20"/>
          <w:color w:val="auto"/>
        </w:rPr>
      </w:pPr>
      <w:r>
        <w:rPr>
          <w:rFonts w:ascii="Arial" w:cs="Arial" w:eastAsia="Arial" w:hAnsi="Arial"/>
          <w:sz w:val="16"/>
          <w:szCs w:val="16"/>
          <w:color w:val="auto"/>
        </w:rPr>
        <w:t>(Must be signed by the registered holder(s) exactly as name(s) appear(s) on Notes or on a security position listing or by person(s) authorized to become registered holder(s) by endorsements and documents transmitted herewith. If signature is by a trustee, executor, administrator, guardian, attorney-in-fact, officer of a corporation or other acting in a fiduciary or representative capacity, please provide the following information. See Instruction 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(Please Print)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Capacity (Full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(Include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or Social Security No.:</w:t>
      </w: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GUARANTEE OF SIGNATURE(S)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(SEE INSTRUCTIONS 1 AND 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(Please Print)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(Please Print)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(Include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25" w:lineRule="exact"/>
        <w:rPr>
          <w:sz w:val="20"/>
          <w:szCs w:val="20"/>
          <w:color w:val="auto"/>
        </w:rPr>
      </w:pPr>
    </w:p>
    <w:p>
      <w:pPr>
        <w:spacing w:after="0"/>
        <w:tabs>
          <w:tab w:leader="none" w:pos="3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2014</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300" w:top="324" w:right="5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507"/>
        </w:trPr>
        <w:tc>
          <w:tcPr>
            <w:tcW w:w="1920" w:type="dxa"/>
            <w:vAlign w:val="bottom"/>
            <w:gridSpan w:val="2"/>
          </w:tcPr>
          <w:p>
            <w:pPr>
              <w:spacing w:after="0"/>
              <w:rPr>
                <w:sz w:val="20"/>
                <w:szCs w:val="20"/>
                <w:color w:val="auto"/>
              </w:rPr>
            </w:pPr>
            <w:r>
              <w:rPr>
                <w:rFonts w:ascii="Arial" w:cs="Arial" w:eastAsia="Arial" w:hAnsi="Arial"/>
                <w:sz w:val="13"/>
                <w:szCs w:val="13"/>
                <w:color w:val="auto"/>
              </w:rPr>
              <w:t xml:space="preserve">Form </w:t>
            </w:r>
            <w:r>
              <w:rPr>
                <w:rFonts w:ascii="Arial" w:cs="Arial" w:eastAsia="Arial" w:hAnsi="Arial"/>
                <w:sz w:val="36"/>
                <w:szCs w:val="36"/>
                <w:b w:val="1"/>
                <w:bCs w:val="1"/>
                <w:color w:val="auto"/>
              </w:rPr>
              <w:t>W-9</w:t>
            </w:r>
          </w:p>
        </w:tc>
        <w:tc>
          <w:tcPr>
            <w:tcW w:w="1540" w:type="dxa"/>
            <w:vAlign w:val="bottom"/>
          </w:tcPr>
          <w:p>
            <w:pPr>
              <w:spacing w:after="0"/>
              <w:rPr>
                <w:sz w:val="24"/>
                <w:szCs w:val="24"/>
                <w:color w:val="auto"/>
              </w:rPr>
            </w:pPr>
          </w:p>
        </w:tc>
        <w:tc>
          <w:tcPr>
            <w:tcW w:w="4880" w:type="dxa"/>
            <w:vAlign w:val="bottom"/>
            <w:gridSpan w:val="3"/>
          </w:tcPr>
          <w:p>
            <w:pPr>
              <w:ind w:left="820"/>
              <w:spacing w:after="0"/>
              <w:rPr>
                <w:sz w:val="20"/>
                <w:szCs w:val="20"/>
                <w:color w:val="auto"/>
              </w:rPr>
            </w:pPr>
            <w:r>
              <w:rPr>
                <w:rFonts w:ascii="Arial" w:cs="Arial" w:eastAsia="Arial" w:hAnsi="Arial"/>
                <w:sz w:val="25"/>
                <w:szCs w:val="25"/>
                <w:b w:val="1"/>
                <w:bCs w:val="1"/>
                <w:color w:val="auto"/>
              </w:rPr>
              <w:t>Request for Taxpayer</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Give Form to the</w:t>
            </w:r>
          </w:p>
        </w:tc>
        <w:tc>
          <w:tcPr>
            <w:tcW w:w="0" w:type="dxa"/>
            <w:vAlign w:val="bottom"/>
          </w:tcPr>
          <w:p>
            <w:pPr>
              <w:spacing w:after="0"/>
              <w:rPr>
                <w:sz w:val="1"/>
                <w:szCs w:val="1"/>
                <w:color w:val="auto"/>
              </w:rPr>
            </w:pPr>
          </w:p>
        </w:tc>
      </w:tr>
      <w:tr>
        <w:trPr>
          <w:trHeight w:val="91"/>
        </w:trPr>
        <w:tc>
          <w:tcPr>
            <w:tcW w:w="1920" w:type="dxa"/>
            <w:vAlign w:val="bottom"/>
            <w:gridSpan w:val="2"/>
          </w:tcPr>
          <w:p>
            <w:pPr>
              <w:spacing w:after="0" w:line="91" w:lineRule="exact"/>
              <w:rPr>
                <w:sz w:val="20"/>
                <w:szCs w:val="20"/>
                <w:color w:val="auto"/>
              </w:rPr>
            </w:pPr>
            <w:r>
              <w:rPr>
                <w:rFonts w:ascii="Arial" w:cs="Arial" w:eastAsia="Arial" w:hAnsi="Arial"/>
                <w:sz w:val="9"/>
                <w:szCs w:val="9"/>
                <w:color w:val="auto"/>
              </w:rPr>
              <w:t>(Rev. August 2013)</w:t>
            </w:r>
          </w:p>
        </w:tc>
        <w:tc>
          <w:tcPr>
            <w:tcW w:w="6420" w:type="dxa"/>
            <w:vAlign w:val="bottom"/>
            <w:gridSpan w:val="4"/>
            <w:vMerge w:val="restart"/>
          </w:tcPr>
          <w:p>
            <w:pPr>
              <w:ind w:left="1320"/>
              <w:spacing w:after="0"/>
              <w:rPr>
                <w:sz w:val="20"/>
                <w:szCs w:val="20"/>
                <w:color w:val="auto"/>
              </w:rPr>
            </w:pPr>
            <w:r>
              <w:rPr>
                <w:rFonts w:ascii="Arial" w:cs="Arial" w:eastAsia="Arial" w:hAnsi="Arial"/>
                <w:sz w:val="25"/>
                <w:szCs w:val="25"/>
                <w:b w:val="1"/>
                <w:bCs w:val="1"/>
                <w:color w:val="auto"/>
              </w:rPr>
              <w:t>Identification Number and Certification</w:t>
            </w: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requester. Do not</w:t>
            </w:r>
          </w:p>
        </w:tc>
        <w:tc>
          <w:tcPr>
            <w:tcW w:w="0" w:type="dxa"/>
            <w:vAlign w:val="bottom"/>
          </w:tcPr>
          <w:p>
            <w:pPr>
              <w:spacing w:after="0"/>
              <w:rPr>
                <w:sz w:val="1"/>
                <w:szCs w:val="1"/>
                <w:color w:val="auto"/>
              </w:rPr>
            </w:pPr>
          </w:p>
        </w:tc>
      </w:tr>
      <w:tr>
        <w:trPr>
          <w:trHeight w:val="98"/>
        </w:trPr>
        <w:tc>
          <w:tcPr>
            <w:tcW w:w="1920" w:type="dxa"/>
            <w:vAlign w:val="bottom"/>
            <w:gridSpan w:val="2"/>
          </w:tcPr>
          <w:p>
            <w:pPr>
              <w:spacing w:after="0" w:line="98" w:lineRule="exact"/>
              <w:rPr>
                <w:sz w:val="20"/>
                <w:szCs w:val="20"/>
                <w:color w:val="auto"/>
              </w:rPr>
            </w:pPr>
            <w:r>
              <w:rPr>
                <w:rFonts w:ascii="Arial" w:cs="Arial" w:eastAsia="Arial" w:hAnsi="Arial"/>
                <w:sz w:val="11"/>
                <w:szCs w:val="11"/>
                <w:color w:val="auto"/>
              </w:rPr>
              <w:t>Department of the Treasury</w:t>
            </w:r>
          </w:p>
        </w:tc>
        <w:tc>
          <w:tcPr>
            <w:tcW w:w="642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Internal Revenue Service</w:t>
            </w:r>
          </w:p>
        </w:tc>
        <w:tc>
          <w:tcPr>
            <w:tcW w:w="642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send to the IRS.</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4880" w:type="dxa"/>
            <w:vAlign w:val="bottom"/>
            <w:gridSpan w:val="3"/>
          </w:tcPr>
          <w:p>
            <w:pPr>
              <w:ind w:left="40"/>
              <w:spacing w:after="0"/>
              <w:rPr>
                <w:sz w:val="20"/>
                <w:szCs w:val="20"/>
                <w:color w:val="auto"/>
              </w:rPr>
            </w:pPr>
            <w:r>
              <w:rPr>
                <w:rFonts w:ascii="Arial" w:cs="Arial" w:eastAsia="Arial" w:hAnsi="Arial"/>
                <w:sz w:val="13"/>
                <w:szCs w:val="13"/>
                <w:color w:val="auto"/>
              </w:rPr>
              <w:t>Name (as shown on your income tax return)</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4880" w:type="dxa"/>
            <w:vAlign w:val="bottom"/>
            <w:gridSpan w:val="3"/>
          </w:tcPr>
          <w:p>
            <w:pPr>
              <w:ind w:left="40"/>
              <w:spacing w:after="0"/>
              <w:rPr>
                <w:sz w:val="20"/>
                <w:szCs w:val="20"/>
                <w:color w:val="auto"/>
              </w:rPr>
            </w:pPr>
            <w:r>
              <w:rPr>
                <w:rFonts w:ascii="Arial" w:cs="Arial" w:eastAsia="Arial" w:hAnsi="Arial"/>
                <w:sz w:val="13"/>
                <w:szCs w:val="13"/>
                <w:color w:val="auto"/>
              </w:rPr>
              <w:t>Business name/disregarded entity name, if different from above</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4880" w:type="dxa"/>
            <w:vAlign w:val="bottom"/>
            <w:gridSpan w:val="3"/>
          </w:tcPr>
          <w:p>
            <w:pPr>
              <w:ind w:left="40"/>
              <w:spacing w:after="0" w:line="102" w:lineRule="exact"/>
              <w:rPr>
                <w:sz w:val="20"/>
                <w:szCs w:val="20"/>
                <w:color w:val="auto"/>
              </w:rPr>
            </w:pPr>
            <w:r>
              <w:rPr>
                <w:rFonts w:ascii="Arial" w:cs="Arial" w:eastAsia="Arial" w:hAnsi="Arial"/>
                <w:sz w:val="11"/>
                <w:szCs w:val="11"/>
                <w:color w:val="auto"/>
              </w:rPr>
              <w:t>Check appropriate box for federal tax classification:</w:t>
            </w:r>
          </w:p>
        </w:tc>
        <w:tc>
          <w:tcPr>
            <w:tcW w:w="1040" w:type="dxa"/>
            <w:vAlign w:val="bottom"/>
            <w:tcBorders>
              <w:right w:val="single" w:sz="8" w:color="auto"/>
            </w:tcBorders>
            <w:gridSpan w:val="2"/>
            <w:vMerge w:val="restart"/>
          </w:tcPr>
          <w:p>
            <w:pPr>
              <w:ind w:left="100"/>
              <w:spacing w:after="0" w:line="242" w:lineRule="exact"/>
              <w:rPr>
                <w:sz w:val="20"/>
                <w:szCs w:val="20"/>
                <w:color w:val="auto"/>
              </w:rPr>
            </w:pPr>
            <w:r>
              <w:rPr>
                <w:rFonts w:ascii="MS PGothic" w:cs="MS PGothic" w:eastAsia="MS PGothic" w:hAnsi="MS PGothic"/>
                <w:sz w:val="21"/>
                <w:szCs w:val="21"/>
                <w:color w:val="auto"/>
                <w:w w:val="96"/>
              </w:rPr>
              <w:t>☐</w:t>
            </w:r>
            <w:r>
              <w:rPr>
                <w:rFonts w:ascii="Arial" w:cs="Arial" w:eastAsia="Arial" w:hAnsi="Arial"/>
                <w:sz w:val="13"/>
                <w:szCs w:val="13"/>
                <w:color w:val="auto"/>
                <w:w w:val="96"/>
              </w:rPr>
              <w:t xml:space="preserve"> Trust/estate</w:t>
            </w:r>
          </w:p>
        </w:tc>
        <w:tc>
          <w:tcPr>
            <w:tcW w:w="2040" w:type="dxa"/>
            <w:vAlign w:val="bottom"/>
            <w:gridSpan w:val="5"/>
          </w:tcPr>
          <w:p>
            <w:pPr>
              <w:ind w:left="160"/>
              <w:spacing w:after="0" w:line="102" w:lineRule="exact"/>
              <w:rPr>
                <w:sz w:val="20"/>
                <w:szCs w:val="20"/>
                <w:color w:val="auto"/>
              </w:rPr>
            </w:pPr>
            <w:r>
              <w:rPr>
                <w:rFonts w:ascii="Arial" w:cs="Arial" w:eastAsia="Arial" w:hAnsi="Arial"/>
                <w:sz w:val="11"/>
                <w:szCs w:val="11"/>
                <w:color w:val="auto"/>
              </w:rPr>
              <w:t>Exemptions (see instructions):</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4880" w:type="dxa"/>
            <w:vAlign w:val="bottom"/>
            <w:gridSpan w:val="3"/>
          </w:tcPr>
          <w:p>
            <w:pPr>
              <w:ind w:left="40"/>
              <w:spacing w:after="0" w:line="242" w:lineRule="exact"/>
              <w:rPr>
                <w:sz w:val="20"/>
                <w:szCs w:val="20"/>
                <w:color w:val="auto"/>
              </w:rPr>
            </w:pPr>
            <w:r>
              <w:rPr>
                <w:rFonts w:ascii="MS PGothic" w:cs="MS PGothic" w:eastAsia="MS PGothic" w:hAnsi="MS PGothic"/>
                <w:sz w:val="21"/>
                <w:szCs w:val="21"/>
                <w:color w:val="auto"/>
                <w:w w:val="99"/>
              </w:rPr>
              <w:t>☐</w:t>
            </w:r>
            <w:r>
              <w:rPr>
                <w:rFonts w:ascii="Arial" w:cs="Arial" w:eastAsia="Arial" w:hAnsi="Arial"/>
                <w:sz w:val="13"/>
                <w:szCs w:val="13"/>
                <w:color w:val="auto"/>
                <w:w w:val="99"/>
              </w:rPr>
              <w:t xml:space="preserve"> Individual/sole proprietor  </w:t>
            </w:r>
            <w:r>
              <w:rPr>
                <w:rFonts w:ascii="MS PGothic" w:cs="MS PGothic" w:eastAsia="MS PGothic" w:hAnsi="MS PGothic"/>
                <w:sz w:val="21"/>
                <w:szCs w:val="21"/>
                <w:color w:val="auto"/>
                <w:w w:val="99"/>
              </w:rPr>
              <w:t>☐</w:t>
            </w:r>
            <w:r>
              <w:rPr>
                <w:rFonts w:ascii="Arial" w:cs="Arial" w:eastAsia="Arial" w:hAnsi="Arial"/>
                <w:sz w:val="13"/>
                <w:szCs w:val="13"/>
                <w:color w:val="auto"/>
                <w:w w:val="99"/>
              </w:rPr>
              <w:t xml:space="preserve"> C Corporation </w:t>
            </w:r>
            <w:r>
              <w:rPr>
                <w:rFonts w:ascii="MS PGothic" w:cs="MS PGothic" w:eastAsia="MS PGothic" w:hAnsi="MS PGothic"/>
                <w:sz w:val="21"/>
                <w:szCs w:val="21"/>
                <w:color w:val="auto"/>
                <w:w w:val="99"/>
              </w:rPr>
              <w:t>☐</w:t>
            </w:r>
            <w:r>
              <w:rPr>
                <w:rFonts w:ascii="Arial" w:cs="Arial" w:eastAsia="Arial" w:hAnsi="Arial"/>
                <w:sz w:val="13"/>
                <w:szCs w:val="13"/>
                <w:color w:val="auto"/>
                <w:w w:val="99"/>
              </w:rPr>
              <w:t xml:space="preserve"> S Corporation </w:t>
            </w:r>
            <w:r>
              <w:rPr>
                <w:rFonts w:ascii="MS PGothic" w:cs="MS PGothic" w:eastAsia="MS PGothic" w:hAnsi="MS PGothic"/>
                <w:sz w:val="21"/>
                <w:szCs w:val="21"/>
                <w:color w:val="auto"/>
                <w:w w:val="99"/>
              </w:rPr>
              <w:t>☐</w:t>
            </w:r>
            <w:r>
              <w:rPr>
                <w:rFonts w:ascii="Arial" w:cs="Arial" w:eastAsia="Arial" w:hAnsi="Arial"/>
                <w:sz w:val="13"/>
                <w:szCs w:val="13"/>
                <w:color w:val="auto"/>
                <w:w w:val="99"/>
              </w:rPr>
              <w:t xml:space="preserve"> Partnership</w:t>
            </w:r>
          </w:p>
        </w:tc>
        <w:tc>
          <w:tcPr>
            <w:tcW w:w="1040" w:type="dxa"/>
            <w:vAlign w:val="bottom"/>
            <w:tcBorders>
              <w:right w:val="single" w:sz="8" w:color="auto"/>
            </w:tcBorders>
            <w:gridSpan w:val="2"/>
            <w:vMerge w:val="continue"/>
          </w:tcPr>
          <w:p>
            <w:pPr>
              <w:spacing w:after="0"/>
              <w:rPr>
                <w:sz w:val="23"/>
                <w:szCs w:val="23"/>
                <w:color w:val="auto"/>
              </w:rPr>
            </w:pPr>
          </w:p>
        </w:tc>
        <w:tc>
          <w:tcPr>
            <w:tcW w:w="2040" w:type="dxa"/>
            <w:vAlign w:val="bottom"/>
            <w:gridSpan w:val="5"/>
          </w:tcPr>
          <w:p>
            <w:pPr>
              <w:ind w:left="160"/>
              <w:spacing w:after="0"/>
              <w:rPr>
                <w:sz w:val="20"/>
                <w:szCs w:val="20"/>
                <w:color w:val="auto"/>
              </w:rPr>
            </w:pPr>
            <w:r>
              <w:rPr>
                <w:rFonts w:ascii="Arial" w:cs="Arial" w:eastAsia="Arial" w:hAnsi="Arial"/>
                <w:sz w:val="13"/>
                <w:szCs w:val="13"/>
                <w:color w:val="auto"/>
              </w:rPr>
              <w:t>Exempt payee code (if any)</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5920" w:type="dxa"/>
            <w:vAlign w:val="bottom"/>
            <w:tcBorders>
              <w:right w:val="single" w:sz="8" w:color="auto"/>
            </w:tcBorders>
            <w:gridSpan w:val="5"/>
          </w:tcPr>
          <w:p>
            <w:pPr>
              <w:ind w:left="300"/>
              <w:spacing w:after="0" w:line="102" w:lineRule="exact"/>
              <w:rPr>
                <w:sz w:val="20"/>
                <w:szCs w:val="20"/>
                <w:color w:val="auto"/>
              </w:rPr>
            </w:pPr>
            <w:r>
              <w:rPr>
                <w:rFonts w:ascii="Arial" w:cs="Arial" w:eastAsia="Arial" w:hAnsi="Arial"/>
                <w:sz w:val="11"/>
                <w:szCs w:val="11"/>
                <w:color w:val="auto"/>
              </w:rPr>
              <w:t>Limited liability company. Enter the tax classification (C=C corporation, S=S corporation,</w:t>
            </w:r>
          </w:p>
        </w:tc>
        <w:tc>
          <w:tcPr>
            <w:tcW w:w="1760" w:type="dxa"/>
            <w:vAlign w:val="bottom"/>
            <w:gridSpan w:val="2"/>
          </w:tcPr>
          <w:p>
            <w:pPr>
              <w:ind w:left="160"/>
              <w:spacing w:after="0" w:line="102" w:lineRule="exact"/>
              <w:rPr>
                <w:sz w:val="20"/>
                <w:szCs w:val="20"/>
                <w:color w:val="auto"/>
              </w:rPr>
            </w:pPr>
            <w:r>
              <w:rPr>
                <w:rFonts w:ascii="Arial" w:cs="Arial" w:eastAsia="Arial" w:hAnsi="Arial"/>
                <w:sz w:val="11"/>
                <w:szCs w:val="11"/>
                <w:color w:val="auto"/>
              </w:rPr>
              <w:t>Exemption from FATCA</w:t>
            </w: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300" w:type="dxa"/>
            <w:vAlign w:val="bottom"/>
          </w:tcPr>
          <w:p>
            <w:pPr>
              <w:ind w:left="40"/>
              <w:spacing w:after="0" w:line="149"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1"/>
                <w:szCs w:val="11"/>
                <w:color w:val="auto"/>
              </w:rPr>
              <w:t xml:space="preserve"> P=partnership) u</w:t>
            </w:r>
          </w:p>
        </w:tc>
        <w:tc>
          <w:tcPr>
            <w:tcW w:w="140" w:type="dxa"/>
            <w:vAlign w:val="bottom"/>
            <w:tcBorders>
              <w:bottom w:val="single" w:sz="8" w:color="auto"/>
            </w:tcBorders>
          </w:tcPr>
          <w:p>
            <w:pPr>
              <w:spacing w:after="0"/>
              <w:rPr>
                <w:sz w:val="12"/>
                <w:szCs w:val="12"/>
                <w:color w:val="auto"/>
              </w:rPr>
            </w:pPr>
          </w:p>
        </w:tc>
        <w:tc>
          <w:tcPr>
            <w:tcW w:w="3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460" w:type="dxa"/>
            <w:vAlign w:val="bottom"/>
          </w:tcPr>
          <w:p>
            <w:pPr>
              <w:ind w:left="160"/>
              <w:spacing w:after="0"/>
              <w:rPr>
                <w:sz w:val="20"/>
                <w:szCs w:val="20"/>
                <w:color w:val="auto"/>
              </w:rPr>
            </w:pPr>
            <w:r>
              <w:rPr>
                <w:rFonts w:ascii="Arial" w:cs="Arial" w:eastAsia="Arial" w:hAnsi="Arial"/>
                <w:sz w:val="13"/>
                <w:szCs w:val="13"/>
                <w:color w:val="auto"/>
              </w:rPr>
              <w:t>reporting code (if any)</w:t>
            </w:r>
          </w:p>
        </w:tc>
        <w:tc>
          <w:tcPr>
            <w:tcW w:w="460" w:type="dxa"/>
            <w:vAlign w:val="bottom"/>
            <w:tcBorders>
              <w:bottom w:val="single" w:sz="8" w:color="auto"/>
            </w:tcBorders>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4880" w:type="dxa"/>
            <w:vAlign w:val="bottom"/>
            <w:tcBorders>
              <w:bottom w:val="single" w:sz="8" w:color="auto"/>
            </w:tcBorders>
            <w:gridSpan w:val="3"/>
          </w:tcPr>
          <w:p>
            <w:pPr>
              <w:ind w:left="4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3"/>
                <w:szCs w:val="13"/>
                <w:color w:val="auto"/>
              </w:rPr>
              <w:t xml:space="preserve"> Other (see instructions) u</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4880" w:type="dxa"/>
            <w:vAlign w:val="bottom"/>
            <w:gridSpan w:val="3"/>
          </w:tcPr>
          <w:p>
            <w:pPr>
              <w:ind w:left="40"/>
              <w:spacing w:after="0"/>
              <w:rPr>
                <w:sz w:val="20"/>
                <w:szCs w:val="20"/>
                <w:color w:val="auto"/>
              </w:rPr>
            </w:pPr>
            <w:r>
              <w:rPr>
                <w:rFonts w:ascii="Arial" w:cs="Arial" w:eastAsia="Arial" w:hAnsi="Arial"/>
                <w:sz w:val="13"/>
                <w:szCs w:val="13"/>
                <w:color w:val="auto"/>
              </w:rPr>
              <w:t>Address (number, street, and apt. or suite no.)</w:t>
            </w:r>
          </w:p>
        </w:tc>
        <w:tc>
          <w:tcPr>
            <w:tcW w:w="300" w:type="dxa"/>
            <w:vAlign w:val="bottom"/>
            <w:tcBorders>
              <w:right w:val="single" w:sz="8" w:color="auto"/>
            </w:tcBorders>
          </w:tcPr>
          <w:p>
            <w:pPr>
              <w:spacing w:after="0"/>
              <w:rPr>
                <w:sz w:val="15"/>
                <w:szCs w:val="15"/>
                <w:color w:val="auto"/>
              </w:rPr>
            </w:pPr>
          </w:p>
        </w:tc>
        <w:tc>
          <w:tcPr>
            <w:tcW w:w="2780" w:type="dxa"/>
            <w:vAlign w:val="bottom"/>
            <w:gridSpan w:val="6"/>
          </w:tcPr>
          <w:p>
            <w:pPr>
              <w:ind w:left="180"/>
              <w:spacing w:after="0"/>
              <w:rPr>
                <w:sz w:val="20"/>
                <w:szCs w:val="20"/>
                <w:color w:val="auto"/>
              </w:rPr>
            </w:pPr>
            <w:r>
              <w:rPr>
                <w:rFonts w:ascii="Arial" w:cs="Arial" w:eastAsia="Arial" w:hAnsi="Arial"/>
                <w:sz w:val="13"/>
                <w:szCs w:val="13"/>
                <w:color w:val="auto"/>
              </w:rPr>
              <w:t>Requester’s name and address (optional)</w:t>
            </w:r>
          </w:p>
        </w:tc>
        <w:tc>
          <w:tcPr>
            <w:tcW w:w="0" w:type="dxa"/>
            <w:vAlign w:val="bottom"/>
          </w:tcPr>
          <w:p>
            <w:pPr>
              <w:spacing w:after="0"/>
              <w:rPr>
                <w:sz w:val="1"/>
                <w:szCs w:val="1"/>
                <w:color w:val="auto"/>
              </w:rPr>
            </w:pPr>
          </w:p>
        </w:tc>
      </w:tr>
      <w:tr>
        <w:trPr>
          <w:trHeight w:val="273"/>
        </w:trPr>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40" w:type="dxa"/>
            <w:vAlign w:val="bottom"/>
            <w:tcBorders>
              <w:right w:val="single" w:sz="8" w:color="auto"/>
            </w:tcBorders>
            <w:vMerge w:val="restart"/>
          </w:tcPr>
          <w:p>
            <w:pPr>
              <w:jc w:val="center"/>
              <w:ind w:left="420"/>
              <w:spacing w:after="0"/>
              <w:rPr>
                <w:sz w:val="20"/>
                <w:szCs w:val="20"/>
                <w:color w:val="auto"/>
              </w:rPr>
            </w:pPr>
            <w:r>
              <w:rPr>
                <w:rFonts w:ascii="Arial" w:cs="Arial" w:eastAsia="Arial" w:hAnsi="Arial"/>
                <w:sz w:val="14"/>
                <w:szCs w:val="14"/>
                <w:b w:val="1"/>
                <w:bCs w:val="1"/>
                <w:color w:val="auto"/>
              </w:rPr>
              <w:t>Print or</w:t>
            </w:r>
          </w:p>
        </w:tc>
        <w:tc>
          <w:tcPr>
            <w:tcW w:w="13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4880" w:type="dxa"/>
            <w:vAlign w:val="bottom"/>
            <w:gridSpan w:val="3"/>
            <w:vMerge w:val="restart"/>
          </w:tcPr>
          <w:p>
            <w:pPr>
              <w:ind w:left="40"/>
              <w:spacing w:after="0"/>
              <w:rPr>
                <w:sz w:val="20"/>
                <w:szCs w:val="20"/>
                <w:color w:val="auto"/>
              </w:rPr>
            </w:pPr>
            <w:r>
              <w:rPr>
                <w:rFonts w:ascii="Arial" w:cs="Arial" w:eastAsia="Arial" w:hAnsi="Arial"/>
                <w:sz w:val="13"/>
                <w:szCs w:val="13"/>
                <w:color w:val="auto"/>
              </w:rPr>
              <w:t>City, state, and ZIP code</w:t>
            </w:r>
          </w:p>
        </w:tc>
        <w:tc>
          <w:tcPr>
            <w:tcW w:w="300" w:type="dxa"/>
            <w:vAlign w:val="bottom"/>
            <w:tcBorders>
              <w:right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40" w:type="dxa"/>
            <w:vAlign w:val="bottom"/>
            <w:tcBorders>
              <w:right w:val="single" w:sz="8" w:color="auto"/>
            </w:tcBorders>
            <w:vMerge w:val="restart"/>
          </w:tcPr>
          <w:p>
            <w:pPr>
              <w:jc w:val="center"/>
              <w:ind w:left="440"/>
              <w:spacing w:after="0"/>
              <w:rPr>
                <w:sz w:val="20"/>
                <w:szCs w:val="20"/>
                <w:color w:val="auto"/>
              </w:rPr>
            </w:pPr>
            <w:r>
              <w:rPr>
                <w:rFonts w:ascii="Arial" w:cs="Arial" w:eastAsia="Arial" w:hAnsi="Arial"/>
                <w:sz w:val="14"/>
                <w:szCs w:val="14"/>
                <w:b w:val="1"/>
                <w:bCs w:val="1"/>
                <w:color w:val="auto"/>
              </w:rPr>
              <w:t>type</w:t>
            </w:r>
          </w:p>
        </w:tc>
        <w:tc>
          <w:tcPr>
            <w:tcW w:w="4880" w:type="dxa"/>
            <w:vAlign w:val="bottom"/>
            <w:gridSpan w:val="3"/>
            <w:vMerge w:val="continue"/>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tcBorders>
              <w:right w:val="single" w:sz="8" w:color="auto"/>
            </w:tcBorders>
          </w:tcPr>
          <w:p>
            <w:pPr>
              <w:jc w:val="center"/>
              <w:ind w:left="440"/>
              <w:spacing w:after="0" w:line="144" w:lineRule="exact"/>
              <w:rPr>
                <w:sz w:val="20"/>
                <w:szCs w:val="20"/>
                <w:color w:val="auto"/>
              </w:rPr>
            </w:pPr>
            <w:r>
              <w:rPr>
                <w:rFonts w:ascii="Arial" w:cs="Arial" w:eastAsia="Arial" w:hAnsi="Arial"/>
                <w:sz w:val="14"/>
                <w:szCs w:val="14"/>
                <w:color w:val="auto"/>
              </w:rPr>
              <w:t>See</w:t>
            </w: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40" w:type="dxa"/>
            <w:vAlign w:val="bottom"/>
            <w:tcBorders>
              <w:right w:val="single" w:sz="8" w:color="auto"/>
            </w:tcBorders>
            <w:vMerge w:val="restart"/>
          </w:tcPr>
          <w:p>
            <w:pPr>
              <w:jc w:val="center"/>
              <w:ind w:left="420"/>
              <w:spacing w:after="0"/>
              <w:rPr>
                <w:sz w:val="20"/>
                <w:szCs w:val="20"/>
                <w:color w:val="auto"/>
              </w:rPr>
            </w:pPr>
            <w:r>
              <w:rPr>
                <w:rFonts w:ascii="Arial" w:cs="Arial" w:eastAsia="Arial" w:hAnsi="Arial"/>
                <w:sz w:val="14"/>
                <w:szCs w:val="14"/>
                <w:b w:val="1"/>
                <w:bCs w:val="1"/>
                <w:color w:val="auto"/>
              </w:rPr>
              <w:t>Specific</w:t>
            </w: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4880" w:type="dxa"/>
            <w:vAlign w:val="bottom"/>
            <w:gridSpan w:val="3"/>
            <w:vMerge w:val="restart"/>
          </w:tcPr>
          <w:p>
            <w:pPr>
              <w:ind w:left="40"/>
              <w:spacing w:after="0"/>
              <w:rPr>
                <w:sz w:val="20"/>
                <w:szCs w:val="20"/>
                <w:color w:val="auto"/>
              </w:rPr>
            </w:pPr>
            <w:r>
              <w:rPr>
                <w:rFonts w:ascii="Arial" w:cs="Arial" w:eastAsia="Arial" w:hAnsi="Arial"/>
                <w:sz w:val="13"/>
                <w:szCs w:val="13"/>
                <w:color w:val="auto"/>
              </w:rPr>
              <w:t>List account number(s) here (optional)</w:t>
            </w: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Borders>
              <w:right w:val="single" w:sz="8" w:color="auto"/>
            </w:tcBorders>
          </w:tcPr>
          <w:p>
            <w:pPr>
              <w:jc w:val="center"/>
              <w:ind w:left="440"/>
              <w:spacing w:after="0"/>
              <w:rPr>
                <w:sz w:val="20"/>
                <w:szCs w:val="20"/>
                <w:color w:val="auto"/>
              </w:rPr>
            </w:pPr>
            <w:r>
              <w:rPr>
                <w:rFonts w:ascii="Arial" w:cs="Arial" w:eastAsia="Arial" w:hAnsi="Arial"/>
                <w:sz w:val="14"/>
                <w:szCs w:val="14"/>
                <w:b w:val="1"/>
                <w:bCs w:val="1"/>
                <w:color w:val="auto"/>
              </w:rPr>
              <w:t>Instructions</w:t>
            </w:r>
          </w:p>
        </w:tc>
        <w:tc>
          <w:tcPr>
            <w:tcW w:w="48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jc w:val="center"/>
              <w:ind w:left="420"/>
              <w:spacing w:after="0"/>
              <w:rPr>
                <w:sz w:val="20"/>
                <w:szCs w:val="20"/>
                <w:color w:val="auto"/>
              </w:rPr>
            </w:pPr>
            <w:r>
              <w:rPr>
                <w:rFonts w:ascii="Arial" w:cs="Arial" w:eastAsia="Arial" w:hAnsi="Arial"/>
                <w:sz w:val="14"/>
                <w:szCs w:val="14"/>
                <w:color w:val="auto"/>
              </w:rPr>
              <w:t>on page 2.</w:t>
            </w:r>
          </w:p>
        </w:tc>
        <w:tc>
          <w:tcPr>
            <w:tcW w:w="1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Borders>
              <w:bottom w:val="single" w:sz="8" w:color="auto"/>
            </w:tcBorders>
            <w:shd w:val="clear" w:color="auto" w:fill="000000"/>
          </w:tcPr>
          <w:p>
            <w:pPr>
              <w:ind w:left="120"/>
              <w:spacing w:after="0" w:line="196" w:lineRule="exact"/>
              <w:rPr>
                <w:sz w:val="20"/>
                <w:szCs w:val="20"/>
                <w:color w:val="auto"/>
              </w:rPr>
            </w:pPr>
            <w:r>
              <w:rPr>
                <w:rFonts w:ascii="Arial" w:cs="Arial" w:eastAsia="Arial" w:hAnsi="Arial"/>
                <w:sz w:val="18"/>
                <w:szCs w:val="18"/>
                <w:b w:val="1"/>
                <w:bCs w:val="1"/>
                <w:color w:val="FFFFFF"/>
              </w:rPr>
              <w:t>Part I</w:t>
            </w:r>
          </w:p>
        </w:tc>
        <w:tc>
          <w:tcPr>
            <w:tcW w:w="2760" w:type="dxa"/>
            <w:vAlign w:val="bottom"/>
            <w:tcBorders>
              <w:bottom w:val="single" w:sz="8" w:color="auto"/>
            </w:tcBorders>
            <w:gridSpan w:val="2"/>
          </w:tcPr>
          <w:p>
            <w:pPr>
              <w:ind w:left="220"/>
              <w:spacing w:after="0" w:line="196" w:lineRule="exact"/>
              <w:rPr>
                <w:sz w:val="20"/>
                <w:szCs w:val="20"/>
                <w:color w:val="auto"/>
              </w:rPr>
            </w:pPr>
            <w:r>
              <w:rPr>
                <w:rFonts w:ascii="Arial" w:cs="Arial" w:eastAsia="Arial" w:hAnsi="Arial"/>
                <w:sz w:val="18"/>
                <w:szCs w:val="18"/>
                <w:b w:val="1"/>
                <w:bCs w:val="1"/>
                <w:color w:val="auto"/>
                <w:w w:val="92"/>
              </w:rPr>
              <w:t>Taxpayer Identification Number</w:t>
            </w:r>
          </w:p>
        </w:tc>
        <w:tc>
          <w:tcPr>
            <w:tcW w:w="4880" w:type="dxa"/>
            <w:vAlign w:val="bottom"/>
            <w:tcBorders>
              <w:bottom w:val="single" w:sz="8" w:color="auto"/>
            </w:tcBorders>
            <w:gridSpan w:val="3"/>
          </w:tcPr>
          <w:p>
            <w:pPr>
              <w:ind w:left="200"/>
              <w:spacing w:after="0" w:line="196" w:lineRule="exact"/>
              <w:rPr>
                <w:sz w:val="20"/>
                <w:szCs w:val="20"/>
                <w:color w:val="auto"/>
              </w:rPr>
            </w:pPr>
            <w:r>
              <w:rPr>
                <w:rFonts w:ascii="Arial" w:cs="Arial" w:eastAsia="Arial" w:hAnsi="Arial"/>
                <w:sz w:val="18"/>
                <w:szCs w:val="18"/>
                <w:b w:val="1"/>
                <w:bCs w:val="1"/>
                <w:color w:val="auto"/>
              </w:rPr>
              <w:t>(TIN)</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30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5"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 xml:space="preserve">Enter your TIN in the appropriate box. The TIN provided must match the name given on the “Name” line to avoid backup withholding. For individuals, this is your social security number (SSN). However, for a resident alien, sole proprietor, or disregarded entity, see the Part I instructions on page 3. For other entities, it is your employer identification number (EIN). If you do not have a number, see </w:t>
      </w:r>
      <w:r>
        <w:rPr>
          <w:rFonts w:ascii="Arial" w:cs="Arial" w:eastAsia="Arial" w:hAnsi="Arial"/>
          <w:sz w:val="14"/>
          <w:szCs w:val="14"/>
          <w:i w:val="1"/>
          <w:iCs w:val="1"/>
          <w:color w:val="auto"/>
        </w:rPr>
        <w:t>How to get a TIN</w:t>
      </w:r>
      <w:r>
        <w:rPr>
          <w:rFonts w:ascii="Arial" w:cs="Arial" w:eastAsia="Arial" w:hAnsi="Arial"/>
          <w:sz w:val="14"/>
          <w:szCs w:val="14"/>
          <w:color w:val="auto"/>
        </w:rPr>
        <w:t xml:space="preserve">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22225</wp:posOffset>
            </wp:positionV>
            <wp:extent cx="6817995" cy="248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17995"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-78740</wp:posOffset>
            </wp:positionV>
            <wp:extent cx="2615565"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15565" cy="240030"/>
                    </a:xfrm>
                    <a:prstGeom prst="rect">
                      <a:avLst/>
                    </a:prstGeom>
                    <a:noFill/>
                  </pic:spPr>
                </pic:pic>
              </a:graphicData>
            </a:graphic>
          </wp:anchor>
        </w:drawing>
      </w:r>
    </w:p>
    <w:p>
      <w:pPr>
        <w:jc w:val="both"/>
        <w:ind w:left="1140"/>
        <w:spacing w:after="0"/>
        <w:tabs>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13" w:lineRule="exact"/>
        <w:rPr>
          <w:sz w:val="20"/>
          <w:szCs w:val="20"/>
          <w:color w:val="auto"/>
        </w:rPr>
      </w:pPr>
    </w:p>
    <w:p>
      <w:pPr>
        <w:sectPr>
          <w:pgSz w:w="11900" w:h="16838" w:orient="portrait"/>
          <w:cols w:equalWidth="0" w:num="2">
            <w:col w:w="7160" w:space="340"/>
            <w:col w:w="3940"/>
          </w:cols>
          <w:pgMar w:left="240" w:top="308" w:right="21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7320" w:type="dxa"/>
            <w:vAlign w:val="bottom"/>
          </w:tcPr>
          <w:p>
            <w:pPr>
              <w:spacing w:after="0" w:line="129" w:lineRule="exact"/>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If the account is in more than one name, see the chart on page 4 for guidelines on whose number to enter.</w:t>
            </w:r>
          </w:p>
        </w:tc>
        <w:tc>
          <w:tcPr>
            <w:tcW w:w="4120" w:type="dxa"/>
            <w:vAlign w:val="bottom"/>
            <w:tcBorders>
              <w:top w:val="single" w:sz="8" w:color="auto"/>
              <w:bottom w:val="single" w:sz="8" w:color="auto"/>
            </w:tcBorders>
          </w:tcPr>
          <w:p>
            <w:pPr>
              <w:ind w:left="180"/>
              <w:spacing w:after="0" w:line="122" w:lineRule="exact"/>
              <w:rPr>
                <w:sz w:val="20"/>
                <w:szCs w:val="20"/>
                <w:color w:val="auto"/>
              </w:rPr>
            </w:pPr>
            <w:r>
              <w:rPr>
                <w:rFonts w:ascii="Arial" w:cs="Arial" w:eastAsia="Arial" w:hAnsi="Arial"/>
                <w:sz w:val="11"/>
                <w:szCs w:val="11"/>
                <w:b w:val="1"/>
                <w:bCs w:val="1"/>
                <w:color w:val="auto"/>
              </w:rPr>
              <w:t>Employer identification number</w:t>
            </w:r>
          </w:p>
        </w:tc>
      </w:tr>
      <w:tr>
        <w:trPr>
          <w:trHeight w:val="224"/>
        </w:trPr>
        <w:tc>
          <w:tcPr>
            <w:tcW w:w="7320" w:type="dxa"/>
            <w:vAlign w:val="bottom"/>
          </w:tcPr>
          <w:p>
            <w:pPr>
              <w:spacing w:after="0"/>
              <w:rPr>
                <w:sz w:val="19"/>
                <w:szCs w:val="19"/>
                <w:color w:val="auto"/>
              </w:rPr>
            </w:pPr>
          </w:p>
        </w:tc>
        <w:tc>
          <w:tcPr>
            <w:tcW w:w="4120" w:type="dxa"/>
            <w:vAlign w:val="bottom"/>
          </w:tcPr>
          <w:p>
            <w:pPr>
              <w:ind w:left="8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3751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7515" cy="146050"/>
                    </a:xfrm>
                    <a:prstGeom prst="rect">
                      <a:avLst/>
                    </a:prstGeom>
                    <a:noFill/>
                  </pic:spPr>
                </pic:pic>
              </a:graphicData>
            </a:graphic>
          </wp:anchor>
        </w:drawing>
      </w:r>
    </w:p>
    <w:p>
      <w:pPr>
        <w:ind w:left="100"/>
        <w:spacing w:after="0"/>
        <w:tabs>
          <w:tab w:leader="none" w:pos="900" w:val="left"/>
        </w:tabs>
        <w:rPr>
          <w:sz w:val="20"/>
          <w:szCs w:val="20"/>
          <w:color w:val="auto"/>
        </w:rPr>
      </w:pPr>
      <w:r>
        <w:rPr>
          <w:rFonts w:ascii="Arial" w:cs="Arial" w:eastAsia="Arial" w:hAnsi="Arial"/>
          <w:sz w:val="18"/>
          <w:szCs w:val="18"/>
          <w:b w:val="1"/>
          <w:bCs w:val="1"/>
          <w:color w:val="FFFFFF"/>
        </w:rPr>
        <w:t>Part II</w:t>
      </w:r>
      <w:r>
        <w:rPr>
          <w:sz w:val="20"/>
          <w:szCs w:val="20"/>
          <w:color w:val="auto"/>
        </w:rPr>
        <w:tab/>
      </w:r>
      <w:r>
        <w:rPr>
          <w:rFonts w:ascii="Arial" w:cs="Arial" w:eastAsia="Arial" w:hAnsi="Arial"/>
          <w:sz w:val="18"/>
          <w:szCs w:val="18"/>
          <w:b w:val="1"/>
          <w:bCs w:val="1"/>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5080</wp:posOffset>
            </wp:positionV>
            <wp:extent cx="68091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Under penalties of perjury, I certify that:</w:t>
      </w:r>
    </w:p>
    <w:p>
      <w:pPr>
        <w:spacing w:after="0" w:line="42" w:lineRule="exact"/>
        <w:rPr>
          <w:sz w:val="20"/>
          <w:szCs w:val="20"/>
          <w:color w:val="auto"/>
        </w:rPr>
      </w:pPr>
    </w:p>
    <w:p>
      <w:pPr>
        <w:ind w:left="240" w:hanging="232"/>
        <w:spacing w:after="0"/>
        <w:tabs>
          <w:tab w:leader="none" w:pos="2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number shown on this form is my correct taxpayer identification number (or I am waiting for a number to be issued to me), and</w:t>
      </w:r>
    </w:p>
    <w:p>
      <w:pPr>
        <w:spacing w:after="0" w:line="41" w:lineRule="exact"/>
        <w:rPr>
          <w:rFonts w:ascii="Arial" w:cs="Arial" w:eastAsia="Arial" w:hAnsi="Arial"/>
          <w:sz w:val="14"/>
          <w:szCs w:val="14"/>
          <w:color w:val="auto"/>
        </w:rPr>
      </w:pPr>
    </w:p>
    <w:p>
      <w:pPr>
        <w:ind w:left="240" w:right="380" w:hanging="232"/>
        <w:spacing w:after="0" w:line="258" w:lineRule="auto"/>
        <w:tabs>
          <w:tab w:leader="none" w:pos="2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spacing w:after="0" w:line="18" w:lineRule="exact"/>
        <w:rPr>
          <w:rFonts w:ascii="Arial" w:cs="Arial" w:eastAsia="Arial" w:hAnsi="Arial"/>
          <w:sz w:val="14"/>
          <w:szCs w:val="14"/>
          <w:color w:val="auto"/>
        </w:rPr>
      </w:pPr>
    </w:p>
    <w:p>
      <w:pPr>
        <w:ind w:left="240" w:hanging="232"/>
        <w:spacing w:after="0"/>
        <w:tabs>
          <w:tab w:leader="none" w:pos="2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 am a U.S. citizen or other U.S. person (defined below), and</w:t>
      </w:r>
    </w:p>
    <w:p>
      <w:pPr>
        <w:spacing w:after="0" w:line="41" w:lineRule="exact"/>
        <w:rPr>
          <w:rFonts w:ascii="Arial" w:cs="Arial" w:eastAsia="Arial" w:hAnsi="Arial"/>
          <w:sz w:val="14"/>
          <w:szCs w:val="14"/>
          <w:color w:val="auto"/>
        </w:rPr>
      </w:pPr>
    </w:p>
    <w:p>
      <w:pPr>
        <w:ind w:left="240" w:hanging="232"/>
        <w:spacing w:after="0"/>
        <w:tabs>
          <w:tab w:leader="none" w:pos="2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FATCA code(s) entered on this form (if any) indicating that I am exempt from FATCA reporting is correct.</w:t>
      </w:r>
    </w:p>
    <w:p>
      <w:pPr>
        <w:spacing w:after="0" w:line="11"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b w:val="1"/>
          <w:bCs w:val="1"/>
          <w:color w:val="auto"/>
        </w:rPr>
        <w:t xml:space="preserve">Certification instructions. </w:t>
      </w:r>
      <w:r>
        <w:rPr>
          <w:rFonts w:ascii="Arial" w:cs="Arial" w:eastAsia="Arial" w:hAnsi="Arial"/>
          <w:sz w:val="14"/>
          <w:szCs w:val="14"/>
          <w:color w:val="auto"/>
        </w:rPr>
        <w:t>You must cross out item 2 above if you have been notified by the IRS that you are currently subject to backup withholding because you have failed to</w:t>
      </w:r>
      <w:r>
        <w:rPr>
          <w:rFonts w:ascii="Arial" w:cs="Arial" w:eastAsia="Arial" w:hAnsi="Arial"/>
          <w:sz w:val="14"/>
          <w:szCs w:val="14"/>
          <w:b w:val="1"/>
          <w:bCs w:val="1"/>
          <w:color w:val="auto"/>
        </w:rPr>
        <w:t xml:space="preserve"> </w:t>
      </w:r>
      <w:r>
        <w:rPr>
          <w:rFonts w:ascii="Arial" w:cs="Arial" w:eastAsia="Arial" w:hAnsi="Arial"/>
          <w:sz w:val="14"/>
          <w:szCs w:val="14"/>
          <w:color w:val="auto"/>
        </w:rPr>
        <w:t>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0" w:type="dxa"/>
            <w:vAlign w:val="bottom"/>
            <w:tcBorders>
              <w:top w:val="single" w:sz="8" w:color="auto"/>
            </w:tcBorders>
          </w:tcPr>
          <w:p>
            <w:pPr>
              <w:ind w:left="60"/>
              <w:spacing w:after="0" w:line="194" w:lineRule="exact"/>
              <w:rPr>
                <w:sz w:val="20"/>
                <w:szCs w:val="20"/>
                <w:color w:val="auto"/>
              </w:rPr>
            </w:pPr>
            <w:r>
              <w:rPr>
                <w:rFonts w:ascii="Arial" w:cs="Arial" w:eastAsia="Arial" w:hAnsi="Arial"/>
                <w:sz w:val="18"/>
                <w:szCs w:val="18"/>
                <w:b w:val="1"/>
                <w:bCs w:val="1"/>
                <w:color w:val="auto"/>
              </w:rPr>
              <w:t>Sign</w:t>
            </w:r>
          </w:p>
        </w:tc>
        <w:tc>
          <w:tcPr>
            <w:tcW w:w="4940" w:type="dxa"/>
            <w:vAlign w:val="bottom"/>
            <w:tcBorders>
              <w:top w:val="single" w:sz="8" w:color="auto"/>
            </w:tcBorders>
            <w:vMerge w:val="restart"/>
          </w:tcPr>
          <w:p>
            <w:pPr>
              <w:ind w:left="240"/>
              <w:spacing w:after="0"/>
              <w:rPr>
                <w:sz w:val="20"/>
                <w:szCs w:val="20"/>
                <w:color w:val="auto"/>
              </w:rPr>
            </w:pPr>
            <w:r>
              <w:rPr>
                <w:rFonts w:ascii="Arial" w:cs="Arial" w:eastAsia="Arial" w:hAnsi="Arial"/>
                <w:sz w:val="13"/>
                <w:szCs w:val="13"/>
                <w:b w:val="1"/>
                <w:bCs w:val="1"/>
                <w:color w:val="auto"/>
              </w:rPr>
              <w:t>Signature of</w:t>
            </w:r>
          </w:p>
        </w:tc>
        <w:tc>
          <w:tcPr>
            <w:tcW w:w="41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Here</w:t>
            </w:r>
          </w:p>
        </w:tc>
        <w:tc>
          <w:tcPr>
            <w:tcW w:w="4940" w:type="dxa"/>
            <w:vAlign w:val="bottom"/>
            <w:vMerge w:val="continue"/>
          </w:tcPr>
          <w:p>
            <w:pPr>
              <w:spacing w:after="0"/>
              <w:rPr>
                <w:sz w:val="5"/>
                <w:szCs w:val="5"/>
                <w:color w:val="auto"/>
              </w:rPr>
            </w:pPr>
          </w:p>
        </w:tc>
        <w:tc>
          <w:tcPr>
            <w:tcW w:w="41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700" w:type="dxa"/>
            <w:vAlign w:val="bottom"/>
            <w:tcBorders>
              <w:bottom w:val="single" w:sz="8" w:color="auto"/>
            </w:tcBorders>
            <w:vMerge w:val="continue"/>
          </w:tcPr>
          <w:p>
            <w:pPr>
              <w:spacing w:after="0"/>
              <w:rPr>
                <w:sz w:val="13"/>
                <w:szCs w:val="13"/>
                <w:color w:val="auto"/>
              </w:rPr>
            </w:pPr>
          </w:p>
        </w:tc>
        <w:tc>
          <w:tcPr>
            <w:tcW w:w="49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 xml:space="preserve">U.S. person </w:t>
            </w:r>
            <w:r>
              <w:rPr>
                <w:rFonts w:ascii="Arial" w:cs="Arial" w:eastAsia="Arial" w:hAnsi="Arial"/>
                <w:sz w:val="13"/>
                <w:szCs w:val="13"/>
                <w:color w:val="auto"/>
              </w:rPr>
              <w:t>u</w:t>
            </w:r>
          </w:p>
        </w:tc>
        <w:tc>
          <w:tcPr>
            <w:tcW w:w="4120" w:type="dxa"/>
            <w:vAlign w:val="bottom"/>
            <w:tcBorders>
              <w:bottom w:val="single" w:sz="8" w:color="auto"/>
            </w:tcBorders>
          </w:tcPr>
          <w:p>
            <w:pPr>
              <w:ind w:left="1800"/>
              <w:spacing w:after="0"/>
              <w:rPr>
                <w:sz w:val="20"/>
                <w:szCs w:val="20"/>
                <w:color w:val="auto"/>
              </w:rPr>
            </w:pPr>
            <w:r>
              <w:rPr>
                <w:rFonts w:ascii="Arial" w:cs="Arial" w:eastAsia="Arial" w:hAnsi="Arial"/>
                <w:sz w:val="13"/>
                <w:szCs w:val="13"/>
                <w:b w:val="1"/>
                <w:bCs w:val="1"/>
                <w:color w:val="auto"/>
              </w:rPr>
              <w:t xml:space="preserve">Date </w:t>
            </w:r>
            <w:r>
              <w:rPr>
                <w:rFonts w:ascii="Arial" w:cs="Arial" w:eastAsia="Arial" w:hAnsi="Arial"/>
                <w:sz w:val="13"/>
                <w:szCs w:val="13"/>
                <w:color w:val="auto"/>
              </w:rPr>
              <w:t>u</w:t>
            </w:r>
          </w:p>
        </w:tc>
        <w:tc>
          <w:tcPr>
            <w:tcW w:w="1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640" w:type="dxa"/>
            <w:vAlign w:val="bottom"/>
            <w:gridSpan w:val="2"/>
          </w:tcPr>
          <w:p>
            <w:pPr>
              <w:spacing w:after="0" w:line="239" w:lineRule="exact"/>
              <w:rPr>
                <w:sz w:val="20"/>
                <w:szCs w:val="20"/>
                <w:color w:val="auto"/>
              </w:rPr>
            </w:pPr>
            <w:r>
              <w:rPr>
                <w:rFonts w:ascii="Arial" w:cs="Arial" w:eastAsia="Arial" w:hAnsi="Arial"/>
                <w:sz w:val="22"/>
                <w:szCs w:val="22"/>
                <w:b w:val="1"/>
                <w:bCs w:val="1"/>
                <w:color w:val="auto"/>
              </w:rPr>
              <w:t>General Instructions</w:t>
            </w:r>
          </w:p>
        </w:tc>
        <w:tc>
          <w:tcPr>
            <w:tcW w:w="5780" w:type="dxa"/>
            <w:vAlign w:val="bottom"/>
            <w:gridSpan w:val="2"/>
          </w:tcPr>
          <w:p>
            <w:pPr>
              <w:ind w:left="300"/>
              <w:spacing w:after="0"/>
              <w:rPr>
                <w:sz w:val="20"/>
                <w:szCs w:val="20"/>
                <w:color w:val="auto"/>
              </w:rPr>
            </w:pPr>
            <w:r>
              <w:rPr>
                <w:rFonts w:ascii="Arial" w:cs="Arial" w:eastAsia="Arial" w:hAnsi="Arial"/>
                <w:sz w:val="16"/>
                <w:szCs w:val="16"/>
                <w:color w:val="auto"/>
              </w:rPr>
              <w:t>Use Form W-9 only if you are a U.S. person (including a resident alien), to</w:t>
            </w:r>
          </w:p>
        </w:tc>
        <w:tc>
          <w:tcPr>
            <w:tcW w:w="0" w:type="dxa"/>
            <w:vAlign w:val="bottom"/>
          </w:tcPr>
          <w:p>
            <w:pPr>
              <w:spacing w:after="0"/>
              <w:rPr>
                <w:sz w:val="1"/>
                <w:szCs w:val="1"/>
                <w:color w:val="auto"/>
              </w:rPr>
            </w:pPr>
          </w:p>
        </w:tc>
      </w:tr>
      <w:tr>
        <w:trPr>
          <w:trHeight w:val="189"/>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Section references are to the Internal Revenue Code unless otherwise</w:t>
            </w:r>
          </w:p>
        </w:tc>
        <w:tc>
          <w:tcPr>
            <w:tcW w:w="5780" w:type="dxa"/>
            <w:vAlign w:val="bottom"/>
            <w:gridSpan w:val="2"/>
          </w:tcPr>
          <w:p>
            <w:pPr>
              <w:ind w:left="140"/>
              <w:spacing w:after="0"/>
              <w:rPr>
                <w:sz w:val="20"/>
                <w:szCs w:val="20"/>
                <w:color w:val="auto"/>
              </w:rPr>
            </w:pPr>
            <w:r>
              <w:rPr>
                <w:rFonts w:ascii="Arial" w:cs="Arial" w:eastAsia="Arial" w:hAnsi="Arial"/>
                <w:sz w:val="16"/>
                <w:szCs w:val="16"/>
                <w:color w:val="auto"/>
              </w:rPr>
              <w:t>provide your correct TIN to the person requesting it (the requester) and,</w:t>
            </w:r>
          </w:p>
        </w:tc>
        <w:tc>
          <w:tcPr>
            <w:tcW w:w="0" w:type="dxa"/>
            <w:vAlign w:val="bottom"/>
          </w:tcPr>
          <w:p>
            <w:pPr>
              <w:spacing w:after="0"/>
              <w:rPr>
                <w:sz w:val="1"/>
                <w:szCs w:val="1"/>
                <w:color w:val="auto"/>
              </w:rPr>
            </w:pPr>
          </w:p>
        </w:tc>
      </w:tr>
      <w:tr>
        <w:trPr>
          <w:trHeight w:val="135"/>
        </w:trPr>
        <w:tc>
          <w:tcPr>
            <w:tcW w:w="5640" w:type="dxa"/>
            <w:vAlign w:val="bottom"/>
            <w:gridSpan w:val="2"/>
            <w:vMerge w:val="continue"/>
          </w:tcPr>
          <w:p>
            <w:pPr>
              <w:spacing w:after="0"/>
              <w:rPr>
                <w:sz w:val="11"/>
                <w:szCs w:val="11"/>
                <w:color w:val="auto"/>
              </w:rPr>
            </w:pPr>
          </w:p>
        </w:tc>
        <w:tc>
          <w:tcPr>
            <w:tcW w:w="4120" w:type="dxa"/>
            <w:vAlign w:val="bottom"/>
            <w:vMerge w:val="restart"/>
          </w:tcPr>
          <w:p>
            <w:pPr>
              <w:ind w:left="140"/>
              <w:spacing w:after="0"/>
              <w:rPr>
                <w:sz w:val="20"/>
                <w:szCs w:val="20"/>
                <w:color w:val="auto"/>
              </w:rPr>
            </w:pPr>
            <w:r>
              <w:rPr>
                <w:rFonts w:ascii="Arial" w:cs="Arial" w:eastAsia="Arial" w:hAnsi="Arial"/>
                <w:sz w:val="16"/>
                <w:szCs w:val="16"/>
                <w:color w:val="auto"/>
              </w:rPr>
              <w:t>when applicable, to:</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700" w:type="dxa"/>
            <w:vAlign w:val="bottom"/>
            <w:vMerge w:val="restart"/>
          </w:tcPr>
          <w:p>
            <w:pPr>
              <w:spacing w:after="0"/>
              <w:rPr>
                <w:sz w:val="20"/>
                <w:szCs w:val="20"/>
                <w:color w:val="auto"/>
              </w:rPr>
            </w:pPr>
            <w:r>
              <w:rPr>
                <w:rFonts w:ascii="Arial" w:cs="Arial" w:eastAsia="Arial" w:hAnsi="Arial"/>
                <w:sz w:val="16"/>
                <w:szCs w:val="16"/>
                <w:color w:val="auto"/>
              </w:rPr>
              <w:t>noted.</w:t>
            </w:r>
          </w:p>
        </w:tc>
        <w:tc>
          <w:tcPr>
            <w:tcW w:w="4940" w:type="dxa"/>
            <w:vAlign w:val="bottom"/>
          </w:tcPr>
          <w:p>
            <w:pPr>
              <w:spacing w:after="0"/>
              <w:rPr>
                <w:sz w:val="5"/>
                <w:szCs w:val="5"/>
                <w:color w:val="auto"/>
              </w:rPr>
            </w:pPr>
          </w:p>
        </w:tc>
        <w:tc>
          <w:tcPr>
            <w:tcW w:w="412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4940" w:type="dxa"/>
            <w:vAlign w:val="bottom"/>
          </w:tcPr>
          <w:p>
            <w:pPr>
              <w:spacing w:after="0"/>
              <w:rPr>
                <w:sz w:val="11"/>
                <w:szCs w:val="11"/>
                <w:color w:val="auto"/>
              </w:rPr>
            </w:pPr>
          </w:p>
        </w:tc>
        <w:tc>
          <w:tcPr>
            <w:tcW w:w="5780" w:type="dxa"/>
            <w:vAlign w:val="bottom"/>
            <w:gridSpan w:val="2"/>
            <w:vMerge w:val="restart"/>
          </w:tcPr>
          <w:p>
            <w:pPr>
              <w:ind w:left="300"/>
              <w:spacing w:after="0"/>
              <w:rPr>
                <w:sz w:val="20"/>
                <w:szCs w:val="20"/>
                <w:color w:val="auto"/>
              </w:rPr>
            </w:pPr>
            <w:r>
              <w:rPr>
                <w:rFonts w:ascii="Arial" w:cs="Arial" w:eastAsia="Arial" w:hAnsi="Arial"/>
                <w:sz w:val="16"/>
                <w:szCs w:val="16"/>
                <w:color w:val="auto"/>
              </w:rPr>
              <w:t>1. Certify that the TIN you are giving is correct (or you are waiting for a</w:t>
            </w:r>
          </w:p>
        </w:tc>
        <w:tc>
          <w:tcPr>
            <w:tcW w:w="0" w:type="dxa"/>
            <w:vAlign w:val="bottom"/>
          </w:tcPr>
          <w:p>
            <w:pPr>
              <w:spacing w:after="0"/>
              <w:rPr>
                <w:sz w:val="1"/>
                <w:szCs w:val="1"/>
                <w:color w:val="auto"/>
              </w:rPr>
            </w:pPr>
          </w:p>
        </w:tc>
      </w:tr>
      <w:tr>
        <w:trPr>
          <w:trHeight w:val="89"/>
        </w:trPr>
        <w:tc>
          <w:tcPr>
            <w:tcW w:w="5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Future developments. </w:t>
            </w:r>
            <w:r>
              <w:rPr>
                <w:rFonts w:ascii="Arial" w:cs="Arial" w:eastAsia="Arial" w:hAnsi="Arial"/>
                <w:sz w:val="16"/>
                <w:szCs w:val="16"/>
                <w:color w:val="auto"/>
              </w:rPr>
              <w:t>The IRS has created a page on IRS.gov for</w:t>
            </w:r>
          </w:p>
        </w:tc>
        <w:tc>
          <w:tcPr>
            <w:tcW w:w="5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5640" w:type="dxa"/>
            <w:vAlign w:val="bottom"/>
            <w:gridSpan w:val="2"/>
            <w:vMerge w:val="continue"/>
          </w:tcPr>
          <w:p>
            <w:pPr>
              <w:spacing w:after="0"/>
              <w:rPr>
                <w:sz w:val="12"/>
                <w:szCs w:val="12"/>
                <w:color w:val="auto"/>
              </w:rPr>
            </w:pPr>
          </w:p>
        </w:tc>
        <w:tc>
          <w:tcPr>
            <w:tcW w:w="4120" w:type="dxa"/>
            <w:vAlign w:val="bottom"/>
          </w:tcPr>
          <w:p>
            <w:pPr>
              <w:ind w:left="140"/>
              <w:spacing w:after="0" w:line="147" w:lineRule="exact"/>
              <w:rPr>
                <w:sz w:val="20"/>
                <w:szCs w:val="20"/>
                <w:color w:val="auto"/>
              </w:rPr>
            </w:pPr>
            <w:r>
              <w:rPr>
                <w:rFonts w:ascii="Arial" w:cs="Arial" w:eastAsia="Arial" w:hAnsi="Arial"/>
                <w:sz w:val="16"/>
                <w:szCs w:val="16"/>
                <w:color w:val="auto"/>
              </w:rPr>
              <w:t>number to be issued),</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640" w:type="dxa"/>
            <w:vAlign w:val="bottom"/>
            <w:gridSpan w:val="2"/>
          </w:tcPr>
          <w:p>
            <w:pPr>
              <w:spacing w:after="0"/>
              <w:rPr>
                <w:sz w:val="20"/>
                <w:szCs w:val="20"/>
                <w:color w:val="auto"/>
              </w:rPr>
            </w:pPr>
            <w:r>
              <w:rPr>
                <w:rFonts w:ascii="Arial" w:cs="Arial" w:eastAsia="Arial" w:hAnsi="Arial"/>
                <w:sz w:val="16"/>
                <w:szCs w:val="16"/>
                <w:color w:val="auto"/>
              </w:rPr>
              <w:t xml:space="preserve">information about Form W-9, at </w:t>
            </w:r>
            <w:r>
              <w:rPr>
                <w:rFonts w:ascii="Arial" w:cs="Arial" w:eastAsia="Arial" w:hAnsi="Arial"/>
                <w:sz w:val="16"/>
                <w:szCs w:val="16"/>
                <w:i w:val="1"/>
                <w:iCs w:val="1"/>
                <w:color w:val="auto"/>
              </w:rPr>
              <w:t>www.irs.gov/w9</w:t>
            </w:r>
            <w:r>
              <w:rPr>
                <w:rFonts w:ascii="Arial" w:cs="Arial" w:eastAsia="Arial" w:hAnsi="Arial"/>
                <w:sz w:val="16"/>
                <w:szCs w:val="16"/>
                <w:color w:val="auto"/>
              </w:rPr>
              <w:t>. Information about any</w:t>
            </w:r>
          </w:p>
        </w:tc>
        <w:tc>
          <w:tcPr>
            <w:tcW w:w="5780" w:type="dxa"/>
            <w:vAlign w:val="bottom"/>
            <w:gridSpan w:val="2"/>
            <w:vMerge w:val="restart"/>
          </w:tcPr>
          <w:p>
            <w:pPr>
              <w:ind w:left="300"/>
              <w:spacing w:after="0"/>
              <w:rPr>
                <w:sz w:val="20"/>
                <w:szCs w:val="20"/>
                <w:color w:val="auto"/>
              </w:rPr>
            </w:pPr>
            <w:r>
              <w:rPr>
                <w:rFonts w:ascii="Arial" w:cs="Arial" w:eastAsia="Arial" w:hAnsi="Arial"/>
                <w:sz w:val="16"/>
                <w:szCs w:val="16"/>
                <w:color w:val="auto"/>
              </w:rPr>
              <w:t>2. Certify that you are not subject to backup withholding, or</w:t>
            </w:r>
          </w:p>
        </w:tc>
        <w:tc>
          <w:tcPr>
            <w:tcW w:w="0" w:type="dxa"/>
            <w:vAlign w:val="bottom"/>
          </w:tcPr>
          <w:p>
            <w:pPr>
              <w:spacing w:after="0"/>
              <w:rPr>
                <w:sz w:val="1"/>
                <w:szCs w:val="1"/>
                <w:color w:val="auto"/>
              </w:rPr>
            </w:pPr>
          </w:p>
        </w:tc>
      </w:tr>
      <w:tr>
        <w:trPr>
          <w:trHeight w:val="73"/>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future developments affecting Form W-9 (such as legislation enacted after</w:t>
            </w:r>
          </w:p>
        </w:tc>
        <w:tc>
          <w:tcPr>
            <w:tcW w:w="5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5640" w:type="dxa"/>
            <w:vAlign w:val="bottom"/>
            <w:gridSpan w:val="2"/>
            <w:vMerge w:val="continue"/>
          </w:tcPr>
          <w:p>
            <w:pPr>
              <w:spacing w:after="0"/>
              <w:rPr>
                <w:sz w:val="10"/>
                <w:szCs w:val="10"/>
                <w:color w:val="auto"/>
              </w:rPr>
            </w:pPr>
          </w:p>
        </w:tc>
        <w:tc>
          <w:tcPr>
            <w:tcW w:w="5780" w:type="dxa"/>
            <w:vAlign w:val="bottom"/>
            <w:gridSpan w:val="2"/>
            <w:vMerge w:val="restart"/>
          </w:tcPr>
          <w:p>
            <w:pPr>
              <w:ind w:left="300"/>
              <w:spacing w:after="0"/>
              <w:rPr>
                <w:sz w:val="20"/>
                <w:szCs w:val="20"/>
                <w:color w:val="auto"/>
              </w:rPr>
            </w:pPr>
            <w:r>
              <w:rPr>
                <w:rFonts w:ascii="Arial" w:cs="Arial" w:eastAsia="Arial" w:hAnsi="Arial"/>
                <w:sz w:val="16"/>
                <w:szCs w:val="16"/>
                <w:color w:val="auto"/>
              </w:rPr>
              <w:t>3. Claim exemption from backup withholding if you are a U.S. exempt</w:t>
            </w:r>
          </w:p>
        </w:tc>
        <w:tc>
          <w:tcPr>
            <w:tcW w:w="0" w:type="dxa"/>
            <w:vAlign w:val="bottom"/>
          </w:tcPr>
          <w:p>
            <w:pPr>
              <w:spacing w:after="0"/>
              <w:rPr>
                <w:sz w:val="1"/>
                <w:szCs w:val="1"/>
                <w:color w:val="auto"/>
              </w:rPr>
            </w:pPr>
          </w:p>
        </w:tc>
      </w:tr>
      <w:tr>
        <w:trPr>
          <w:trHeight w:val="95"/>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we release it) will be posted on that page.</w:t>
            </w:r>
          </w:p>
        </w:tc>
        <w:tc>
          <w:tcPr>
            <w:tcW w:w="5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gridSpan w:val="2"/>
            <w:vMerge w:val="continue"/>
          </w:tcPr>
          <w:p>
            <w:pPr>
              <w:spacing w:after="0"/>
              <w:rPr>
                <w:sz w:val="8"/>
                <w:szCs w:val="8"/>
                <w:color w:val="auto"/>
              </w:rPr>
            </w:pPr>
          </w:p>
        </w:tc>
        <w:tc>
          <w:tcPr>
            <w:tcW w:w="5780" w:type="dxa"/>
            <w:vAlign w:val="bottom"/>
            <w:gridSpan w:val="2"/>
            <w:vMerge w:val="restart"/>
          </w:tcPr>
          <w:p>
            <w:pPr>
              <w:ind w:left="140"/>
              <w:spacing w:after="0"/>
              <w:rPr>
                <w:sz w:val="20"/>
                <w:szCs w:val="20"/>
                <w:color w:val="auto"/>
              </w:rPr>
            </w:pPr>
            <w:r>
              <w:rPr>
                <w:rFonts w:ascii="Arial" w:cs="Arial" w:eastAsia="Arial" w:hAnsi="Arial"/>
                <w:sz w:val="16"/>
                <w:szCs w:val="16"/>
                <w:color w:val="auto"/>
              </w:rPr>
              <w:t>payee. If applicable, you are also certifying that as a U.S. person, your</w:t>
            </w:r>
          </w:p>
        </w:tc>
        <w:tc>
          <w:tcPr>
            <w:tcW w:w="0" w:type="dxa"/>
            <w:vAlign w:val="bottom"/>
          </w:tcPr>
          <w:p>
            <w:pPr>
              <w:spacing w:after="0"/>
              <w:rPr>
                <w:sz w:val="1"/>
                <w:szCs w:val="1"/>
                <w:color w:val="auto"/>
              </w:rPr>
            </w:pPr>
          </w:p>
        </w:tc>
      </w:tr>
      <w:tr>
        <w:trPr>
          <w:trHeight w:val="89"/>
        </w:trPr>
        <w:tc>
          <w:tcPr>
            <w:tcW w:w="564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Purpose of Form</w:t>
            </w:r>
          </w:p>
        </w:tc>
        <w:tc>
          <w:tcPr>
            <w:tcW w:w="5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5640" w:type="dxa"/>
            <w:vAlign w:val="bottom"/>
            <w:gridSpan w:val="2"/>
            <w:vMerge w:val="continue"/>
          </w:tcPr>
          <w:p>
            <w:pPr>
              <w:spacing w:after="0"/>
              <w:rPr>
                <w:sz w:val="17"/>
                <w:szCs w:val="17"/>
                <w:color w:val="auto"/>
              </w:rPr>
            </w:pPr>
          </w:p>
        </w:tc>
        <w:tc>
          <w:tcPr>
            <w:tcW w:w="5780" w:type="dxa"/>
            <w:vAlign w:val="bottom"/>
            <w:gridSpan w:val="2"/>
          </w:tcPr>
          <w:p>
            <w:pPr>
              <w:ind w:left="140"/>
              <w:spacing w:after="0"/>
              <w:rPr>
                <w:sz w:val="20"/>
                <w:szCs w:val="20"/>
                <w:color w:val="auto"/>
              </w:rPr>
            </w:pPr>
            <w:r>
              <w:rPr>
                <w:rFonts w:ascii="Arial" w:cs="Arial" w:eastAsia="Arial" w:hAnsi="Arial"/>
                <w:sz w:val="16"/>
                <w:szCs w:val="16"/>
                <w:color w:val="auto"/>
              </w:rPr>
              <w:t>allocable share of any partnership income from a U.S. trade or business is</w:t>
            </w:r>
          </w:p>
        </w:tc>
        <w:tc>
          <w:tcPr>
            <w:tcW w:w="0" w:type="dxa"/>
            <w:vAlign w:val="bottom"/>
          </w:tcPr>
          <w:p>
            <w:pPr>
              <w:spacing w:after="0"/>
              <w:rPr>
                <w:sz w:val="1"/>
                <w:szCs w:val="1"/>
                <w:color w:val="auto"/>
              </w:rPr>
            </w:pPr>
          </w:p>
        </w:tc>
      </w:tr>
      <w:tr>
        <w:trPr>
          <w:trHeight w:val="177"/>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A person who is required to file an information return with the IRS must</w:t>
            </w:r>
          </w:p>
        </w:tc>
        <w:tc>
          <w:tcPr>
            <w:tcW w:w="5780" w:type="dxa"/>
            <w:vAlign w:val="bottom"/>
            <w:gridSpan w:val="2"/>
          </w:tcPr>
          <w:p>
            <w:pPr>
              <w:ind w:left="140"/>
              <w:spacing w:after="0" w:line="178" w:lineRule="exact"/>
              <w:rPr>
                <w:sz w:val="20"/>
                <w:szCs w:val="20"/>
                <w:color w:val="auto"/>
              </w:rPr>
            </w:pPr>
            <w:r>
              <w:rPr>
                <w:rFonts w:ascii="Arial" w:cs="Arial" w:eastAsia="Arial" w:hAnsi="Arial"/>
                <w:sz w:val="16"/>
                <w:szCs w:val="16"/>
                <w:color w:val="auto"/>
              </w:rPr>
              <w:t>not subject to the withholding tax on foreign partners’ share of effectively</w:t>
            </w:r>
          </w:p>
        </w:tc>
        <w:tc>
          <w:tcPr>
            <w:tcW w:w="0" w:type="dxa"/>
            <w:vAlign w:val="bottom"/>
          </w:tcPr>
          <w:p>
            <w:pPr>
              <w:spacing w:after="0"/>
              <w:rPr>
                <w:sz w:val="1"/>
                <w:szCs w:val="1"/>
                <w:color w:val="auto"/>
              </w:rPr>
            </w:pPr>
          </w:p>
        </w:tc>
      </w:tr>
      <w:tr>
        <w:trPr>
          <w:trHeight w:val="135"/>
        </w:trPr>
        <w:tc>
          <w:tcPr>
            <w:tcW w:w="5640" w:type="dxa"/>
            <w:vAlign w:val="bottom"/>
            <w:gridSpan w:val="2"/>
            <w:vMerge w:val="continue"/>
          </w:tcPr>
          <w:p>
            <w:pPr>
              <w:spacing w:after="0"/>
              <w:rPr>
                <w:sz w:val="11"/>
                <w:szCs w:val="11"/>
                <w:color w:val="auto"/>
              </w:rPr>
            </w:pPr>
          </w:p>
        </w:tc>
        <w:tc>
          <w:tcPr>
            <w:tcW w:w="4120" w:type="dxa"/>
            <w:vAlign w:val="bottom"/>
            <w:vMerge w:val="restart"/>
          </w:tcPr>
          <w:p>
            <w:pPr>
              <w:ind w:left="140"/>
              <w:spacing w:after="0"/>
              <w:rPr>
                <w:sz w:val="20"/>
                <w:szCs w:val="20"/>
                <w:color w:val="auto"/>
              </w:rPr>
            </w:pPr>
            <w:r>
              <w:rPr>
                <w:rFonts w:ascii="Arial" w:cs="Arial" w:eastAsia="Arial" w:hAnsi="Arial"/>
                <w:sz w:val="16"/>
                <w:szCs w:val="16"/>
                <w:color w:val="auto"/>
              </w:rPr>
              <w:t>connected income, and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obtain your correct taxpayer identification number (TIN) to report, for</w:t>
            </w:r>
          </w:p>
        </w:tc>
        <w:tc>
          <w:tcPr>
            <w:tcW w:w="412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5640" w:type="dxa"/>
            <w:vAlign w:val="bottom"/>
            <w:gridSpan w:val="2"/>
            <w:vMerge w:val="continue"/>
          </w:tcPr>
          <w:p>
            <w:pPr>
              <w:spacing w:after="0"/>
              <w:rPr>
                <w:sz w:val="11"/>
                <w:szCs w:val="11"/>
                <w:color w:val="auto"/>
              </w:rPr>
            </w:pPr>
          </w:p>
        </w:tc>
        <w:tc>
          <w:tcPr>
            <w:tcW w:w="5780" w:type="dxa"/>
            <w:vAlign w:val="bottom"/>
            <w:gridSpan w:val="2"/>
            <w:vMerge w:val="restart"/>
          </w:tcPr>
          <w:p>
            <w:pPr>
              <w:ind w:left="300"/>
              <w:spacing w:after="0"/>
              <w:rPr>
                <w:sz w:val="20"/>
                <w:szCs w:val="20"/>
                <w:color w:val="auto"/>
              </w:rPr>
            </w:pPr>
            <w:r>
              <w:rPr>
                <w:rFonts w:ascii="Arial" w:cs="Arial" w:eastAsia="Arial" w:hAnsi="Arial"/>
                <w:sz w:val="16"/>
                <w:szCs w:val="16"/>
                <w:color w:val="auto"/>
              </w:rPr>
              <w:t>4. Certify that FATCA code(s) entered on this form (if any) indicating that</w:t>
            </w:r>
          </w:p>
        </w:tc>
        <w:tc>
          <w:tcPr>
            <w:tcW w:w="0" w:type="dxa"/>
            <w:vAlign w:val="bottom"/>
          </w:tcPr>
          <w:p>
            <w:pPr>
              <w:spacing w:after="0"/>
              <w:rPr>
                <w:sz w:val="1"/>
                <w:szCs w:val="1"/>
                <w:color w:val="auto"/>
              </w:rPr>
            </w:pPr>
          </w:p>
        </w:tc>
      </w:tr>
      <w:tr>
        <w:trPr>
          <w:trHeight w:val="95"/>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example, income paid to you, payments made to you in settlement of</w:t>
            </w:r>
          </w:p>
        </w:tc>
        <w:tc>
          <w:tcPr>
            <w:tcW w:w="5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640" w:type="dxa"/>
            <w:vAlign w:val="bottom"/>
            <w:gridSpan w:val="2"/>
            <w:vMerge w:val="continue"/>
          </w:tcPr>
          <w:p>
            <w:pPr>
              <w:spacing w:after="0"/>
              <w:rPr>
                <w:sz w:val="8"/>
                <w:szCs w:val="8"/>
                <w:color w:val="auto"/>
              </w:rPr>
            </w:pPr>
          </w:p>
        </w:tc>
        <w:tc>
          <w:tcPr>
            <w:tcW w:w="4120" w:type="dxa"/>
            <w:vAlign w:val="bottom"/>
            <w:vMerge w:val="restart"/>
          </w:tcPr>
          <w:p>
            <w:pPr>
              <w:ind w:left="140"/>
              <w:spacing w:after="0"/>
              <w:rPr>
                <w:sz w:val="20"/>
                <w:szCs w:val="20"/>
                <w:color w:val="auto"/>
              </w:rPr>
            </w:pPr>
            <w:r>
              <w:rPr>
                <w:rFonts w:ascii="Arial" w:cs="Arial" w:eastAsia="Arial" w:hAnsi="Arial"/>
                <w:sz w:val="16"/>
                <w:szCs w:val="16"/>
                <w:color w:val="auto"/>
              </w:rPr>
              <w:t>you are exempt from the FATCA reporting, is correct.</w:t>
            </w: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gridSpan w:val="2"/>
            <w:vMerge w:val="restart"/>
          </w:tcPr>
          <w:p>
            <w:pPr>
              <w:spacing w:after="0"/>
              <w:rPr>
                <w:sz w:val="20"/>
                <w:szCs w:val="20"/>
                <w:color w:val="auto"/>
              </w:rPr>
            </w:pPr>
            <w:r>
              <w:rPr>
                <w:rFonts w:ascii="Arial" w:cs="Arial" w:eastAsia="Arial" w:hAnsi="Arial"/>
                <w:sz w:val="16"/>
                <w:szCs w:val="16"/>
                <w:color w:val="auto"/>
              </w:rPr>
              <w:t>payment card and third party network transactions, real estate transactions,</w:t>
            </w:r>
          </w:p>
        </w:tc>
        <w:tc>
          <w:tcPr>
            <w:tcW w:w="412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640" w:type="dxa"/>
            <w:vAlign w:val="bottom"/>
            <w:gridSpan w:val="2"/>
            <w:vMerge w:val="continue"/>
          </w:tcPr>
          <w:p>
            <w:pPr>
              <w:spacing w:after="0"/>
              <w:rPr>
                <w:sz w:val="7"/>
                <w:szCs w:val="7"/>
                <w:color w:val="auto"/>
              </w:rPr>
            </w:pPr>
          </w:p>
        </w:tc>
        <w:tc>
          <w:tcPr>
            <w:tcW w:w="57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If you are a U.S. person and a requester gives you a form other than</w:t>
            </w:r>
          </w:p>
        </w:tc>
        <w:tc>
          <w:tcPr>
            <w:tcW w:w="0" w:type="dxa"/>
            <w:vAlign w:val="bottom"/>
          </w:tcPr>
          <w:p>
            <w:pPr>
              <w:spacing w:after="0"/>
              <w:rPr>
                <w:sz w:val="1"/>
                <w:szCs w:val="1"/>
                <w:color w:val="auto"/>
              </w:rPr>
            </w:pPr>
          </w:p>
        </w:tc>
      </w:tr>
      <w:tr>
        <w:trPr>
          <w:trHeight w:val="162"/>
        </w:trPr>
        <w:tc>
          <w:tcPr>
            <w:tcW w:w="5640" w:type="dxa"/>
            <w:vAlign w:val="bottom"/>
            <w:gridSpan w:val="2"/>
          </w:tcPr>
          <w:p>
            <w:pPr>
              <w:spacing w:after="0" w:line="162" w:lineRule="exact"/>
              <w:rPr>
                <w:sz w:val="20"/>
                <w:szCs w:val="20"/>
                <w:color w:val="auto"/>
              </w:rPr>
            </w:pPr>
            <w:r>
              <w:rPr>
                <w:rFonts w:ascii="Arial" w:cs="Arial" w:eastAsia="Arial" w:hAnsi="Arial"/>
                <w:sz w:val="16"/>
                <w:szCs w:val="16"/>
                <w:color w:val="auto"/>
              </w:rPr>
              <w:t>mortgage interest you paid, acquisition or abandonment of secured property,</w:t>
            </w:r>
          </w:p>
        </w:tc>
        <w:tc>
          <w:tcPr>
            <w:tcW w:w="5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40" w:type="dxa"/>
            <w:vAlign w:val="bottom"/>
            <w:gridSpan w:val="2"/>
          </w:tcPr>
          <w:p>
            <w:pPr>
              <w:spacing w:after="0"/>
              <w:rPr>
                <w:sz w:val="20"/>
                <w:szCs w:val="20"/>
                <w:color w:val="auto"/>
              </w:rPr>
            </w:pPr>
            <w:r>
              <w:rPr>
                <w:rFonts w:ascii="Arial" w:cs="Arial" w:eastAsia="Arial" w:hAnsi="Arial"/>
                <w:sz w:val="16"/>
                <w:szCs w:val="16"/>
                <w:color w:val="auto"/>
              </w:rPr>
              <w:t>cancellation of debt, or contributions you made to an IRA.</w:t>
            </w:r>
          </w:p>
        </w:tc>
        <w:tc>
          <w:tcPr>
            <w:tcW w:w="5780" w:type="dxa"/>
            <w:vAlign w:val="bottom"/>
            <w:gridSpan w:val="2"/>
          </w:tcPr>
          <w:p>
            <w:pPr>
              <w:ind w:left="140"/>
              <w:spacing w:after="0"/>
              <w:rPr>
                <w:sz w:val="20"/>
                <w:szCs w:val="20"/>
                <w:color w:val="auto"/>
              </w:rPr>
            </w:pPr>
            <w:r>
              <w:rPr>
                <w:rFonts w:ascii="Arial" w:cs="Arial" w:eastAsia="Arial" w:hAnsi="Arial"/>
                <w:sz w:val="16"/>
                <w:szCs w:val="16"/>
                <w:color w:val="auto"/>
              </w:rPr>
              <w:t>Form W-9 to request your TIN, you must use the requester’s form if it is</w:t>
            </w: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4120" w:type="dxa"/>
            <w:vAlign w:val="bottom"/>
          </w:tcPr>
          <w:p>
            <w:pPr>
              <w:ind w:left="140"/>
              <w:spacing w:after="0"/>
              <w:rPr>
                <w:sz w:val="20"/>
                <w:szCs w:val="20"/>
                <w:color w:val="auto"/>
              </w:rPr>
            </w:pPr>
            <w:r>
              <w:rPr>
                <w:rFonts w:ascii="Arial" w:cs="Arial" w:eastAsia="Arial" w:hAnsi="Arial"/>
                <w:sz w:val="16"/>
                <w:szCs w:val="16"/>
                <w:color w:val="auto"/>
              </w:rPr>
              <w:t>substantially similar to this Form W-9.</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6"/>
        </w:trPr>
        <w:tc>
          <w:tcPr>
            <w:tcW w:w="70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1"/>
                <w:szCs w:val="21"/>
                <w:color w:val="auto"/>
              </w:rPr>
            </w:pPr>
          </w:p>
        </w:tc>
        <w:tc>
          <w:tcPr>
            <w:tcW w:w="9060" w:type="dxa"/>
            <w:vAlign w:val="bottom"/>
            <w:gridSpan w:val="2"/>
          </w:tcPr>
          <w:p>
            <w:pPr>
              <w:ind w:left="4620"/>
              <w:spacing w:after="0"/>
              <w:rPr>
                <w:sz w:val="20"/>
                <w:szCs w:val="20"/>
                <w:color w:val="auto"/>
              </w:rPr>
            </w:pPr>
            <w:r>
              <w:rPr>
                <w:rFonts w:ascii="Arial" w:cs="Arial" w:eastAsia="Arial" w:hAnsi="Arial"/>
                <w:sz w:val="13"/>
                <w:szCs w:val="13"/>
                <w:color w:val="auto"/>
              </w:rPr>
              <w:t>Cat. No. 10231X</w:t>
            </w:r>
          </w:p>
        </w:tc>
        <w:tc>
          <w:tcPr>
            <w:tcW w:w="1660" w:type="dxa"/>
            <w:vAlign w:val="bottom"/>
          </w:tcPr>
          <w:p>
            <w:pPr>
              <w:ind w:left="200"/>
              <w:spacing w:after="0"/>
              <w:rPr>
                <w:sz w:val="20"/>
                <w:szCs w:val="20"/>
                <w:color w:val="auto"/>
              </w:rPr>
            </w:pPr>
            <w:r>
              <w:rPr>
                <w:rFonts w:ascii="Arial" w:cs="Arial" w:eastAsia="Arial" w:hAnsi="Arial"/>
                <w:sz w:val="13"/>
                <w:szCs w:val="13"/>
                <w:color w:val="auto"/>
                <w:w w:val="95"/>
              </w:rPr>
              <w:t xml:space="preserve">Form </w:t>
            </w:r>
            <w:r>
              <w:rPr>
                <w:rFonts w:ascii="Arial" w:cs="Arial" w:eastAsia="Arial" w:hAnsi="Arial"/>
                <w:sz w:val="18"/>
                <w:szCs w:val="18"/>
                <w:b w:val="1"/>
                <w:bCs w:val="1"/>
                <w:color w:val="auto"/>
                <w:w w:val="95"/>
              </w:rPr>
              <w:t>W-9</w:t>
            </w:r>
            <w:r>
              <w:rPr>
                <w:rFonts w:ascii="Arial" w:cs="Arial" w:eastAsia="Arial" w:hAnsi="Arial"/>
                <w:sz w:val="13"/>
                <w:szCs w:val="13"/>
                <w:color w:val="auto"/>
                <w:w w:val="95"/>
              </w:rPr>
              <w:t xml:space="preserve"> (Rev. 8-2013)</w:t>
            </w:r>
          </w:p>
        </w:tc>
        <w:tc>
          <w:tcPr>
            <w:tcW w:w="0" w:type="dxa"/>
            <w:vAlign w:val="bottom"/>
          </w:tcPr>
          <w:p>
            <w:pPr>
              <w:spacing w:after="0"/>
              <w:rPr>
                <w:sz w:val="1"/>
                <w:szCs w:val="1"/>
                <w:color w:val="auto"/>
              </w:rPr>
            </w:pPr>
          </w:p>
        </w:tc>
      </w:tr>
    </w:tbl>
    <w:p>
      <w:pPr>
        <w:sectPr>
          <w:pgSz w:w="11900" w:h="16838" w:orient="portrait"/>
          <w:cols w:equalWidth="0" w:num="1">
            <w:col w:w="11440"/>
          </w:cols>
          <w:pgMar w:left="240" w:top="308" w:right="219" w:bottom="1440" w:gutter="0" w:footer="0" w:header="0"/>
          <w:type w:val="continuous"/>
        </w:sectPr>
      </w:pPr>
    </w:p>
    <w:bookmarkStart w:id="38" w:name="page39"/>
    <w:bookmarkEnd w:id="38"/>
    <w:p>
      <w:pPr>
        <w:spacing w:after="0"/>
        <w:tabs>
          <w:tab w:leader="none" w:pos="10980" w:val="left"/>
        </w:tabs>
        <w:rPr>
          <w:sz w:val="20"/>
          <w:szCs w:val="20"/>
          <w:color w:val="auto"/>
        </w:rPr>
      </w:pPr>
      <w:r>
        <w:rPr>
          <w:rFonts w:ascii="Arial" w:cs="Arial" w:eastAsia="Arial" w:hAnsi="Arial"/>
          <w:sz w:val="13"/>
          <w:szCs w:val="13"/>
          <w:color w:val="auto"/>
        </w:rPr>
        <w:t>Form W-9 (Rev. 8-2013)</w:t>
      </w:r>
      <w:r>
        <w:rPr>
          <w:sz w:val="20"/>
          <w:szCs w:val="20"/>
          <w:color w:val="auto"/>
        </w:rPr>
        <w:tab/>
      </w:r>
      <w:r>
        <w:rPr>
          <w:rFonts w:ascii="Arial" w:cs="Arial" w:eastAsia="Arial" w:hAnsi="Arial"/>
          <w:sz w:val="18"/>
          <w:szCs w:val="18"/>
          <w:color w:val="auto"/>
          <w:vertAlign w:val="subscript"/>
        </w:rPr>
        <w:t xml:space="preserve">Page </w:t>
      </w:r>
      <w:r>
        <w:rPr>
          <w:rFonts w:ascii="Arial" w:cs="Arial" w:eastAsia="Arial" w:hAnsi="Arial"/>
          <w:sz w:val="25"/>
          <w:szCs w:val="25"/>
          <w:b w:val="1"/>
          <w:bCs w:val="1"/>
          <w:color w:val="auto"/>
          <w:vertAlign w:val="sub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Definition of a U.S. person. </w:t>
      </w:r>
      <w:r>
        <w:rPr>
          <w:rFonts w:ascii="Arial" w:cs="Arial" w:eastAsia="Arial" w:hAnsi="Arial"/>
          <w:sz w:val="16"/>
          <w:szCs w:val="16"/>
          <w:color w:val="auto"/>
        </w:rPr>
        <w:t>For federal tax purposes, you are considered 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U.S. person if you are: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 An individual who is a U.S. citizen or U.S. resident alien,</w:t>
      </w:r>
    </w:p>
    <w:p>
      <w:pPr>
        <w:spacing w:after="0" w:line="4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 A partnership, corporation, company, or association created or organized in the United States or under the laws of the United States,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An estate (other than a foreign estate), or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 A domestic trust (as defined in Regulations section 301.7701-7).</w:t>
      </w:r>
    </w:p>
    <w:p>
      <w:pPr>
        <w:spacing w:after="0" w:line="7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b w:val="1"/>
          <w:bCs w:val="1"/>
          <w:color w:val="auto"/>
        </w:rPr>
        <w:t xml:space="preserve">Special rules for partnerships. </w:t>
      </w:r>
      <w:r>
        <w:rPr>
          <w:rFonts w:ascii="Arial" w:cs="Arial" w:eastAsia="Arial" w:hAnsi="Arial"/>
          <w:sz w:val="16"/>
          <w:szCs w:val="16"/>
          <w:color w:val="auto"/>
        </w:rPr>
        <w:t>Partnerships that conduct a trade or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in the United States are generally required to pay a withholding tax under section 1446 on any foreign partners’ share of effectively connected taxable income from such business. Further, in certain cases where a Form W-9 has not been received, the rules under section 1446 require a partnership to presume that a partner is a foreign person, and pay the section 1446 withholding tax. Therefore, if you are a U.S. person that is a partner in a partnership conducting a trade or business in the United States, provide Form W-9 to the partnership to establish your U.S. status and avoid section 1446 withholding on your share of partnership income.</w:t>
      </w:r>
    </w:p>
    <w:p>
      <w:pPr>
        <w:spacing w:after="0" w:line="27" w:lineRule="exact"/>
        <w:rPr>
          <w:sz w:val="20"/>
          <w:szCs w:val="20"/>
          <w:color w:val="auto"/>
        </w:rPr>
      </w:pPr>
    </w:p>
    <w:p>
      <w:pPr>
        <w:jc w:val="both"/>
        <w:ind w:right="580" w:firstLine="55"/>
        <w:spacing w:after="0" w:line="251" w:lineRule="auto"/>
        <w:rPr>
          <w:sz w:val="20"/>
          <w:szCs w:val="20"/>
          <w:color w:val="auto"/>
        </w:rPr>
      </w:pPr>
      <w:r>
        <w:rPr>
          <w:rFonts w:ascii="Arial" w:cs="Arial" w:eastAsia="Arial" w:hAnsi="Arial"/>
          <w:sz w:val="16"/>
          <w:szCs w:val="16"/>
          <w:color w:val="auto"/>
        </w:rPr>
        <w:t>In the cases below, the following person must give Form W-9 to the partnership for purposes of establishing its U.S. status and avoiding withholding on its allocable share of net income from the partnership conducting a trade or business in the United States:</w:t>
      </w:r>
    </w:p>
    <w:p>
      <w:pPr>
        <w:spacing w:after="0" w:line="2"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 In the case of a disregarded entity with a U.S. owner, the U.S. owner of the disregarded entity and not the entity,</w:t>
      </w:r>
    </w:p>
    <w:p>
      <w:pPr>
        <w:ind w:right="180"/>
        <w:spacing w:after="0" w:line="252" w:lineRule="auto"/>
        <w:rPr>
          <w:sz w:val="20"/>
          <w:szCs w:val="20"/>
          <w:color w:val="auto"/>
        </w:rPr>
      </w:pPr>
      <w:r>
        <w:rPr>
          <w:rFonts w:ascii="Arial" w:cs="Arial" w:eastAsia="Arial" w:hAnsi="Arial"/>
          <w:sz w:val="16"/>
          <w:szCs w:val="16"/>
          <w:color w:val="auto"/>
        </w:rPr>
        <w:t>— In the case of a grantor trust with a U.S. grantor or other U.S. owner, generally, the U.S. grantor or other U.S. owner of the grantor trust and not the trust, and</w:t>
      </w:r>
    </w:p>
    <w:p>
      <w:pPr>
        <w:spacing w:after="0" w:line="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In the case of a U.S. trust (other than a grantor trust), the U.S. trust (other than a grantor trust) and not the beneficiaries of the trust.</w:t>
      </w:r>
    </w:p>
    <w:p>
      <w:pPr>
        <w:spacing w:after="0" w:line="26"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b w:val="1"/>
          <w:bCs w:val="1"/>
          <w:color w:val="auto"/>
        </w:rPr>
        <w:t xml:space="preserve">Foreign person. </w:t>
      </w:r>
      <w:r>
        <w:rPr>
          <w:rFonts w:ascii="Arial" w:cs="Arial" w:eastAsia="Arial" w:hAnsi="Arial"/>
          <w:sz w:val="16"/>
          <w:szCs w:val="16"/>
          <w:color w:val="auto"/>
        </w:rPr>
        <w:t>If you are a foreign person or the U.S. branch of a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bank that has elected to be treated as a U.S. person, do not use Form W-9. Instead, use the appropriate Form W-8 or Form 8233 (see Publication 515, Withholding of Tax on Nonresident Aliens and Foreign Entities).</w:t>
      </w:r>
    </w:p>
    <w:p>
      <w:pPr>
        <w:spacing w:after="0" w:line="3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color w:val="auto"/>
        </w:rPr>
        <w:t xml:space="preserve">Nonresident alien who becomes a resident alien. </w:t>
      </w:r>
      <w:r>
        <w:rPr>
          <w:rFonts w:ascii="Arial" w:cs="Arial" w:eastAsia="Arial" w:hAnsi="Arial"/>
          <w:sz w:val="16"/>
          <w:szCs w:val="16"/>
          <w:color w:val="auto"/>
        </w:rPr>
        <w:t>Generally, only a</w:t>
      </w:r>
      <w:r>
        <w:rPr>
          <w:rFonts w:ascii="Arial" w:cs="Arial" w:eastAsia="Arial" w:hAnsi="Arial"/>
          <w:sz w:val="16"/>
          <w:szCs w:val="16"/>
          <w:b w:val="1"/>
          <w:bCs w:val="1"/>
          <w:color w:val="auto"/>
        </w:rPr>
        <w:t xml:space="preserve"> </w:t>
      </w:r>
      <w:r>
        <w:rPr>
          <w:rFonts w:ascii="Arial" w:cs="Arial" w:eastAsia="Arial" w:hAnsi="Arial"/>
          <w:sz w:val="16"/>
          <w:szCs w:val="16"/>
          <w:color w:val="auto"/>
        </w:rPr>
        <w:t>nonresident alien individual 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w:t>
      </w:r>
    </w:p>
    <w:p>
      <w:pPr>
        <w:spacing w:after="0" w:line="26" w:lineRule="exact"/>
        <w:rPr>
          <w:sz w:val="20"/>
          <w:szCs w:val="20"/>
          <w:color w:val="auto"/>
        </w:rPr>
      </w:pPr>
    </w:p>
    <w:p>
      <w:pPr>
        <w:ind w:right="100" w:firstLine="55"/>
        <w:spacing w:after="0" w:line="251" w:lineRule="auto"/>
        <w:rPr>
          <w:sz w:val="20"/>
          <w:szCs w:val="20"/>
          <w:color w:val="auto"/>
        </w:rPr>
      </w:pPr>
      <w:r>
        <w:rPr>
          <w:rFonts w:ascii="Arial" w:cs="Arial" w:eastAsia="Arial" w:hAnsi="Arial"/>
          <w:sz w:val="16"/>
          <w:szCs w:val="16"/>
          <w:color w:val="auto"/>
        </w:rPr>
        <w:t>If you are a U.S. resident alien who is relying on an exception contained in the saving clause of a tax treaty to claim an exemption from U.S. tax on certain types of income, you must attach a statement to Form W-9 that specifies the following five items:</w:t>
      </w:r>
    </w:p>
    <w:p>
      <w:pPr>
        <w:spacing w:after="0" w:line="14" w:lineRule="exact"/>
        <w:rPr>
          <w:sz w:val="20"/>
          <w:szCs w:val="20"/>
          <w:color w:val="auto"/>
        </w:rPr>
      </w:pPr>
    </w:p>
    <w:p>
      <w:pPr>
        <w:ind w:right="120" w:firstLine="63"/>
        <w:spacing w:after="0" w:line="260" w:lineRule="auto"/>
        <w:tabs>
          <w:tab w:leader="none" w:pos="2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treaty country. Generally, this must be the same treaty under which you claimed exemption from tax as a nonresident alien.</w:t>
      </w:r>
    </w:p>
    <w:p>
      <w:pPr>
        <w:spacing w:after="0" w:line="20" w:lineRule="exact"/>
        <w:rPr>
          <w:rFonts w:ascii="Arial" w:cs="Arial" w:eastAsia="Arial" w:hAnsi="Arial"/>
          <w:sz w:val="16"/>
          <w:szCs w:val="16"/>
          <w:color w:val="auto"/>
        </w:rPr>
      </w:pPr>
    </w:p>
    <w:p>
      <w:pPr>
        <w:ind w:left="240" w:hanging="177"/>
        <w:spacing w:after="0"/>
        <w:tabs>
          <w:tab w:leader="none" w:pos="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treaty article addressing the income.</w:t>
      </w:r>
    </w:p>
    <w:p>
      <w:pPr>
        <w:spacing w:after="0" w:line="45" w:lineRule="exact"/>
        <w:rPr>
          <w:rFonts w:ascii="Arial" w:cs="Arial" w:eastAsia="Arial" w:hAnsi="Arial"/>
          <w:sz w:val="16"/>
          <w:szCs w:val="16"/>
          <w:color w:val="auto"/>
        </w:rPr>
      </w:pPr>
    </w:p>
    <w:p>
      <w:pPr>
        <w:ind w:right="80" w:firstLine="63"/>
        <w:spacing w:after="0" w:line="260" w:lineRule="auto"/>
        <w:tabs>
          <w:tab w:leader="none" w:pos="2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article number (or location) in the tax treaty that contains the saving clause and its exceptions.</w:t>
      </w:r>
    </w:p>
    <w:p>
      <w:pPr>
        <w:spacing w:after="0" w:line="6" w:lineRule="exact"/>
        <w:rPr>
          <w:rFonts w:ascii="Arial" w:cs="Arial" w:eastAsia="Arial" w:hAnsi="Arial"/>
          <w:sz w:val="16"/>
          <w:szCs w:val="16"/>
          <w:color w:val="auto"/>
        </w:rPr>
      </w:pPr>
    </w:p>
    <w:p>
      <w:pPr>
        <w:ind w:left="240" w:hanging="177"/>
        <w:spacing w:after="0"/>
        <w:tabs>
          <w:tab w:leader="none" w:pos="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type and amount of income that qualifies for the exemption from tax.</w:t>
      </w:r>
    </w:p>
    <w:p>
      <w:pPr>
        <w:spacing w:after="0" w:line="45" w:lineRule="exact"/>
        <w:rPr>
          <w:rFonts w:ascii="Arial" w:cs="Arial" w:eastAsia="Arial" w:hAnsi="Arial"/>
          <w:sz w:val="16"/>
          <w:szCs w:val="16"/>
          <w:color w:val="auto"/>
        </w:rPr>
      </w:pPr>
    </w:p>
    <w:p>
      <w:pPr>
        <w:ind w:right="220" w:firstLine="63"/>
        <w:spacing w:after="0" w:line="260" w:lineRule="auto"/>
        <w:tabs>
          <w:tab w:leader="none" w:pos="2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Sufficient facts to justify the exemption from tax under the terms of the treaty article.</w:t>
      </w:r>
    </w:p>
    <w:p>
      <w:pPr>
        <w:spacing w:after="0" w:line="27" w:lineRule="exact"/>
        <w:rPr>
          <w:sz w:val="20"/>
          <w:szCs w:val="20"/>
          <w:color w:val="auto"/>
        </w:rPr>
      </w:pPr>
    </w:p>
    <w:p>
      <w:pPr>
        <w:ind w:right="700" w:firstLine="55"/>
        <w:spacing w:after="0" w:line="286" w:lineRule="auto"/>
        <w:rPr>
          <w:sz w:val="20"/>
          <w:szCs w:val="20"/>
          <w:color w:val="auto"/>
        </w:rPr>
      </w:pPr>
      <w:r>
        <w:rPr>
          <w:rFonts w:ascii="Arial" w:cs="Arial" w:eastAsia="Arial" w:hAnsi="Arial"/>
          <w:sz w:val="16"/>
          <w:szCs w:val="16"/>
          <w:b w:val="1"/>
          <w:bCs w:val="1"/>
          <w:i w:val="1"/>
          <w:iCs w:val="1"/>
          <w:color w:val="auto"/>
        </w:rPr>
        <w:t xml:space="preserve">Example. </w:t>
      </w:r>
      <w:r>
        <w:rPr>
          <w:rFonts w:ascii="Arial" w:cs="Arial" w:eastAsia="Arial" w:hAnsi="Arial"/>
          <w:sz w:val="16"/>
          <w:szCs w:val="16"/>
          <w:color w:val="auto"/>
        </w:rPr>
        <w:t>Article 20 of the U.S.-China income tax treaty allows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exemption from tax for scholarship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received by a Chinese student temporarily present in the United States. Under U.S. law, this student will become a resident alien for tax purposes if his or her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his or her scholarship or fellowship income would attach to Form W-9 a statement that includes the information described above to support that exemption.</w:t>
      </w:r>
    </w:p>
    <w:p>
      <w:pPr>
        <w:spacing w:after="0" w:line="29" w:lineRule="exact"/>
        <w:rPr>
          <w:sz w:val="20"/>
          <w:szCs w:val="20"/>
          <w:color w:val="auto"/>
        </w:rPr>
      </w:pPr>
    </w:p>
    <w:p>
      <w:pPr>
        <w:ind w:right="560" w:firstLine="55"/>
        <w:spacing w:after="0" w:line="260" w:lineRule="auto"/>
        <w:rPr>
          <w:sz w:val="20"/>
          <w:szCs w:val="20"/>
          <w:color w:val="auto"/>
        </w:rPr>
      </w:pPr>
      <w:r>
        <w:rPr>
          <w:rFonts w:ascii="Arial" w:cs="Arial" w:eastAsia="Arial" w:hAnsi="Arial"/>
          <w:sz w:val="16"/>
          <w:szCs w:val="16"/>
          <w:color w:val="auto"/>
        </w:rPr>
        <w:t>If you are a nonresident alien or a foreign entity, give the requester the appropriate completed Form W-8 or Form 8233.</w:t>
      </w:r>
    </w:p>
    <w:p>
      <w:pPr>
        <w:spacing w:after="0" w:line="27"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b w:val="1"/>
          <w:bCs w:val="1"/>
          <w:color w:val="auto"/>
        </w:rPr>
        <w:t xml:space="preserve">What is backup withholding? </w:t>
      </w:r>
      <w:r>
        <w:rPr>
          <w:rFonts w:ascii="Arial" w:cs="Arial" w:eastAsia="Arial" w:hAnsi="Arial"/>
          <w:sz w:val="16"/>
          <w:szCs w:val="16"/>
          <w:color w:val="auto"/>
        </w:rPr>
        <w:t>Persons making certain payments to you</w:t>
      </w:r>
      <w:r>
        <w:rPr>
          <w:rFonts w:ascii="Arial" w:cs="Arial" w:eastAsia="Arial" w:hAnsi="Arial"/>
          <w:sz w:val="16"/>
          <w:szCs w:val="16"/>
          <w:b w:val="1"/>
          <w:bCs w:val="1"/>
          <w:color w:val="auto"/>
        </w:rPr>
        <w:t xml:space="preserve"> </w:t>
      </w:r>
      <w:r>
        <w:rPr>
          <w:rFonts w:ascii="Arial" w:cs="Arial" w:eastAsia="Arial" w:hAnsi="Arial"/>
          <w:sz w:val="16"/>
          <w:szCs w:val="16"/>
          <w:color w:val="auto"/>
        </w:rPr>
        <w:t>must under certain conditions withhold and pay to the IRS a percentage of such payments. This is called “backup withholding.” Payments that may be subject to backup withholding include interest, tax-exempt interest, dividends, broker and barter exchange transactions, rents, royalties, nonemployee pay, payments made in settlement of payment card and third party network transactions, and certain payments from fishing boat operators. Real estate transactions are not subject to backup withholding.</w:t>
      </w:r>
    </w:p>
    <w:p>
      <w:pPr>
        <w:spacing w:after="0" w:line="28" w:lineRule="exact"/>
        <w:rPr>
          <w:sz w:val="20"/>
          <w:szCs w:val="20"/>
          <w:color w:val="auto"/>
        </w:rPr>
      </w:pPr>
    </w:p>
    <w:p>
      <w:pPr>
        <w:ind w:right="260" w:firstLine="55"/>
        <w:spacing w:after="0" w:line="253" w:lineRule="auto"/>
        <w:rPr>
          <w:sz w:val="20"/>
          <w:szCs w:val="20"/>
          <w:color w:val="auto"/>
        </w:rPr>
      </w:pPr>
      <w:r>
        <w:rPr>
          <w:rFonts w:ascii="Arial" w:cs="Arial" w:eastAsia="Arial" w:hAnsi="Arial"/>
          <w:sz w:val="16"/>
          <w:szCs w:val="16"/>
          <w:color w:val="auto"/>
        </w:rPr>
        <w:t>You will not be subject to backup withholding on payments you receive if you give the requester your correct TIN, make the proper certifications, and report all your taxable interest and dividends on your tax return.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Payments you receive will be subject to backup withholding if:</w:t>
      </w:r>
    </w:p>
    <w:p>
      <w:pPr>
        <w:spacing w:after="0" w:line="66" w:lineRule="exact"/>
        <w:rPr>
          <w:sz w:val="20"/>
          <w:szCs w:val="20"/>
          <w:color w:val="auto"/>
        </w:rPr>
      </w:pPr>
    </w:p>
    <w:p>
      <w:pPr>
        <w:ind w:left="240" w:hanging="185"/>
        <w:spacing w:after="0"/>
        <w:tabs>
          <w:tab w:leader="none" w:pos="2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You do not furnish your TIN to the requester,</w:t>
      </w:r>
    </w:p>
    <w:p>
      <w:pPr>
        <w:spacing w:after="0" w:line="32" w:lineRule="exact"/>
        <w:rPr>
          <w:rFonts w:ascii="Arial" w:cs="Arial" w:eastAsia="Arial" w:hAnsi="Arial"/>
          <w:sz w:val="16"/>
          <w:szCs w:val="16"/>
          <w:color w:val="auto"/>
        </w:rPr>
      </w:pPr>
    </w:p>
    <w:p>
      <w:pPr>
        <w:ind w:right="220" w:firstLine="55"/>
        <w:spacing w:after="0" w:line="260" w:lineRule="auto"/>
        <w:tabs>
          <w:tab w:leader="none" w:pos="2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You do not certify your TIN when required (see the Part II instructions on page 3 for details),</w:t>
      </w:r>
    </w:p>
    <w:p>
      <w:pPr>
        <w:spacing w:after="0" w:line="20" w:lineRule="exact"/>
        <w:rPr>
          <w:rFonts w:ascii="Arial" w:cs="Arial" w:eastAsia="Arial" w:hAnsi="Arial"/>
          <w:sz w:val="16"/>
          <w:szCs w:val="16"/>
          <w:color w:val="auto"/>
        </w:rPr>
      </w:pPr>
    </w:p>
    <w:p>
      <w:pPr>
        <w:ind w:left="240" w:hanging="185"/>
        <w:spacing w:after="0"/>
        <w:tabs>
          <w:tab w:leader="none" w:pos="2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IRS tells the requester that you furnished an incorrect TIN,</w:t>
      </w:r>
    </w:p>
    <w:p>
      <w:pPr>
        <w:spacing w:after="0" w:line="45" w:lineRule="exact"/>
        <w:rPr>
          <w:rFonts w:ascii="Arial" w:cs="Arial" w:eastAsia="Arial" w:hAnsi="Arial"/>
          <w:sz w:val="16"/>
          <w:szCs w:val="16"/>
          <w:color w:val="auto"/>
        </w:rPr>
      </w:pPr>
    </w:p>
    <w:p>
      <w:pPr>
        <w:ind w:right="460" w:firstLine="55"/>
        <w:spacing w:after="0" w:line="253" w:lineRule="auto"/>
        <w:tabs>
          <w:tab w:leader="none" w:pos="2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IRS tells you that you are subject to backup withholding because you did not report all your interest and dividends on your tax return (for reportable interest and dividends only), or</w:t>
      </w:r>
    </w:p>
    <w:p>
      <w:pPr>
        <w:spacing w:after="0" w:line="12" w:lineRule="exact"/>
        <w:rPr>
          <w:rFonts w:ascii="Arial" w:cs="Arial" w:eastAsia="Arial" w:hAnsi="Arial"/>
          <w:sz w:val="16"/>
          <w:szCs w:val="16"/>
          <w:color w:val="auto"/>
        </w:rPr>
      </w:pPr>
    </w:p>
    <w:p>
      <w:pPr>
        <w:jc w:val="both"/>
        <w:ind w:right="460" w:firstLine="55"/>
        <w:spacing w:after="0" w:line="253" w:lineRule="auto"/>
        <w:tabs>
          <w:tab w:leader="none" w:pos="2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You do not certify to the requester that you are not subject to backup withholding under 4 above (for reportable interest and dividend accounts opened after 1983 only).</w:t>
      </w:r>
    </w:p>
    <w:p>
      <w:pPr>
        <w:spacing w:after="0" w:line="26" w:lineRule="exact"/>
        <w:rPr>
          <w:sz w:val="20"/>
          <w:szCs w:val="20"/>
          <w:color w:val="auto"/>
        </w:rPr>
      </w:pPr>
    </w:p>
    <w:p>
      <w:pPr>
        <w:ind w:right="400" w:firstLine="55"/>
        <w:spacing w:after="0" w:line="253" w:lineRule="auto"/>
        <w:rPr>
          <w:sz w:val="20"/>
          <w:szCs w:val="20"/>
          <w:color w:val="auto"/>
        </w:rPr>
      </w:pPr>
      <w:r>
        <w:rPr>
          <w:rFonts w:ascii="Arial" w:cs="Arial" w:eastAsia="Arial" w:hAnsi="Arial"/>
          <w:sz w:val="16"/>
          <w:szCs w:val="16"/>
          <w:color w:val="auto"/>
        </w:rPr>
        <w:t xml:space="preserve">Certain payees and payments are exempt from backup withholding. See </w:t>
      </w:r>
      <w:r>
        <w:rPr>
          <w:rFonts w:ascii="Arial" w:cs="Arial" w:eastAsia="Arial" w:hAnsi="Arial"/>
          <w:sz w:val="16"/>
          <w:szCs w:val="16"/>
          <w:i w:val="1"/>
          <w:iCs w:val="1"/>
          <w:color w:val="auto"/>
        </w:rPr>
        <w:t xml:space="preserve">Exempt payee code </w:t>
      </w:r>
      <w:r>
        <w:rPr>
          <w:rFonts w:ascii="Arial" w:cs="Arial" w:eastAsia="Arial" w:hAnsi="Arial"/>
          <w:sz w:val="16"/>
          <w:szCs w:val="16"/>
          <w:color w:val="auto"/>
        </w:rPr>
        <w:t>on page 3 and the separate Instructions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Requester of Form W-9 for more information.</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Also see </w:t>
      </w:r>
      <w:r>
        <w:rPr>
          <w:rFonts w:ascii="Arial" w:cs="Arial" w:eastAsia="Arial" w:hAnsi="Arial"/>
          <w:sz w:val="16"/>
          <w:szCs w:val="16"/>
          <w:i w:val="1"/>
          <w:iCs w:val="1"/>
          <w:color w:val="auto"/>
        </w:rPr>
        <w:t>Special rules for partnerships</w:t>
      </w:r>
      <w:r>
        <w:rPr>
          <w:rFonts w:ascii="Arial" w:cs="Arial" w:eastAsia="Arial" w:hAnsi="Arial"/>
          <w:sz w:val="16"/>
          <w:szCs w:val="16"/>
          <w:color w:val="auto"/>
        </w:rPr>
        <w:t xml:space="preserve"> on page 1.</w:t>
      </w:r>
    </w:p>
    <w:p>
      <w:pPr>
        <w:spacing w:after="0" w:line="69" w:lineRule="exact"/>
        <w:rPr>
          <w:sz w:val="20"/>
          <w:szCs w:val="20"/>
          <w:color w:val="auto"/>
        </w:rPr>
      </w:pPr>
    </w:p>
    <w:p>
      <w:pPr>
        <w:ind w:right="340"/>
        <w:spacing w:after="0" w:line="254" w:lineRule="auto"/>
        <w:rPr>
          <w:sz w:val="20"/>
          <w:szCs w:val="20"/>
          <w:color w:val="auto"/>
        </w:rPr>
      </w:pPr>
      <w:r>
        <w:rPr>
          <w:rFonts w:ascii="Arial" w:cs="Arial" w:eastAsia="Arial" w:hAnsi="Arial"/>
          <w:sz w:val="16"/>
          <w:szCs w:val="16"/>
          <w:b w:val="1"/>
          <w:bCs w:val="1"/>
          <w:color w:val="auto"/>
        </w:rPr>
        <w:t xml:space="preserve">What is FATCA reporting? </w:t>
      </w:r>
      <w:r>
        <w:rPr>
          <w:rFonts w:ascii="Arial" w:cs="Arial" w:eastAsia="Arial" w:hAnsi="Arial"/>
          <w:sz w:val="16"/>
          <w:szCs w:val="16"/>
          <w:color w:val="auto"/>
        </w:rPr>
        <w:t>The Foreign Account Tax Compliance Act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(FATCA) requires a participating foreign financial institution to report all United States account holders that are specified United States persons. Certain payees are exempt from FATCA reporting. See </w:t>
      </w:r>
      <w:r>
        <w:rPr>
          <w:rFonts w:ascii="Arial" w:cs="Arial" w:eastAsia="Arial" w:hAnsi="Arial"/>
          <w:sz w:val="16"/>
          <w:szCs w:val="16"/>
          <w:i w:val="1"/>
          <w:iCs w:val="1"/>
          <w:color w:val="auto"/>
        </w:rPr>
        <w:t>Exemption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FATCA reporting code </w:t>
      </w:r>
      <w:r>
        <w:rPr>
          <w:rFonts w:ascii="Arial" w:cs="Arial" w:eastAsia="Arial" w:hAnsi="Arial"/>
          <w:sz w:val="16"/>
          <w:szCs w:val="16"/>
          <w:color w:val="auto"/>
        </w:rPr>
        <w:t>on page 3 and the Instructions for the Requester of</w:t>
      </w:r>
      <w:r>
        <w:rPr>
          <w:rFonts w:ascii="Arial" w:cs="Arial" w:eastAsia="Arial" w:hAnsi="Arial"/>
          <w:sz w:val="16"/>
          <w:szCs w:val="16"/>
          <w:i w:val="1"/>
          <w:iCs w:val="1"/>
          <w:color w:val="auto"/>
        </w:rPr>
        <w:t xml:space="preserve"> </w:t>
      </w:r>
      <w:r>
        <w:rPr>
          <w:rFonts w:ascii="Arial" w:cs="Arial" w:eastAsia="Arial" w:hAnsi="Arial"/>
          <w:sz w:val="16"/>
          <w:szCs w:val="16"/>
          <w:color w:val="auto"/>
        </w:rPr>
        <w:t>Form W-9 for more information.</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Updating Your Information</w:t>
      </w:r>
    </w:p>
    <w:p>
      <w:pPr>
        <w:spacing w:after="0" w:line="106"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w:t>
      </w:r>
    </w:p>
    <w:p>
      <w:pPr>
        <w:sectPr>
          <w:pgSz w:w="11900" w:h="16838" w:orient="portrait"/>
          <w:cols w:equalWidth="0" w:num="2">
            <w:col w:w="5480" w:space="300"/>
            <w:col w:w="5640"/>
          </w:cols>
          <w:pgMar w:left="240" w:top="21" w:right="239" w:bottom="1440" w:gutter="0" w:footer="0" w:header="0"/>
          <w:type w:val="continuous"/>
        </w:sectPr>
      </w:pPr>
    </w:p>
    <w:bookmarkStart w:id="39" w:name="page40"/>
    <w:bookmarkEnd w:id="39"/>
    <w:p>
      <w:pPr>
        <w:spacing w:after="0"/>
        <w:tabs>
          <w:tab w:leader="none" w:pos="10980" w:val="left"/>
        </w:tabs>
        <w:rPr>
          <w:sz w:val="20"/>
          <w:szCs w:val="20"/>
          <w:color w:val="auto"/>
        </w:rPr>
      </w:pPr>
      <w:r>
        <w:rPr>
          <w:rFonts w:ascii="Arial" w:cs="Arial" w:eastAsia="Arial" w:hAnsi="Arial"/>
          <w:sz w:val="13"/>
          <w:szCs w:val="13"/>
          <w:color w:val="auto"/>
        </w:rPr>
        <w:t>Form W-9 (Rev. 8-2013)</w:t>
      </w:r>
      <w:r>
        <w:rPr>
          <w:sz w:val="20"/>
          <w:szCs w:val="20"/>
          <w:color w:val="auto"/>
        </w:rPr>
        <w:tab/>
      </w:r>
      <w:r>
        <w:rPr>
          <w:rFonts w:ascii="Arial" w:cs="Arial" w:eastAsia="Arial" w:hAnsi="Arial"/>
          <w:sz w:val="18"/>
          <w:szCs w:val="18"/>
          <w:color w:val="auto"/>
          <w:vertAlign w:val="subscript"/>
        </w:rPr>
        <w:t xml:space="preserve">Page </w:t>
      </w:r>
      <w:r>
        <w:rPr>
          <w:rFonts w:ascii="Arial" w:cs="Arial" w:eastAsia="Arial" w:hAnsi="Arial"/>
          <w:sz w:val="25"/>
          <w:szCs w:val="25"/>
          <w:b w:val="1"/>
          <w:bCs w:val="1"/>
          <w:color w:val="auto"/>
          <w:vertAlign w:val="sub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 w:right="2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no longer are tax exempt. In addition, you must furnish a new Form W-9 if the name or TIN changes for the account, for example, if the grantor of a grantor trust dies.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Penalties</w:t>
      </w:r>
    </w:p>
    <w:p>
      <w:pPr>
        <w:spacing w:after="0" w:line="86" w:lineRule="exact"/>
        <w:rPr>
          <w:sz w:val="20"/>
          <w:szCs w:val="20"/>
          <w:color w:val="auto"/>
        </w:rPr>
      </w:pPr>
    </w:p>
    <w:p>
      <w:pPr>
        <w:jc w:val="both"/>
        <w:ind w:right="100"/>
        <w:spacing w:after="0" w:line="258" w:lineRule="auto"/>
        <w:rPr>
          <w:sz w:val="20"/>
          <w:szCs w:val="20"/>
          <w:color w:val="auto"/>
        </w:rPr>
      </w:pPr>
      <w:r>
        <w:rPr>
          <w:rFonts w:ascii="Arial" w:cs="Arial" w:eastAsia="Arial" w:hAnsi="Arial"/>
          <w:sz w:val="16"/>
          <w:szCs w:val="16"/>
          <w:b w:val="1"/>
          <w:bCs w:val="1"/>
          <w:color w:val="auto"/>
        </w:rPr>
        <w:t xml:space="preserve">Failure to furnish TIN. </w:t>
      </w:r>
      <w:r>
        <w:rPr>
          <w:rFonts w:ascii="Arial" w:cs="Arial" w:eastAsia="Arial" w:hAnsi="Arial"/>
          <w:sz w:val="16"/>
          <w:szCs w:val="16"/>
          <w:color w:val="auto"/>
        </w:rPr>
        <w:t>If you fail to furnish your correct TIN to a requester,</w:t>
      </w:r>
      <w:r>
        <w:rPr>
          <w:rFonts w:ascii="Arial" w:cs="Arial" w:eastAsia="Arial" w:hAnsi="Arial"/>
          <w:sz w:val="16"/>
          <w:szCs w:val="16"/>
          <w:b w:val="1"/>
          <w:bCs w:val="1"/>
          <w:color w:val="auto"/>
        </w:rPr>
        <w:t xml:space="preserve"> </w:t>
      </w:r>
      <w:r>
        <w:rPr>
          <w:rFonts w:ascii="Arial" w:cs="Arial" w:eastAsia="Arial" w:hAnsi="Arial"/>
          <w:sz w:val="16"/>
          <w:szCs w:val="16"/>
          <w:color w:val="auto"/>
        </w:rPr>
        <w:t>you are subject to a penalty of $50 for each such failure unless your failure is due to reasonable cause and not to willful neglect.</w:t>
      </w:r>
    </w:p>
    <w:p>
      <w:pPr>
        <w:spacing w:after="0" w:line="1"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b w:val="1"/>
          <w:bCs w:val="1"/>
          <w:color w:val="auto"/>
        </w:rPr>
        <w:t xml:space="preserve">Civil penalty for false information with respect to withholding. </w:t>
      </w:r>
      <w:r>
        <w:rPr>
          <w:rFonts w:ascii="Arial" w:cs="Arial" w:eastAsia="Arial" w:hAnsi="Arial"/>
          <w:sz w:val="16"/>
          <w:szCs w:val="16"/>
          <w:color w:val="auto"/>
        </w:rPr>
        <w:t>If you</w:t>
      </w:r>
      <w:r>
        <w:rPr>
          <w:rFonts w:ascii="Arial" w:cs="Arial" w:eastAsia="Arial" w:hAnsi="Arial"/>
          <w:sz w:val="16"/>
          <w:szCs w:val="16"/>
          <w:b w:val="1"/>
          <w:bCs w:val="1"/>
          <w:color w:val="auto"/>
        </w:rPr>
        <w:t xml:space="preserve"> </w:t>
      </w:r>
      <w:r>
        <w:rPr>
          <w:rFonts w:ascii="Arial" w:cs="Arial" w:eastAsia="Arial" w:hAnsi="Arial"/>
          <w:sz w:val="16"/>
          <w:szCs w:val="16"/>
          <w:color w:val="auto"/>
        </w:rPr>
        <w:t>make a false statement with no reasonable basis that results in no backup withholding, you are subject to a $500 penalty.</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color w:val="auto"/>
        </w:rPr>
        <w:t xml:space="preserve">Criminal penalty for falsifying information. </w:t>
      </w:r>
      <w:r>
        <w:rPr>
          <w:rFonts w:ascii="Arial" w:cs="Arial" w:eastAsia="Arial" w:hAnsi="Arial"/>
          <w:sz w:val="16"/>
          <w:szCs w:val="16"/>
          <w:color w:val="auto"/>
        </w:rPr>
        <w:t>Willfully falsifying certifications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or affirmations may subject you to criminal penalties including fines and/or imprisonment.</w:t>
      </w:r>
    </w:p>
    <w:p>
      <w:pPr>
        <w:spacing w:after="0" w:line="1" w:lineRule="exact"/>
        <w:rPr>
          <w:sz w:val="20"/>
          <w:szCs w:val="20"/>
          <w:color w:val="auto"/>
        </w:rPr>
      </w:pPr>
    </w:p>
    <w:p>
      <w:pPr>
        <w:ind w:right="360"/>
        <w:spacing w:after="0" w:line="282" w:lineRule="auto"/>
        <w:rPr>
          <w:sz w:val="20"/>
          <w:szCs w:val="20"/>
          <w:color w:val="auto"/>
        </w:rPr>
      </w:pPr>
      <w:r>
        <w:rPr>
          <w:rFonts w:ascii="Arial" w:cs="Arial" w:eastAsia="Arial" w:hAnsi="Arial"/>
          <w:sz w:val="16"/>
          <w:szCs w:val="16"/>
          <w:b w:val="1"/>
          <w:bCs w:val="1"/>
          <w:color w:val="auto"/>
        </w:rPr>
        <w:t xml:space="preserve">Misuse of TINs. </w:t>
      </w:r>
      <w:r>
        <w:rPr>
          <w:rFonts w:ascii="Arial" w:cs="Arial" w:eastAsia="Arial" w:hAnsi="Arial"/>
          <w:sz w:val="16"/>
          <w:szCs w:val="16"/>
          <w:color w:val="auto"/>
        </w:rPr>
        <w:t>If the requester discloses or uses TINs in violation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law, the requester may be subject to civil and criminal penalties.</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Specific Instructions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5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If you are an individual, you must generally enter the name shown on your income tax return. However, if you have changed your last name, for instance, due to marriage without informing the Social Security Administration of the name change, enter your first name, the last name shown on your social security card, and your new last name.</w:t>
      </w:r>
    </w:p>
    <w:p>
      <w:pPr>
        <w:spacing w:after="0" w:line="28" w:lineRule="exact"/>
        <w:rPr>
          <w:sz w:val="20"/>
          <w:szCs w:val="20"/>
          <w:color w:val="auto"/>
        </w:rPr>
      </w:pPr>
    </w:p>
    <w:p>
      <w:pPr>
        <w:ind w:right="280" w:firstLine="55"/>
        <w:spacing w:after="0" w:line="260" w:lineRule="auto"/>
        <w:rPr>
          <w:sz w:val="20"/>
          <w:szCs w:val="20"/>
          <w:color w:val="auto"/>
        </w:rPr>
      </w:pPr>
      <w:r>
        <w:rPr>
          <w:rFonts w:ascii="Arial" w:cs="Arial" w:eastAsia="Arial" w:hAnsi="Arial"/>
          <w:sz w:val="16"/>
          <w:szCs w:val="16"/>
          <w:color w:val="auto"/>
        </w:rPr>
        <w:t>If the account is in joint names, list first, and then circle, the name of the person or entity whose number you entered in Part I of the form.</w:t>
      </w:r>
    </w:p>
    <w:p>
      <w:pPr>
        <w:ind w:right="80"/>
        <w:spacing w:after="0" w:line="255" w:lineRule="auto"/>
        <w:rPr>
          <w:sz w:val="20"/>
          <w:szCs w:val="20"/>
          <w:color w:val="auto"/>
        </w:rPr>
      </w:pPr>
      <w:r>
        <w:rPr>
          <w:rFonts w:ascii="Arial" w:cs="Arial" w:eastAsia="Arial" w:hAnsi="Arial"/>
          <w:sz w:val="16"/>
          <w:szCs w:val="16"/>
          <w:b w:val="1"/>
          <w:bCs w:val="1"/>
          <w:color w:val="auto"/>
        </w:rPr>
        <w:t xml:space="preserve">Sole proprietor. </w:t>
      </w:r>
      <w:r>
        <w:rPr>
          <w:rFonts w:ascii="Arial" w:cs="Arial" w:eastAsia="Arial" w:hAnsi="Arial"/>
          <w:sz w:val="16"/>
          <w:szCs w:val="16"/>
          <w:color w:val="auto"/>
        </w:rPr>
        <w:t>Enter your individual name as shown on your income tax</w:t>
      </w:r>
      <w:r>
        <w:rPr>
          <w:rFonts w:ascii="Arial" w:cs="Arial" w:eastAsia="Arial" w:hAnsi="Arial"/>
          <w:sz w:val="16"/>
          <w:szCs w:val="16"/>
          <w:b w:val="1"/>
          <w:bCs w:val="1"/>
          <w:color w:val="auto"/>
        </w:rPr>
        <w:t xml:space="preserve"> </w:t>
      </w:r>
      <w:r>
        <w:rPr>
          <w:rFonts w:ascii="Arial" w:cs="Arial" w:eastAsia="Arial" w:hAnsi="Arial"/>
          <w:sz w:val="16"/>
          <w:szCs w:val="16"/>
          <w:color w:val="auto"/>
        </w:rPr>
        <w:t>return on the “Name” line. You may enter your business, trade, or “doing business as (DBA)” name on the “Business name/disregarded entity name” line.</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color w:val="auto"/>
        </w:rPr>
        <w:t xml:space="preserve">Partnership, C Corporation, or S Corporation. </w:t>
      </w:r>
      <w:r>
        <w:rPr>
          <w:rFonts w:ascii="Arial" w:cs="Arial" w:eastAsia="Arial" w:hAnsi="Arial"/>
          <w:sz w:val="16"/>
          <w:szCs w:val="16"/>
          <w:color w:val="auto"/>
        </w:rPr>
        <w:t>Enter the entity’s name on</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line and any business, trade, or “doing business as (DBA) name” on the “Business name/disregarded entity name” line.</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b w:val="1"/>
          <w:bCs w:val="1"/>
          <w:color w:val="auto"/>
        </w:rPr>
        <w:t xml:space="preserve">Disregarded entity. </w:t>
      </w:r>
      <w:r>
        <w:rPr>
          <w:rFonts w:ascii="Arial" w:cs="Arial" w:eastAsia="Arial" w:hAnsi="Arial"/>
          <w:sz w:val="16"/>
          <w:szCs w:val="16"/>
          <w:color w:val="auto"/>
        </w:rPr>
        <w:t>For U.S. federal tax purposes, an entity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disregarded as an entity separate from its owner is treated as a “disregarded entity.” See Regulation section 301.7701-2(c)(2)(iii). Enter the owner’s name on the “Name” line. The name of the entity entered on the “Name” line should never be a disregarded entity. The name on the “Name” line must be the name shown on the income tax return on which the income should be reported. For example, if a foreign LLC that is treated as a disregarded entity for U.S. federal tax purposes has a single owner that is a U.S. person, the U.S. owner’s name is required to be provided on the “Name” line. If the direct owner of the entity is also a disregarded entity, enter the first owner that is not disregarded for federal tax purposes. Enter the disregarded entity’s name on the “Business name/disregarded entity name” line. If the owner of the disregarded entity is a foreign person, the owner must complete an appropriate Form W-8 instead of a Form W-9. This is the case even if the foreign person has a U.S. TIN.</w:t>
      </w:r>
    </w:p>
    <w:p>
      <w:pPr>
        <w:spacing w:after="0" w:line="1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Check the appropriate box for the U.S. federal tax classification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person whose name is entered on the “Name” line (Individual/sole proprietor, Partnership, C Corporation, S Corporation, Trust/estate).</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Limited Liability Company (LLC). </w:t>
      </w:r>
      <w:r>
        <w:rPr>
          <w:rFonts w:ascii="Arial" w:cs="Arial" w:eastAsia="Arial" w:hAnsi="Arial"/>
          <w:sz w:val="16"/>
          <w:szCs w:val="16"/>
          <w:color w:val="auto"/>
        </w:rPr>
        <w:t>If the person identified on the “Name”</w:t>
      </w:r>
      <w:r>
        <w:rPr>
          <w:rFonts w:ascii="Arial" w:cs="Arial" w:eastAsia="Arial" w:hAnsi="Arial"/>
          <w:sz w:val="16"/>
          <w:szCs w:val="16"/>
          <w:b w:val="1"/>
          <w:bCs w:val="1"/>
          <w:color w:val="auto"/>
        </w:rPr>
        <w:t xml:space="preserve"> </w:t>
      </w:r>
      <w:r>
        <w:rPr>
          <w:rFonts w:ascii="Arial" w:cs="Arial" w:eastAsia="Arial" w:hAnsi="Arial"/>
          <w:sz w:val="16"/>
          <w:szCs w:val="16"/>
          <w:color w:val="auto"/>
        </w:rPr>
        <w:t>line is an LLC, check the “Limited liability company” box only and enter the appropriate code for the U.S. federal tax classification in the space provided. If you are an LLC that is treated as a partnership for U.S. federal tax purposes, enter “P” for partnership. If you are an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that has filed a Form 8832 or a Form 2553 to be taxed as a corporation, enter “C” for C corporation or “S” for S corporation, as appropriate. If you are an LLC that is disregarded as an entity separate from its owner under Regulation section 301.7701-3 (except for employment and excise tax), do not check the LLC box unless the owner of the LLC (required to be identified on the “Name” line) is another LLC that is not disregarded for U.S. federal tax purposes. If the LLC is disregarded as an entity separate from its owner, enter the appropriate tax classification of the owner identified on the “Name” line.</w:t>
      </w:r>
    </w:p>
    <w:p>
      <w:pPr>
        <w:spacing w:after="0" w:line="11"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b w:val="1"/>
          <w:bCs w:val="1"/>
          <w:color w:val="auto"/>
        </w:rPr>
        <w:t xml:space="preserve">Other entities. </w:t>
      </w:r>
      <w:r>
        <w:rPr>
          <w:rFonts w:ascii="Arial" w:cs="Arial" w:eastAsia="Arial" w:hAnsi="Arial"/>
          <w:sz w:val="16"/>
          <w:szCs w:val="16"/>
          <w:color w:val="auto"/>
        </w:rPr>
        <w:t>Enter your business name as shown on required U.S.</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tax documents on the “Name” line. This name should match the name shown on the charter or other legal document creating the entity. You may enter any business, trade, or DBA name on the “Business name/disregarded entity name” line.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Exemptions</w:t>
      </w:r>
    </w:p>
    <w:p>
      <w:pPr>
        <w:spacing w:after="0" w:line="65" w:lineRule="exact"/>
        <w:rPr>
          <w:sz w:val="20"/>
          <w:szCs w:val="20"/>
          <w:color w:val="auto"/>
        </w:rPr>
      </w:pPr>
    </w:p>
    <w:p>
      <w:pPr>
        <w:jc w:val="both"/>
        <w:ind w:right="220"/>
        <w:spacing w:after="0" w:line="249" w:lineRule="auto"/>
        <w:rPr>
          <w:sz w:val="20"/>
          <w:szCs w:val="20"/>
          <w:color w:val="auto"/>
        </w:rPr>
      </w:pPr>
      <w:r>
        <w:rPr>
          <w:rFonts w:ascii="Arial" w:cs="Arial" w:eastAsia="Arial" w:hAnsi="Arial"/>
          <w:sz w:val="16"/>
          <w:szCs w:val="16"/>
          <w:color w:val="auto"/>
        </w:rPr>
        <w:t xml:space="preserve">If you are exempt from backup withholding and/or FATCA reporting, enter in the </w:t>
      </w:r>
      <w:r>
        <w:rPr>
          <w:rFonts w:ascii="Arial" w:cs="Arial" w:eastAsia="Arial" w:hAnsi="Arial"/>
          <w:sz w:val="16"/>
          <w:szCs w:val="16"/>
          <w:i w:val="1"/>
          <w:iCs w:val="1"/>
          <w:color w:val="auto"/>
        </w:rPr>
        <w:t>Exemptions</w:t>
      </w:r>
      <w:r>
        <w:rPr>
          <w:rFonts w:ascii="Arial" w:cs="Arial" w:eastAsia="Arial" w:hAnsi="Arial"/>
          <w:sz w:val="16"/>
          <w:szCs w:val="16"/>
          <w:color w:val="auto"/>
        </w:rPr>
        <w:t xml:space="preserve"> box, any code(s) that may apply to you. See </w:t>
      </w:r>
      <w:r>
        <w:rPr>
          <w:rFonts w:ascii="Arial" w:cs="Arial" w:eastAsia="Arial" w:hAnsi="Arial"/>
          <w:sz w:val="16"/>
          <w:szCs w:val="16"/>
          <w:i w:val="1"/>
          <w:iCs w:val="1"/>
          <w:color w:val="auto"/>
        </w:rPr>
        <w:t>Exempt payee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code </w:t>
      </w:r>
      <w:r>
        <w:rPr>
          <w:rFonts w:ascii="Arial" w:cs="Arial" w:eastAsia="Arial" w:hAnsi="Arial"/>
          <w:sz w:val="16"/>
          <w:szCs w:val="16"/>
          <w:color w:val="auto"/>
        </w:rPr>
        <w:t>and</w:t>
      </w:r>
      <w:r>
        <w:rPr>
          <w:rFonts w:ascii="Arial" w:cs="Arial" w:eastAsia="Arial" w:hAnsi="Arial"/>
          <w:sz w:val="16"/>
          <w:szCs w:val="16"/>
          <w:i w:val="1"/>
          <w:iCs w:val="1"/>
          <w:color w:val="auto"/>
        </w:rPr>
        <w:t xml:space="preserve"> Exemption from FATCA reporting code </w:t>
      </w:r>
      <w:r>
        <w:rPr>
          <w:rFonts w:ascii="Arial" w:cs="Arial" w:eastAsia="Arial" w:hAnsi="Arial"/>
          <w:sz w:val="16"/>
          <w:szCs w:val="16"/>
          <w:color w:val="auto"/>
        </w:rPr>
        <w:t>on page 3.</w:t>
      </w:r>
    </w:p>
    <w:p>
      <w:pPr>
        <w:spacing w:after="0" w:line="2" w:lineRule="exact"/>
        <w:rPr>
          <w:sz w:val="20"/>
          <w:szCs w:val="20"/>
          <w:color w:val="auto"/>
        </w:rPr>
      </w:pPr>
    </w:p>
    <w:p>
      <w:pPr>
        <w:jc w:val="both"/>
        <w:ind w:right="240"/>
        <w:spacing w:after="0" w:line="255" w:lineRule="auto"/>
        <w:rPr>
          <w:sz w:val="20"/>
          <w:szCs w:val="20"/>
          <w:color w:val="auto"/>
        </w:rPr>
      </w:pPr>
      <w:r>
        <w:rPr>
          <w:rFonts w:ascii="Arial" w:cs="Arial" w:eastAsia="Arial" w:hAnsi="Arial"/>
          <w:sz w:val="16"/>
          <w:szCs w:val="16"/>
          <w:b w:val="1"/>
          <w:bCs w:val="1"/>
          <w:color w:val="auto"/>
        </w:rPr>
        <w:t xml:space="preserve">Exempt payee code. </w:t>
      </w:r>
      <w:r>
        <w:rPr>
          <w:rFonts w:ascii="Arial" w:cs="Arial" w:eastAsia="Arial" w:hAnsi="Arial"/>
          <w:sz w:val="16"/>
          <w:szCs w:val="16"/>
          <w:color w:val="auto"/>
        </w:rPr>
        <w:t>Generally, individuals (including sole proprietors) are</w:t>
      </w:r>
      <w:r>
        <w:rPr>
          <w:rFonts w:ascii="Arial" w:cs="Arial" w:eastAsia="Arial" w:hAnsi="Arial"/>
          <w:sz w:val="16"/>
          <w:szCs w:val="16"/>
          <w:b w:val="1"/>
          <w:bCs w:val="1"/>
          <w:color w:val="auto"/>
        </w:rPr>
        <w:t xml:space="preserve"> </w:t>
      </w:r>
      <w:r>
        <w:rPr>
          <w:rFonts w:ascii="Arial" w:cs="Arial" w:eastAsia="Arial" w:hAnsi="Arial"/>
          <w:sz w:val="16"/>
          <w:szCs w:val="16"/>
          <w:color w:val="auto"/>
        </w:rPr>
        <w:t>not exempt from backup withholding. Corporations are exempt from backup withholding for certain payments, such as interest and dividends.</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Corporations are not exempt from backup withholding for payments made in settlement of payment card or third party network transactions.</w:t>
      </w:r>
    </w:p>
    <w:p>
      <w:pPr>
        <w:ind w:right="280"/>
        <w:spacing w:after="0" w:line="286"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If you are exempt from backup withholding, you should still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this form to avoid possible erroneous backup withholding.</w:t>
      </w:r>
    </w:p>
    <w:p>
      <w:pPr>
        <w:ind w:right="920" w:firstLine="55"/>
        <w:spacing w:after="0" w:line="260" w:lineRule="auto"/>
        <w:rPr>
          <w:sz w:val="20"/>
          <w:szCs w:val="20"/>
          <w:color w:val="auto"/>
        </w:rPr>
      </w:pPr>
      <w:r>
        <w:rPr>
          <w:rFonts w:ascii="Arial" w:cs="Arial" w:eastAsia="Arial" w:hAnsi="Arial"/>
          <w:sz w:val="16"/>
          <w:szCs w:val="16"/>
          <w:color w:val="auto"/>
        </w:rPr>
        <w:t>The following codes identify payees that are exempt from backup withholding:</w:t>
      </w:r>
    </w:p>
    <w:p>
      <w:pPr>
        <w:spacing w:after="0" w:line="7" w:lineRule="exact"/>
        <w:rPr>
          <w:sz w:val="20"/>
          <w:szCs w:val="20"/>
          <w:color w:val="auto"/>
        </w:rPr>
      </w:pPr>
    </w:p>
    <w:p>
      <w:pPr>
        <w:ind w:right="340" w:firstLine="55"/>
        <w:spacing w:after="0" w:line="253" w:lineRule="auto"/>
        <w:rPr>
          <w:sz w:val="20"/>
          <w:szCs w:val="20"/>
          <w:color w:val="auto"/>
        </w:rPr>
      </w:pPr>
      <w:r>
        <w:rPr>
          <w:rFonts w:ascii="Arial" w:cs="Arial" w:eastAsia="Arial" w:hAnsi="Arial"/>
          <w:sz w:val="16"/>
          <w:szCs w:val="16"/>
          <w:color w:val="auto"/>
        </w:rPr>
        <w:t>1 — An organization exempt from tax under section 501(a), any IRA, or a custodial account under section 403(b)(7) if the account satisfies the requirements of section 401(f)(2)</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2 — The United States or any of its agencies or instrumentalities</w:t>
      </w:r>
    </w:p>
    <w:p>
      <w:pPr>
        <w:spacing w:after="0" w:line="46" w:lineRule="exact"/>
        <w:rPr>
          <w:sz w:val="20"/>
          <w:szCs w:val="20"/>
          <w:color w:val="auto"/>
        </w:rPr>
      </w:pPr>
    </w:p>
    <w:p>
      <w:pPr>
        <w:ind w:right="240" w:firstLine="55"/>
        <w:spacing w:after="0" w:line="260" w:lineRule="auto"/>
        <w:rPr>
          <w:sz w:val="20"/>
          <w:szCs w:val="20"/>
          <w:color w:val="auto"/>
        </w:rPr>
      </w:pPr>
      <w:r>
        <w:rPr>
          <w:rFonts w:ascii="Arial" w:cs="Arial" w:eastAsia="Arial" w:hAnsi="Arial"/>
          <w:sz w:val="16"/>
          <w:szCs w:val="16"/>
          <w:color w:val="auto"/>
        </w:rPr>
        <w:t>3 — A state, the District of Columbia, a possession of the United States, or any of their political subdivisions or instrumentalities</w:t>
      </w:r>
    </w:p>
    <w:p>
      <w:pPr>
        <w:spacing w:after="0" w:line="7" w:lineRule="exact"/>
        <w:rPr>
          <w:sz w:val="20"/>
          <w:szCs w:val="20"/>
          <w:color w:val="auto"/>
        </w:rPr>
      </w:pPr>
    </w:p>
    <w:p>
      <w:pPr>
        <w:ind w:right="320" w:firstLine="55"/>
        <w:spacing w:after="0" w:line="260" w:lineRule="auto"/>
        <w:rPr>
          <w:sz w:val="20"/>
          <w:szCs w:val="20"/>
          <w:color w:val="auto"/>
        </w:rPr>
      </w:pPr>
      <w:r>
        <w:rPr>
          <w:rFonts w:ascii="Arial" w:cs="Arial" w:eastAsia="Arial" w:hAnsi="Arial"/>
          <w:sz w:val="16"/>
          <w:szCs w:val="16"/>
          <w:color w:val="auto"/>
        </w:rPr>
        <w:t>4 — A foreign government or any of its political subdivisions, agencies, or instrumentalities</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5 — A corporation</w:t>
      </w:r>
    </w:p>
    <w:p>
      <w:pPr>
        <w:spacing w:after="0" w:line="46" w:lineRule="exact"/>
        <w:rPr>
          <w:sz w:val="20"/>
          <w:szCs w:val="20"/>
          <w:color w:val="auto"/>
        </w:rPr>
      </w:pPr>
    </w:p>
    <w:p>
      <w:pPr>
        <w:ind w:right="240" w:firstLine="55"/>
        <w:spacing w:after="0" w:line="260" w:lineRule="auto"/>
        <w:rPr>
          <w:sz w:val="20"/>
          <w:szCs w:val="20"/>
          <w:color w:val="auto"/>
        </w:rPr>
      </w:pPr>
      <w:r>
        <w:rPr>
          <w:rFonts w:ascii="Arial" w:cs="Arial" w:eastAsia="Arial" w:hAnsi="Arial"/>
          <w:sz w:val="16"/>
          <w:szCs w:val="16"/>
          <w:color w:val="auto"/>
        </w:rPr>
        <w:t>6 — A dealer in securities or commodities required to register in the United States, the District of Columbia, or a possession of the United States</w:t>
      </w:r>
    </w:p>
    <w:p>
      <w:pPr>
        <w:spacing w:after="0" w:line="7" w:lineRule="exact"/>
        <w:rPr>
          <w:sz w:val="20"/>
          <w:szCs w:val="20"/>
          <w:color w:val="auto"/>
        </w:rPr>
      </w:pPr>
    </w:p>
    <w:p>
      <w:pPr>
        <w:ind w:right="740" w:firstLine="55"/>
        <w:spacing w:after="0" w:line="260" w:lineRule="auto"/>
        <w:rPr>
          <w:sz w:val="20"/>
          <w:szCs w:val="20"/>
          <w:color w:val="auto"/>
        </w:rPr>
      </w:pPr>
      <w:r>
        <w:rPr>
          <w:rFonts w:ascii="Arial" w:cs="Arial" w:eastAsia="Arial" w:hAnsi="Arial"/>
          <w:sz w:val="16"/>
          <w:szCs w:val="16"/>
          <w:color w:val="auto"/>
        </w:rPr>
        <w:t>7 — A futures commission merchant registered with the Commodity Futures Trading Commission</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8 — A real estate investment trust</w:t>
      </w:r>
    </w:p>
    <w:p>
      <w:pPr>
        <w:spacing w:after="0" w:line="46" w:lineRule="exact"/>
        <w:rPr>
          <w:sz w:val="20"/>
          <w:szCs w:val="20"/>
          <w:color w:val="auto"/>
        </w:rPr>
      </w:pPr>
    </w:p>
    <w:p>
      <w:pPr>
        <w:ind w:right="900" w:firstLine="55"/>
        <w:spacing w:after="0" w:line="260" w:lineRule="auto"/>
        <w:rPr>
          <w:sz w:val="20"/>
          <w:szCs w:val="20"/>
          <w:color w:val="auto"/>
        </w:rPr>
      </w:pPr>
      <w:r>
        <w:rPr>
          <w:rFonts w:ascii="Arial" w:cs="Arial" w:eastAsia="Arial" w:hAnsi="Arial"/>
          <w:sz w:val="16"/>
          <w:szCs w:val="16"/>
          <w:color w:val="auto"/>
        </w:rPr>
        <w:t>9 — An entity registered at all times during the tax year under the Investment Company Act of 1940</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 — A common trust fund operated by a bank under section 584(a)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11 — A financial institution</w:t>
      </w:r>
    </w:p>
    <w:p>
      <w:pPr>
        <w:spacing w:after="0" w:line="32" w:lineRule="exact"/>
        <w:rPr>
          <w:sz w:val="20"/>
          <w:szCs w:val="20"/>
          <w:color w:val="auto"/>
        </w:rPr>
      </w:pPr>
    </w:p>
    <w:p>
      <w:pPr>
        <w:ind w:right="400" w:firstLine="55"/>
        <w:spacing w:after="0" w:line="260" w:lineRule="auto"/>
        <w:rPr>
          <w:sz w:val="20"/>
          <w:szCs w:val="20"/>
          <w:color w:val="auto"/>
        </w:rPr>
      </w:pPr>
      <w:r>
        <w:rPr>
          <w:rFonts w:ascii="Arial" w:cs="Arial" w:eastAsia="Arial" w:hAnsi="Arial"/>
          <w:sz w:val="16"/>
          <w:szCs w:val="16"/>
          <w:color w:val="auto"/>
        </w:rPr>
        <w:t>12 — A middleman known in the investment community as a nominee or custodian</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 — A trust exempt from tax under section 664 or described in section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4947</w:t>
      </w:r>
    </w:p>
    <w:p>
      <w:pPr>
        <w:sectPr>
          <w:pgSz w:w="11900" w:h="16838" w:orient="portrait"/>
          <w:cols w:equalWidth="0" w:num="2">
            <w:col w:w="5480" w:space="300"/>
            <w:col w:w="5640"/>
          </w:cols>
          <w:pgMar w:left="240" w:top="21" w:right="239" w:bottom="1440" w:gutter="0" w:footer="0" w:header="0"/>
          <w:type w:val="continuous"/>
        </w:sectPr>
      </w:pPr>
    </w:p>
    <w:bookmarkStart w:id="40" w:name="page41"/>
    <w:bookmarkEnd w:id="40"/>
    <w:p>
      <w:pPr>
        <w:spacing w:after="0"/>
        <w:tabs>
          <w:tab w:leader="none" w:pos="10980" w:val="left"/>
        </w:tabs>
        <w:rPr>
          <w:sz w:val="20"/>
          <w:szCs w:val="20"/>
          <w:color w:val="auto"/>
        </w:rPr>
      </w:pPr>
      <w:r>
        <w:rPr>
          <w:rFonts w:ascii="Arial" w:cs="Arial" w:eastAsia="Arial" w:hAnsi="Arial"/>
          <w:sz w:val="13"/>
          <w:szCs w:val="13"/>
          <w:color w:val="auto"/>
        </w:rPr>
        <w:t>Form W-9 (Rev. 8-2013)</w:t>
      </w:r>
      <w:r>
        <w:rPr>
          <w:sz w:val="20"/>
          <w:szCs w:val="20"/>
          <w:color w:val="auto"/>
        </w:rPr>
        <w:tab/>
      </w:r>
      <w:r>
        <w:rPr>
          <w:rFonts w:ascii="Arial" w:cs="Arial" w:eastAsia="Arial" w:hAnsi="Arial"/>
          <w:sz w:val="18"/>
          <w:szCs w:val="18"/>
          <w:color w:val="auto"/>
          <w:vertAlign w:val="subscript"/>
        </w:rPr>
        <w:t xml:space="preserve">Page </w:t>
      </w:r>
      <w:r>
        <w:rPr>
          <w:rFonts w:ascii="Arial" w:cs="Arial" w:eastAsia="Arial" w:hAnsi="Arial"/>
          <w:sz w:val="25"/>
          <w:szCs w:val="25"/>
          <w:b w:val="1"/>
          <w:bCs w:val="1"/>
          <w:color w:val="auto"/>
          <w:vertAlign w:val="sub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 w:right="2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right="80" w:firstLine="55"/>
        <w:spacing w:after="0" w:line="253" w:lineRule="auto"/>
        <w:rPr>
          <w:sz w:val="20"/>
          <w:szCs w:val="20"/>
          <w:color w:val="auto"/>
        </w:rPr>
      </w:pPr>
      <w:r>
        <w:rPr>
          <w:rFonts w:ascii="Arial" w:cs="Arial" w:eastAsia="Arial" w:hAnsi="Arial"/>
          <w:sz w:val="16"/>
          <w:szCs w:val="16"/>
          <w:color w:val="auto"/>
        </w:rPr>
        <w:t>The following chart shows types of payments that may be exempt from backup withholding. The chart applies to the exempt payees listed above, 1 through 13.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IF the payment is for . . .</w:t>
            </w:r>
          </w:p>
        </w:tc>
        <w:tc>
          <w:tcPr>
            <w:tcW w:w="2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THEN the payment is exempt for . . .</w:t>
            </w:r>
          </w:p>
        </w:tc>
      </w:tr>
      <w:tr>
        <w:trPr>
          <w:trHeight w:val="156"/>
        </w:trPr>
        <w:tc>
          <w:tcPr>
            <w:tcW w:w="26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Interest and dividend payments</w:t>
            </w:r>
          </w:p>
        </w:tc>
        <w:tc>
          <w:tcPr>
            <w:tcW w:w="28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All exempt payees except for 7</w:t>
            </w:r>
          </w:p>
        </w:tc>
      </w:tr>
      <w:tr>
        <w:trPr>
          <w:trHeight w:val="160"/>
        </w:trPr>
        <w:tc>
          <w:tcPr>
            <w:tcW w:w="2680" w:type="dxa"/>
            <w:vAlign w:val="bottom"/>
          </w:tcPr>
          <w:p>
            <w:pPr>
              <w:ind w:left="20"/>
              <w:spacing w:after="0"/>
              <w:rPr>
                <w:sz w:val="20"/>
                <w:szCs w:val="20"/>
                <w:color w:val="auto"/>
              </w:rPr>
            </w:pPr>
            <w:r>
              <w:rPr>
                <w:rFonts w:ascii="Arial" w:cs="Arial" w:eastAsia="Arial" w:hAnsi="Arial"/>
                <w:sz w:val="14"/>
                <w:szCs w:val="14"/>
                <w:color w:val="auto"/>
              </w:rPr>
              <w:t>Broker transactions</w:t>
            </w:r>
          </w:p>
        </w:tc>
        <w:tc>
          <w:tcPr>
            <w:tcW w:w="2800" w:type="dxa"/>
            <w:vAlign w:val="bottom"/>
          </w:tcPr>
          <w:p>
            <w:pPr>
              <w:ind w:left="200"/>
              <w:spacing w:after="0"/>
              <w:rPr>
                <w:sz w:val="20"/>
                <w:szCs w:val="20"/>
                <w:color w:val="auto"/>
              </w:rPr>
            </w:pPr>
            <w:r>
              <w:rPr>
                <w:rFonts w:ascii="Arial" w:cs="Arial" w:eastAsia="Arial" w:hAnsi="Arial"/>
                <w:sz w:val="14"/>
                <w:szCs w:val="14"/>
                <w:color w:val="auto"/>
              </w:rPr>
              <w:t>Exempt payees 1 through 4 and 6</w:t>
            </w:r>
          </w:p>
        </w:tc>
      </w:tr>
      <w:tr>
        <w:trPr>
          <w:trHeight w:val="162"/>
        </w:trPr>
        <w:tc>
          <w:tcPr>
            <w:tcW w:w="2680" w:type="dxa"/>
            <w:vAlign w:val="bottom"/>
          </w:tcPr>
          <w:p>
            <w:pPr>
              <w:spacing w:after="0"/>
              <w:rPr>
                <w:sz w:val="14"/>
                <w:szCs w:val="14"/>
                <w:color w:val="auto"/>
              </w:rPr>
            </w:pPr>
          </w:p>
        </w:tc>
        <w:tc>
          <w:tcPr>
            <w:tcW w:w="2800" w:type="dxa"/>
            <w:vAlign w:val="bottom"/>
          </w:tcPr>
          <w:p>
            <w:pPr>
              <w:ind w:left="200"/>
              <w:spacing w:after="0"/>
              <w:rPr>
                <w:sz w:val="20"/>
                <w:szCs w:val="20"/>
                <w:color w:val="auto"/>
              </w:rPr>
            </w:pPr>
            <w:r>
              <w:rPr>
                <w:rFonts w:ascii="Arial" w:cs="Arial" w:eastAsia="Arial" w:hAnsi="Arial"/>
                <w:sz w:val="14"/>
                <w:szCs w:val="14"/>
                <w:color w:val="auto"/>
              </w:rPr>
              <w:t>through 11 and all C corporations.</w:t>
            </w:r>
          </w:p>
        </w:tc>
      </w:tr>
      <w:tr>
        <w:trPr>
          <w:trHeight w:val="162"/>
        </w:trPr>
        <w:tc>
          <w:tcPr>
            <w:tcW w:w="2680" w:type="dxa"/>
            <w:vAlign w:val="bottom"/>
          </w:tcPr>
          <w:p>
            <w:pPr>
              <w:spacing w:after="0"/>
              <w:rPr>
                <w:sz w:val="14"/>
                <w:szCs w:val="14"/>
                <w:color w:val="auto"/>
              </w:rPr>
            </w:pPr>
          </w:p>
        </w:tc>
        <w:tc>
          <w:tcPr>
            <w:tcW w:w="2800" w:type="dxa"/>
            <w:vAlign w:val="bottom"/>
          </w:tcPr>
          <w:p>
            <w:pPr>
              <w:ind w:left="200"/>
              <w:spacing w:after="0"/>
              <w:rPr>
                <w:sz w:val="20"/>
                <w:szCs w:val="20"/>
                <w:color w:val="auto"/>
              </w:rPr>
            </w:pPr>
            <w:r>
              <w:rPr>
                <w:rFonts w:ascii="Arial" w:cs="Arial" w:eastAsia="Arial" w:hAnsi="Arial"/>
                <w:sz w:val="14"/>
                <w:szCs w:val="14"/>
                <w:color w:val="auto"/>
              </w:rPr>
              <w:t>S corporations must not enter an exempt</w:t>
            </w:r>
          </w:p>
        </w:tc>
      </w:tr>
      <w:tr>
        <w:trPr>
          <w:trHeight w:val="162"/>
        </w:trPr>
        <w:tc>
          <w:tcPr>
            <w:tcW w:w="2680" w:type="dxa"/>
            <w:vAlign w:val="bottom"/>
          </w:tcPr>
          <w:p>
            <w:pPr>
              <w:spacing w:after="0"/>
              <w:rPr>
                <w:sz w:val="14"/>
                <w:szCs w:val="14"/>
                <w:color w:val="auto"/>
              </w:rPr>
            </w:pPr>
          </w:p>
        </w:tc>
        <w:tc>
          <w:tcPr>
            <w:tcW w:w="2800" w:type="dxa"/>
            <w:vAlign w:val="bottom"/>
          </w:tcPr>
          <w:p>
            <w:pPr>
              <w:ind w:left="200"/>
              <w:spacing w:after="0"/>
              <w:rPr>
                <w:sz w:val="20"/>
                <w:szCs w:val="20"/>
                <w:color w:val="auto"/>
              </w:rPr>
            </w:pPr>
            <w:r>
              <w:rPr>
                <w:rFonts w:ascii="Arial" w:cs="Arial" w:eastAsia="Arial" w:hAnsi="Arial"/>
                <w:sz w:val="14"/>
                <w:szCs w:val="14"/>
                <w:color w:val="auto"/>
              </w:rPr>
              <w:t>payee code because they are exempt</w:t>
            </w:r>
          </w:p>
        </w:tc>
      </w:tr>
      <w:tr>
        <w:trPr>
          <w:trHeight w:val="162"/>
        </w:trPr>
        <w:tc>
          <w:tcPr>
            <w:tcW w:w="2680" w:type="dxa"/>
            <w:vAlign w:val="bottom"/>
          </w:tcPr>
          <w:p>
            <w:pPr>
              <w:spacing w:after="0"/>
              <w:rPr>
                <w:sz w:val="14"/>
                <w:szCs w:val="14"/>
                <w:color w:val="auto"/>
              </w:rPr>
            </w:pPr>
          </w:p>
        </w:tc>
        <w:tc>
          <w:tcPr>
            <w:tcW w:w="2800" w:type="dxa"/>
            <w:vAlign w:val="bottom"/>
          </w:tcPr>
          <w:p>
            <w:pPr>
              <w:ind w:left="200"/>
              <w:spacing w:after="0"/>
              <w:rPr>
                <w:sz w:val="20"/>
                <w:szCs w:val="20"/>
                <w:color w:val="auto"/>
              </w:rPr>
            </w:pPr>
            <w:r>
              <w:rPr>
                <w:rFonts w:ascii="Arial" w:cs="Arial" w:eastAsia="Arial" w:hAnsi="Arial"/>
                <w:sz w:val="14"/>
                <w:szCs w:val="14"/>
                <w:color w:val="auto"/>
              </w:rPr>
              <w:t>only for sales of noncovered securities</w:t>
            </w:r>
          </w:p>
        </w:tc>
      </w:tr>
      <w:tr>
        <w:trPr>
          <w:trHeight w:val="157"/>
        </w:trPr>
        <w:tc>
          <w:tcPr>
            <w:tcW w:w="268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ind w:left="200"/>
              <w:spacing w:after="0" w:line="157" w:lineRule="exact"/>
              <w:rPr>
                <w:sz w:val="20"/>
                <w:szCs w:val="20"/>
                <w:color w:val="auto"/>
              </w:rPr>
            </w:pPr>
            <w:r>
              <w:rPr>
                <w:rFonts w:ascii="Arial" w:cs="Arial" w:eastAsia="Arial" w:hAnsi="Arial"/>
                <w:sz w:val="14"/>
                <w:szCs w:val="14"/>
                <w:color w:val="auto"/>
              </w:rPr>
              <w:t>acquired prior to 2012.</w:t>
            </w:r>
          </w:p>
        </w:tc>
      </w:tr>
      <w:tr>
        <w:trPr>
          <w:trHeight w:val="160"/>
        </w:trPr>
        <w:tc>
          <w:tcPr>
            <w:tcW w:w="2680" w:type="dxa"/>
            <w:vAlign w:val="bottom"/>
          </w:tcPr>
          <w:p>
            <w:pPr>
              <w:ind w:left="20"/>
              <w:spacing w:after="0"/>
              <w:rPr>
                <w:sz w:val="20"/>
                <w:szCs w:val="20"/>
                <w:color w:val="auto"/>
              </w:rPr>
            </w:pPr>
            <w:r>
              <w:rPr>
                <w:rFonts w:ascii="Arial" w:cs="Arial" w:eastAsia="Arial" w:hAnsi="Arial"/>
                <w:sz w:val="14"/>
                <w:szCs w:val="14"/>
                <w:color w:val="auto"/>
              </w:rPr>
              <w:t>Barter exchange transactions and</w:t>
            </w:r>
          </w:p>
        </w:tc>
        <w:tc>
          <w:tcPr>
            <w:tcW w:w="2800" w:type="dxa"/>
            <w:vAlign w:val="bottom"/>
          </w:tcPr>
          <w:p>
            <w:pPr>
              <w:ind w:left="200"/>
              <w:spacing w:after="0"/>
              <w:rPr>
                <w:sz w:val="20"/>
                <w:szCs w:val="20"/>
                <w:color w:val="auto"/>
              </w:rPr>
            </w:pPr>
            <w:r>
              <w:rPr>
                <w:rFonts w:ascii="Arial" w:cs="Arial" w:eastAsia="Arial" w:hAnsi="Arial"/>
                <w:sz w:val="14"/>
                <w:szCs w:val="14"/>
                <w:color w:val="auto"/>
              </w:rPr>
              <w:t>Exempt payees 1 through 4</w:t>
            </w:r>
          </w:p>
        </w:tc>
      </w:tr>
      <w:tr>
        <w:trPr>
          <w:trHeight w:val="157"/>
        </w:trPr>
        <w:tc>
          <w:tcPr>
            <w:tcW w:w="268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patronage dividends</w:t>
            </w:r>
          </w:p>
        </w:tc>
        <w:tc>
          <w:tcPr>
            <w:tcW w:w="2800" w:type="dxa"/>
            <w:vAlign w:val="bottom"/>
            <w:tcBorders>
              <w:bottom w:val="single" w:sz="8" w:color="auto"/>
            </w:tcBorders>
          </w:tcPr>
          <w:p>
            <w:pPr>
              <w:spacing w:after="0"/>
              <w:rPr>
                <w:sz w:val="13"/>
                <w:szCs w:val="13"/>
                <w:color w:val="auto"/>
              </w:rPr>
            </w:pPr>
          </w:p>
        </w:tc>
      </w:tr>
      <w:tr>
        <w:trPr>
          <w:trHeight w:val="153"/>
        </w:trPr>
        <w:tc>
          <w:tcPr>
            <w:tcW w:w="2680" w:type="dxa"/>
            <w:vAlign w:val="bottom"/>
          </w:tcPr>
          <w:p>
            <w:pPr>
              <w:ind w:left="20"/>
              <w:spacing w:after="0" w:line="153" w:lineRule="exact"/>
              <w:rPr>
                <w:sz w:val="20"/>
                <w:szCs w:val="20"/>
                <w:color w:val="auto"/>
              </w:rPr>
            </w:pPr>
            <w:r>
              <w:rPr>
                <w:rFonts w:ascii="Arial" w:cs="Arial" w:eastAsia="Arial" w:hAnsi="Arial"/>
                <w:sz w:val="14"/>
                <w:szCs w:val="14"/>
                <w:color w:val="auto"/>
              </w:rPr>
              <w:t>Payments over $600 required to be</w:t>
            </w:r>
          </w:p>
        </w:tc>
        <w:tc>
          <w:tcPr>
            <w:tcW w:w="2800" w:type="dxa"/>
            <w:vAlign w:val="bottom"/>
          </w:tcPr>
          <w:p>
            <w:pPr>
              <w:ind w:left="200"/>
              <w:spacing w:after="0" w:line="153" w:lineRule="exact"/>
              <w:rPr>
                <w:sz w:val="20"/>
                <w:szCs w:val="20"/>
                <w:color w:val="auto"/>
              </w:rPr>
            </w:pPr>
            <w:r>
              <w:rPr>
                <w:rFonts w:ascii="Arial" w:cs="Arial" w:eastAsia="Arial" w:hAnsi="Arial"/>
                <w:sz w:val="11"/>
                <w:szCs w:val="11"/>
                <w:color w:val="auto"/>
              </w:rPr>
              <w:t xml:space="preserve">Generally, exempt payees 1 through 5 </w:t>
            </w:r>
            <w:r>
              <w:rPr>
                <w:rFonts w:ascii="Arial" w:cs="Arial" w:eastAsia="Arial" w:hAnsi="Arial"/>
                <w:sz w:val="17"/>
                <w:szCs w:val="17"/>
                <w:color w:val="auto"/>
                <w:vertAlign w:val="superscript"/>
              </w:rPr>
              <w:t>2</w:t>
            </w:r>
          </w:p>
        </w:tc>
      </w:tr>
      <w:tr>
        <w:trPr>
          <w:trHeight w:val="165"/>
        </w:trPr>
        <w:tc>
          <w:tcPr>
            <w:tcW w:w="2680" w:type="dxa"/>
            <w:vAlign w:val="bottom"/>
            <w:tcBorders>
              <w:bottom w:val="single" w:sz="8" w:color="auto"/>
            </w:tcBorders>
          </w:tcPr>
          <w:p>
            <w:pPr>
              <w:ind w:left="20"/>
              <w:spacing w:after="0" w:line="164" w:lineRule="exact"/>
              <w:rPr>
                <w:sz w:val="20"/>
                <w:szCs w:val="20"/>
                <w:color w:val="auto"/>
              </w:rPr>
            </w:pPr>
            <w:r>
              <w:rPr>
                <w:rFonts w:ascii="Arial" w:cs="Arial" w:eastAsia="Arial" w:hAnsi="Arial"/>
                <w:sz w:val="12"/>
                <w:szCs w:val="12"/>
                <w:color w:val="auto"/>
              </w:rPr>
              <w:t xml:space="preserve">reported and direct sales over $5,000 </w:t>
            </w:r>
            <w:r>
              <w:rPr>
                <w:rFonts w:ascii="Arial" w:cs="Arial" w:eastAsia="Arial" w:hAnsi="Arial"/>
                <w:sz w:val="19"/>
                <w:szCs w:val="19"/>
                <w:color w:val="auto"/>
                <w:vertAlign w:val="superscript"/>
              </w:rPr>
              <w:t>1</w:t>
            </w:r>
          </w:p>
        </w:tc>
        <w:tc>
          <w:tcPr>
            <w:tcW w:w="2800" w:type="dxa"/>
            <w:vAlign w:val="bottom"/>
            <w:tcBorders>
              <w:bottom w:val="single" w:sz="8" w:color="auto"/>
            </w:tcBorders>
          </w:tcPr>
          <w:p>
            <w:pPr>
              <w:spacing w:after="0"/>
              <w:rPr>
                <w:sz w:val="14"/>
                <w:szCs w:val="14"/>
                <w:color w:val="auto"/>
              </w:rPr>
            </w:pPr>
          </w:p>
        </w:tc>
      </w:tr>
      <w:tr>
        <w:trPr>
          <w:trHeight w:val="160"/>
        </w:trPr>
        <w:tc>
          <w:tcPr>
            <w:tcW w:w="2680" w:type="dxa"/>
            <w:vAlign w:val="bottom"/>
          </w:tcPr>
          <w:p>
            <w:pPr>
              <w:ind w:left="20"/>
              <w:spacing w:after="0"/>
              <w:rPr>
                <w:sz w:val="20"/>
                <w:szCs w:val="20"/>
                <w:color w:val="auto"/>
              </w:rPr>
            </w:pPr>
            <w:r>
              <w:rPr>
                <w:rFonts w:ascii="Arial" w:cs="Arial" w:eastAsia="Arial" w:hAnsi="Arial"/>
                <w:sz w:val="14"/>
                <w:szCs w:val="14"/>
                <w:color w:val="auto"/>
              </w:rPr>
              <w:t>Payments made in settlement of</w:t>
            </w:r>
          </w:p>
        </w:tc>
        <w:tc>
          <w:tcPr>
            <w:tcW w:w="2800" w:type="dxa"/>
            <w:vAlign w:val="bottom"/>
          </w:tcPr>
          <w:p>
            <w:pPr>
              <w:ind w:left="200"/>
              <w:spacing w:after="0"/>
              <w:rPr>
                <w:sz w:val="20"/>
                <w:szCs w:val="20"/>
                <w:color w:val="auto"/>
              </w:rPr>
            </w:pPr>
            <w:r>
              <w:rPr>
                <w:rFonts w:ascii="Arial" w:cs="Arial" w:eastAsia="Arial" w:hAnsi="Arial"/>
                <w:sz w:val="14"/>
                <w:szCs w:val="14"/>
                <w:color w:val="auto"/>
              </w:rPr>
              <w:t>Exempt payees 1 through 4</w:t>
            </w:r>
          </w:p>
        </w:tc>
      </w:tr>
      <w:tr>
        <w:trPr>
          <w:trHeight w:val="162"/>
        </w:trPr>
        <w:tc>
          <w:tcPr>
            <w:tcW w:w="2680" w:type="dxa"/>
            <w:vAlign w:val="bottom"/>
          </w:tcPr>
          <w:p>
            <w:pPr>
              <w:ind w:left="20"/>
              <w:spacing w:after="0"/>
              <w:rPr>
                <w:sz w:val="20"/>
                <w:szCs w:val="20"/>
                <w:color w:val="auto"/>
              </w:rPr>
            </w:pPr>
            <w:r>
              <w:rPr>
                <w:rFonts w:ascii="Arial" w:cs="Arial" w:eastAsia="Arial" w:hAnsi="Arial"/>
                <w:sz w:val="14"/>
                <w:szCs w:val="14"/>
                <w:color w:val="auto"/>
              </w:rPr>
              <w:t>payment card or third party network</w:t>
            </w:r>
          </w:p>
        </w:tc>
        <w:tc>
          <w:tcPr>
            <w:tcW w:w="2800" w:type="dxa"/>
            <w:vAlign w:val="bottom"/>
          </w:tcPr>
          <w:p>
            <w:pPr>
              <w:spacing w:after="0"/>
              <w:rPr>
                <w:sz w:val="14"/>
                <w:szCs w:val="14"/>
                <w:color w:val="auto"/>
              </w:rPr>
            </w:pPr>
          </w:p>
        </w:tc>
      </w:tr>
      <w:tr>
        <w:trPr>
          <w:trHeight w:val="157"/>
        </w:trPr>
        <w:tc>
          <w:tcPr>
            <w:tcW w:w="268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transactions</w:t>
            </w:r>
          </w:p>
        </w:tc>
        <w:tc>
          <w:tcPr>
            <w:tcW w:w="2800" w:type="dxa"/>
            <w:vAlign w:val="bottom"/>
            <w:tcBorders>
              <w:bottom w:val="single" w:sz="8" w:color="auto"/>
            </w:tcBorders>
          </w:tcPr>
          <w:p>
            <w:pPr>
              <w:spacing w:after="0"/>
              <w:rPr>
                <w:sz w:val="13"/>
                <w:szCs w:val="13"/>
                <w:color w:val="auto"/>
              </w:rPr>
            </w:pPr>
          </w:p>
        </w:tc>
      </w:tr>
    </w:tbl>
    <w:p>
      <w:pPr>
        <w:spacing w:after="0" w:line="35" w:lineRule="exact"/>
        <w:rPr>
          <w:sz w:val="20"/>
          <w:szCs w:val="20"/>
          <w:color w:val="auto"/>
        </w:rPr>
      </w:pPr>
    </w:p>
    <w:p>
      <w:pPr>
        <w:ind w:left="100" w:hanging="92"/>
        <w:spacing w:after="0"/>
        <w:tabs>
          <w:tab w:leader="none" w:pos="100" w:val="left"/>
        </w:tabs>
        <w:numPr>
          <w:ilvl w:val="0"/>
          <w:numId w:val="59"/>
        </w:numPr>
        <w:rPr>
          <w:rFonts w:ascii="Arial" w:cs="Arial" w:eastAsia="Arial" w:hAnsi="Arial"/>
          <w:sz w:val="11"/>
          <w:szCs w:val="11"/>
          <w:color w:val="auto"/>
        </w:rPr>
      </w:pPr>
      <w:r>
        <w:rPr>
          <w:rFonts w:ascii="Arial" w:cs="Arial" w:eastAsia="Arial" w:hAnsi="Arial"/>
          <w:sz w:val="13"/>
          <w:szCs w:val="13"/>
          <w:color w:val="auto"/>
        </w:rPr>
        <w:t>See Form 1099-MISC, Miscellaneous Income, and its instructions.</w:t>
      </w:r>
    </w:p>
    <w:p>
      <w:pPr>
        <w:spacing w:after="0" w:line="26" w:lineRule="exact"/>
        <w:rPr>
          <w:sz w:val="20"/>
          <w:szCs w:val="20"/>
          <w:color w:val="auto"/>
        </w:rPr>
      </w:pPr>
    </w:p>
    <w:p>
      <w:pPr>
        <w:ind w:left="100" w:right="40" w:hanging="92"/>
        <w:spacing w:after="0" w:line="247" w:lineRule="auto"/>
        <w:tabs>
          <w:tab w:leader="none" w:pos="100" w:val="left"/>
        </w:tabs>
        <w:numPr>
          <w:ilvl w:val="0"/>
          <w:numId w:val="60"/>
        </w:numPr>
        <w:rPr>
          <w:rFonts w:ascii="Arial" w:cs="Arial" w:eastAsia="Arial" w:hAnsi="Arial"/>
          <w:sz w:val="10"/>
          <w:szCs w:val="10"/>
          <w:color w:val="auto"/>
        </w:rPr>
      </w:pPr>
      <w:r>
        <w:rPr>
          <w:rFonts w:ascii="Arial" w:cs="Arial" w:eastAsia="Arial" w:hAnsi="Arial"/>
          <w:sz w:val="12"/>
          <w:szCs w:val="12"/>
          <w:color w:val="auto"/>
        </w:rPr>
        <w:t>However, the following payments made to a corporation and reportable on Form 1099-MISC are not exempt from backup withholding: medical and health care payments, attorneys’ fees, gross proceeds paid to an attorney, and payments for services paid by a federal executive agency.</w:t>
      </w:r>
    </w:p>
    <w:p>
      <w:pPr>
        <w:spacing w:after="0" w:line="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color w:val="auto"/>
        </w:rPr>
        <w:t xml:space="preserve">Exemption from FATCA reporting code. </w:t>
      </w:r>
      <w:r>
        <w:rPr>
          <w:rFonts w:ascii="Arial" w:cs="Arial" w:eastAsia="Arial" w:hAnsi="Arial"/>
          <w:sz w:val="16"/>
          <w:szCs w:val="16"/>
          <w:color w:val="auto"/>
        </w:rPr>
        <w:t>The following codes identify</w:t>
      </w:r>
      <w:r>
        <w:rPr>
          <w:rFonts w:ascii="Arial" w:cs="Arial" w:eastAsia="Arial" w:hAnsi="Arial"/>
          <w:sz w:val="16"/>
          <w:szCs w:val="16"/>
          <w:b w:val="1"/>
          <w:bCs w:val="1"/>
          <w:color w:val="auto"/>
        </w:rPr>
        <w:t xml:space="preserve"> </w:t>
      </w:r>
      <w:r>
        <w:rPr>
          <w:rFonts w:ascii="Arial" w:cs="Arial" w:eastAsia="Arial" w:hAnsi="Arial"/>
          <w:sz w:val="16"/>
          <w:szCs w:val="16"/>
          <w:color w:val="auto"/>
        </w:rPr>
        <w:t>payees that are exempt 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requirements.</w:t>
      </w:r>
    </w:p>
    <w:p>
      <w:pPr>
        <w:spacing w:after="0" w:line="13" w:lineRule="exact"/>
        <w:rPr>
          <w:sz w:val="20"/>
          <w:szCs w:val="20"/>
          <w:color w:val="auto"/>
        </w:rPr>
      </w:pPr>
    </w:p>
    <w:p>
      <w:pPr>
        <w:ind w:right="60" w:firstLine="55"/>
        <w:spacing w:after="0" w:line="260" w:lineRule="auto"/>
        <w:rPr>
          <w:sz w:val="20"/>
          <w:szCs w:val="20"/>
          <w:color w:val="auto"/>
        </w:rPr>
      </w:pPr>
      <w:r>
        <w:rPr>
          <w:rFonts w:ascii="Arial" w:cs="Arial" w:eastAsia="Arial" w:hAnsi="Arial"/>
          <w:sz w:val="16"/>
          <w:szCs w:val="16"/>
          <w:color w:val="auto"/>
        </w:rPr>
        <w:t>A—An organization exempt from tax under section 501(a) or any individual retirement plan as defined in section 7701(a)(37)</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B—The United States or any of its agencies or instrumentalities</w:t>
      </w:r>
    </w:p>
    <w:p>
      <w:pPr>
        <w:spacing w:after="0" w:line="46" w:lineRule="exact"/>
        <w:rPr>
          <w:sz w:val="20"/>
          <w:szCs w:val="20"/>
          <w:color w:val="auto"/>
        </w:rPr>
      </w:pPr>
    </w:p>
    <w:p>
      <w:pPr>
        <w:ind w:right="120" w:firstLine="55"/>
        <w:spacing w:after="0" w:line="260" w:lineRule="auto"/>
        <w:rPr>
          <w:sz w:val="20"/>
          <w:szCs w:val="20"/>
          <w:color w:val="auto"/>
        </w:rPr>
      </w:pPr>
      <w:r>
        <w:rPr>
          <w:rFonts w:ascii="Arial" w:cs="Arial" w:eastAsia="Arial" w:hAnsi="Arial"/>
          <w:sz w:val="16"/>
          <w:szCs w:val="16"/>
          <w:color w:val="auto"/>
        </w:rPr>
        <w:t>C—A state, the District of Columbia, a possession of the United States, or any of their political subdivisions or instrumentalities</w:t>
      </w:r>
    </w:p>
    <w:p>
      <w:pPr>
        <w:spacing w:after="0" w:line="7" w:lineRule="exact"/>
        <w:rPr>
          <w:sz w:val="20"/>
          <w:szCs w:val="20"/>
          <w:color w:val="auto"/>
        </w:rPr>
      </w:pPr>
    </w:p>
    <w:p>
      <w:pPr>
        <w:ind w:right="100" w:firstLine="55"/>
        <w:spacing w:after="0" w:line="253" w:lineRule="auto"/>
        <w:rPr>
          <w:sz w:val="20"/>
          <w:szCs w:val="20"/>
          <w:color w:val="auto"/>
        </w:rPr>
      </w:pPr>
      <w:r>
        <w:rPr>
          <w:rFonts w:ascii="Arial" w:cs="Arial" w:eastAsia="Arial" w:hAnsi="Arial"/>
          <w:sz w:val="16"/>
          <w:szCs w:val="16"/>
          <w:color w:val="auto"/>
        </w:rPr>
        <w:t>D—A corporation the stock of which is regularly traded on one or more established securities markets, as described in Reg. section 1.1472-1(c)(1) (i)</w:t>
      </w:r>
    </w:p>
    <w:p>
      <w:pPr>
        <w:spacing w:after="0" w:line="26" w:lineRule="exact"/>
        <w:rPr>
          <w:sz w:val="20"/>
          <w:szCs w:val="20"/>
          <w:color w:val="auto"/>
        </w:rPr>
      </w:pPr>
    </w:p>
    <w:p>
      <w:pPr>
        <w:ind w:right="180" w:firstLine="55"/>
        <w:spacing w:after="0" w:line="260" w:lineRule="auto"/>
        <w:rPr>
          <w:sz w:val="20"/>
          <w:szCs w:val="20"/>
          <w:color w:val="auto"/>
        </w:rPr>
      </w:pPr>
      <w:r>
        <w:rPr>
          <w:rFonts w:ascii="Arial" w:cs="Arial" w:eastAsia="Arial" w:hAnsi="Arial"/>
          <w:sz w:val="16"/>
          <w:szCs w:val="16"/>
          <w:color w:val="auto"/>
        </w:rPr>
        <w:t>E—A corporation that is a member of the same expanded affiliated group as a corporation described in Reg. section 1.1472-1(c)(1)(i)</w:t>
      </w:r>
    </w:p>
    <w:p>
      <w:pPr>
        <w:spacing w:after="0" w:line="20" w:lineRule="exact"/>
        <w:rPr>
          <w:sz w:val="20"/>
          <w:szCs w:val="20"/>
          <w:color w:val="auto"/>
        </w:rPr>
      </w:pPr>
    </w:p>
    <w:p>
      <w:pPr>
        <w:ind w:right="60" w:firstLine="55"/>
        <w:spacing w:after="0" w:line="253" w:lineRule="auto"/>
        <w:rPr>
          <w:sz w:val="20"/>
          <w:szCs w:val="20"/>
          <w:color w:val="auto"/>
        </w:rPr>
      </w:pPr>
      <w:r>
        <w:rPr>
          <w:rFonts w:ascii="Arial" w:cs="Arial" w:eastAsia="Arial" w:hAnsi="Arial"/>
          <w:sz w:val="16"/>
          <w:szCs w:val="16"/>
          <w:color w:val="auto"/>
        </w:rPr>
        <w:t>F—A dealer in securities, commodities, or derivative financial instruments (including notional principal contracts, futures, forwards, and options) that is registered as such under the laws of the United States or any state</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G—A real estate investment trust</w:t>
      </w:r>
    </w:p>
    <w:p>
      <w:pPr>
        <w:spacing w:after="0" w:line="46" w:lineRule="exact"/>
        <w:rPr>
          <w:sz w:val="20"/>
          <w:szCs w:val="20"/>
          <w:color w:val="auto"/>
        </w:rPr>
      </w:pPr>
    </w:p>
    <w:p>
      <w:pPr>
        <w:ind w:right="100" w:firstLine="55"/>
        <w:spacing w:after="0" w:line="253" w:lineRule="auto"/>
        <w:rPr>
          <w:sz w:val="20"/>
          <w:szCs w:val="20"/>
          <w:color w:val="auto"/>
        </w:rPr>
      </w:pPr>
      <w:r>
        <w:rPr>
          <w:rFonts w:ascii="Arial" w:cs="Arial" w:eastAsia="Arial" w:hAnsi="Arial"/>
          <w:sz w:val="16"/>
          <w:szCs w:val="16"/>
          <w:color w:val="auto"/>
        </w:rPr>
        <w:t>H—A regulated investment company as defined in section 851 or an entity registered at all times during the tax year under the Investment Company Act of 1940</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I—A common trust fund as defined in section 584(a)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J—A bank as defined in section 581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K—A broker</w:t>
      </w:r>
    </w:p>
    <w:p>
      <w:pPr>
        <w:spacing w:after="0" w:line="46" w:lineRule="exact"/>
        <w:rPr>
          <w:sz w:val="20"/>
          <w:szCs w:val="20"/>
          <w:color w:val="auto"/>
        </w:rPr>
      </w:pPr>
    </w:p>
    <w:p>
      <w:pPr>
        <w:ind w:right="500" w:firstLine="55"/>
        <w:spacing w:after="0" w:line="260" w:lineRule="auto"/>
        <w:rPr>
          <w:sz w:val="20"/>
          <w:szCs w:val="20"/>
          <w:color w:val="auto"/>
        </w:rPr>
      </w:pPr>
      <w:r>
        <w:rPr>
          <w:rFonts w:ascii="Arial" w:cs="Arial" w:eastAsia="Arial" w:hAnsi="Arial"/>
          <w:sz w:val="16"/>
          <w:szCs w:val="16"/>
          <w:color w:val="auto"/>
        </w:rPr>
        <w:t>L—A trust exempt from tax under section 664 or described in section 4947(a)(1)</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 tax exempt trust under a section 403(b) plan or section 457(g) plan</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Taxpayer Identification Number (TIN)</w:t>
      </w:r>
    </w:p>
    <w:p>
      <w:pPr>
        <w:spacing w:after="0" w:line="7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Enter your TIN in the appropriate box. </w:t>
      </w:r>
      <w:r>
        <w:rPr>
          <w:rFonts w:ascii="Arial" w:cs="Arial" w:eastAsia="Arial" w:hAnsi="Arial"/>
          <w:sz w:val="16"/>
          <w:szCs w:val="16"/>
          <w:color w:val="auto"/>
        </w:rPr>
        <w:t>If you are a resident alien and you</w:t>
      </w:r>
      <w:r>
        <w:rPr>
          <w:rFonts w:ascii="Arial" w:cs="Arial" w:eastAsia="Arial" w:hAnsi="Arial"/>
          <w:sz w:val="16"/>
          <w:szCs w:val="16"/>
          <w:b w:val="1"/>
          <w:bCs w:val="1"/>
          <w:color w:val="auto"/>
        </w:rPr>
        <w:t xml:space="preserve"> </w:t>
      </w:r>
      <w:r>
        <w:rPr>
          <w:rFonts w:ascii="Arial" w:cs="Arial" w:eastAsia="Arial" w:hAnsi="Arial"/>
          <w:sz w:val="16"/>
          <w:szCs w:val="16"/>
          <w:color w:val="auto"/>
        </w:rPr>
        <w:t>do not have and are not eligible to get an SSN, your TIN is your IRS individual taxpayer identification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 xml:space="preserve">(ITIN). Enter it in the social security number box. If you do not have an ITIN, see </w:t>
      </w:r>
      <w:r>
        <w:rPr>
          <w:rFonts w:ascii="Arial" w:cs="Arial" w:eastAsia="Arial" w:hAnsi="Arial"/>
          <w:sz w:val="16"/>
          <w:szCs w:val="16"/>
          <w:i w:val="1"/>
          <w:iCs w:val="1"/>
          <w:color w:val="auto"/>
        </w:rPr>
        <w:t>How to get a TIN below.</w:t>
      </w:r>
    </w:p>
    <w:p>
      <w:pPr>
        <w:spacing w:after="0" w:line="20" w:lineRule="exact"/>
        <w:rPr>
          <w:sz w:val="20"/>
          <w:szCs w:val="20"/>
          <w:color w:val="auto"/>
        </w:rPr>
      </w:pPr>
    </w:p>
    <w:p>
      <w:pPr>
        <w:ind w:right="200" w:firstLine="55"/>
        <w:spacing w:after="0" w:line="260" w:lineRule="auto"/>
        <w:rPr>
          <w:sz w:val="20"/>
          <w:szCs w:val="20"/>
          <w:color w:val="auto"/>
        </w:rPr>
      </w:pPr>
      <w:r>
        <w:rPr>
          <w:rFonts w:ascii="Arial" w:cs="Arial" w:eastAsia="Arial" w:hAnsi="Arial"/>
          <w:sz w:val="16"/>
          <w:szCs w:val="16"/>
          <w:color w:val="auto"/>
        </w:rPr>
        <w:t>If you are a sole proprietor and you have an EIN, you may enter either your SSN or EIN. However, the IRS prefers that you use your SSN.</w:t>
      </w:r>
    </w:p>
    <w:p>
      <w:pPr>
        <w:spacing w:after="0" w:line="7" w:lineRule="exact"/>
        <w:rPr>
          <w:sz w:val="20"/>
          <w:szCs w:val="20"/>
          <w:color w:val="auto"/>
        </w:rPr>
      </w:pPr>
    </w:p>
    <w:p>
      <w:pPr>
        <w:ind w:right="180" w:firstLine="55"/>
        <w:spacing w:after="0" w:line="250" w:lineRule="auto"/>
        <w:rPr>
          <w:sz w:val="20"/>
          <w:szCs w:val="20"/>
          <w:color w:val="auto"/>
        </w:rPr>
      </w:pPr>
      <w:r>
        <w:rPr>
          <w:rFonts w:ascii="Arial" w:cs="Arial" w:eastAsia="Arial" w:hAnsi="Arial"/>
          <w:sz w:val="16"/>
          <w:szCs w:val="16"/>
          <w:color w:val="auto"/>
        </w:rPr>
        <w:t xml:space="preserve">If you are a single-member LLC that is disregarded as an entity separate from its owner (see </w:t>
      </w:r>
      <w:r>
        <w:rPr>
          <w:rFonts w:ascii="Arial" w:cs="Arial" w:eastAsia="Arial" w:hAnsi="Arial"/>
          <w:sz w:val="16"/>
          <w:szCs w:val="16"/>
          <w:i w:val="1"/>
          <w:iCs w:val="1"/>
          <w:color w:val="auto"/>
        </w:rPr>
        <w:t>Limited Liability Company (LLC)</w:t>
      </w:r>
      <w:r>
        <w:rPr>
          <w:rFonts w:ascii="Arial" w:cs="Arial" w:eastAsia="Arial" w:hAnsi="Arial"/>
          <w:sz w:val="16"/>
          <w:szCs w:val="16"/>
          <w:color w:val="auto"/>
        </w:rPr>
        <w:t xml:space="preserve"> on page 2), enter the owner’s SSN (or EIN, if the owner has one). Do not enter the disregarded entity’s EIN. If the LLC is classified as a corporation or partnership, enter the entity’s EIN.</w:t>
      </w:r>
    </w:p>
    <w:p>
      <w:pPr>
        <w:spacing w:after="0" w:line="8" w:lineRule="exact"/>
        <w:rPr>
          <w:sz w:val="20"/>
          <w:szCs w:val="20"/>
          <w:color w:val="auto"/>
        </w:rPr>
      </w:pPr>
    </w:p>
    <w:p>
      <w:pPr>
        <w:ind w:right="600"/>
        <w:spacing w:after="0" w:line="273"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See the chart on page 4 for further clarification of name and TIN</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combinations.</w:t>
      </w:r>
    </w:p>
    <w:p>
      <w:pPr>
        <w:ind w:right="180"/>
        <w:spacing w:after="0" w:line="250" w:lineRule="auto"/>
        <w:rPr>
          <w:sz w:val="20"/>
          <w:szCs w:val="20"/>
          <w:color w:val="auto"/>
        </w:rPr>
      </w:pPr>
      <w:r>
        <w:rPr>
          <w:rFonts w:ascii="Arial" w:cs="Arial" w:eastAsia="Arial" w:hAnsi="Arial"/>
          <w:sz w:val="16"/>
          <w:szCs w:val="16"/>
          <w:b w:val="1"/>
          <w:bCs w:val="1"/>
          <w:color w:val="auto"/>
        </w:rPr>
        <w:t xml:space="preserve">How to get a TIN. </w:t>
      </w:r>
      <w:r>
        <w:rPr>
          <w:rFonts w:ascii="Arial" w:cs="Arial" w:eastAsia="Arial" w:hAnsi="Arial"/>
          <w:sz w:val="16"/>
          <w:szCs w:val="16"/>
          <w:color w:val="auto"/>
        </w:rPr>
        <w:t>If you do not have a TIN, apply for one immediately.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apply for an SSN, get Form SS-5, Application for a Social Security Card, from your local Social Security Administration office or get this form online at </w:t>
      </w:r>
      <w:r>
        <w:rPr>
          <w:rFonts w:ascii="Arial" w:cs="Arial" w:eastAsia="Arial" w:hAnsi="Arial"/>
          <w:sz w:val="16"/>
          <w:szCs w:val="16"/>
          <w:i w:val="1"/>
          <w:iCs w:val="1"/>
          <w:color w:val="auto"/>
        </w:rPr>
        <w:t xml:space="preserve">www.ssa.gov. </w:t>
      </w:r>
      <w:r>
        <w:rPr>
          <w:rFonts w:ascii="Arial" w:cs="Arial" w:eastAsia="Arial" w:hAnsi="Arial"/>
          <w:sz w:val="16"/>
          <w:szCs w:val="16"/>
          <w:color w:val="auto"/>
        </w:rPr>
        <w:t>You may also get this form by calling 1-800-772-1213. Use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Form W-7, Application for IRS Individual Taxpayer Identification Number, to apply for an ITIN, or Form SS-4, Application for Employer Identification Number, to apply for an EIN. You can apply for an EIN online by accessing the IRS website at </w:t>
      </w:r>
      <w:r>
        <w:rPr>
          <w:rFonts w:ascii="Arial" w:cs="Arial" w:eastAsia="Arial" w:hAnsi="Arial"/>
          <w:sz w:val="16"/>
          <w:szCs w:val="16"/>
          <w:i w:val="1"/>
          <w:iCs w:val="1"/>
          <w:color w:val="auto"/>
        </w:rPr>
        <w:t>www.irs.gov/businesses</w:t>
      </w:r>
      <w:r>
        <w:rPr>
          <w:rFonts w:ascii="Arial" w:cs="Arial" w:eastAsia="Arial" w:hAnsi="Arial"/>
          <w:sz w:val="16"/>
          <w:szCs w:val="16"/>
          <w:color w:val="auto"/>
        </w:rPr>
        <w:t xml:space="preserve"> and clicking on Employer Identification Number (EIN) under Starting a Business. You can get Forms W-7 and SS-4 from the IRS by visiting IRS.gov or by calling 1-800-TAX-FORM (1-800-829-3676).</w:t>
      </w:r>
    </w:p>
    <w:p>
      <w:pPr>
        <w:spacing w:after="0" w:line="19" w:lineRule="exact"/>
        <w:rPr>
          <w:sz w:val="20"/>
          <w:szCs w:val="20"/>
          <w:color w:val="auto"/>
        </w:rPr>
      </w:pPr>
    </w:p>
    <w:p>
      <w:pPr>
        <w:ind w:right="220" w:firstLine="55"/>
        <w:spacing w:after="0" w:line="248" w:lineRule="auto"/>
        <w:rPr>
          <w:sz w:val="20"/>
          <w:szCs w:val="20"/>
          <w:color w:val="auto"/>
        </w:rPr>
      </w:pPr>
      <w:r>
        <w:rPr>
          <w:rFonts w:ascii="Arial" w:cs="Arial" w:eastAsia="Arial" w:hAnsi="Arial"/>
          <w:sz w:val="16"/>
          <w:szCs w:val="16"/>
          <w:color w:val="auto"/>
        </w:rPr>
        <w:t>If you are asked to complete Form W-9 but do not have a TIN, apply for a TIN and write “Applied For” in the space for the TIN, sign and date the form, and give it to the requester. For interest and dividend payments, and certain payments made with respect to readily tradable instruments, generally you will have 60 days to get a TIN and give it to the requester before you are subject to backup withholding on payments. The 60-day rule does not apply to other types of payments. You will be subject to backup withholding on all such payments until you provide your TIN to the requester.</w:t>
      </w:r>
    </w:p>
    <w:p>
      <w:pPr>
        <w:spacing w:after="0" w:line="12"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Entering “Applied For” means that you have already applied for a TIN</w:t>
      </w:r>
      <w:r>
        <w:rPr>
          <w:rFonts w:ascii="Arial" w:cs="Arial" w:eastAsia="Arial" w:hAnsi="Arial"/>
          <w:sz w:val="16"/>
          <w:szCs w:val="16"/>
          <w:b w:val="1"/>
          <w:bCs w:val="1"/>
          <w:color w:val="auto"/>
        </w:rPr>
        <w:t xml:space="preserve"> </w:t>
      </w:r>
      <w:r>
        <w:rPr>
          <w:rFonts w:ascii="Arial" w:cs="Arial" w:eastAsia="Arial" w:hAnsi="Arial"/>
          <w:sz w:val="16"/>
          <w:szCs w:val="16"/>
          <w:color w:val="auto"/>
        </w:rPr>
        <w:t>or that you intend to apply for one soon.</w:t>
      </w:r>
    </w:p>
    <w:p>
      <w:pPr>
        <w:ind w:right="380"/>
        <w:spacing w:after="0" w:line="281" w:lineRule="auto"/>
        <w:rPr>
          <w:sz w:val="20"/>
          <w:szCs w:val="20"/>
          <w:color w:val="auto"/>
        </w:rPr>
      </w:pPr>
      <w:r>
        <w:rPr>
          <w:rFonts w:ascii="Arial" w:cs="Arial" w:eastAsia="Arial" w:hAnsi="Arial"/>
          <w:sz w:val="16"/>
          <w:szCs w:val="16"/>
          <w:b w:val="1"/>
          <w:bCs w:val="1"/>
          <w:color w:val="auto"/>
        </w:rPr>
        <w:t xml:space="preserve">Caution: </w:t>
      </w:r>
      <w:r>
        <w:rPr>
          <w:rFonts w:ascii="Arial" w:cs="Arial" w:eastAsia="Arial" w:hAnsi="Arial"/>
          <w:sz w:val="16"/>
          <w:szCs w:val="16"/>
          <w:i w:val="1"/>
          <w:iCs w:val="1"/>
          <w:color w:val="auto"/>
        </w:rPr>
        <w:t>A disregarded U.S. entity that has a foreign owner must use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appropriate Form W-8.</w:t>
      </w:r>
    </w:p>
    <w:p>
      <w:pPr>
        <w:spacing w:after="0"/>
        <w:rPr>
          <w:sz w:val="20"/>
          <w:szCs w:val="20"/>
          <w:color w:val="auto"/>
        </w:rPr>
      </w:pPr>
      <w:r>
        <w:rPr>
          <w:rFonts w:ascii="Arial" w:cs="Arial" w:eastAsia="Arial" w:hAnsi="Arial"/>
          <w:sz w:val="22"/>
          <w:szCs w:val="22"/>
          <w:b w:val="1"/>
          <w:bCs w:val="1"/>
          <w:color w:val="auto"/>
        </w:rPr>
        <w:t>Part II. Certification</w:t>
      </w:r>
    </w:p>
    <w:p>
      <w:pPr>
        <w:spacing w:after="0" w:line="92"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To establish to the withholding agent that you are a U.S. person, or resident alien, sign Form W-9. You may be requested to sign by the withholding agent even if items 1, 4, or 5 below indicate otherwise.</w:t>
      </w:r>
    </w:p>
    <w:p>
      <w:pPr>
        <w:spacing w:after="0" w:line="26" w:lineRule="exact"/>
        <w:rPr>
          <w:sz w:val="20"/>
          <w:szCs w:val="20"/>
          <w:color w:val="auto"/>
        </w:rPr>
      </w:pPr>
    </w:p>
    <w:p>
      <w:pPr>
        <w:ind w:right="240" w:firstLine="55"/>
        <w:spacing w:after="0" w:line="251" w:lineRule="auto"/>
        <w:rPr>
          <w:sz w:val="20"/>
          <w:szCs w:val="20"/>
          <w:color w:val="auto"/>
        </w:rPr>
      </w:pPr>
      <w:r>
        <w:rPr>
          <w:rFonts w:ascii="Arial" w:cs="Arial" w:eastAsia="Arial" w:hAnsi="Arial"/>
          <w:sz w:val="16"/>
          <w:szCs w:val="16"/>
          <w:color w:val="auto"/>
        </w:rPr>
        <w:t xml:space="preserve">For a joint account, only the person whose TIN is shown in Part I should sign (when required). In the case of a disregarded entity, the person identified on the “Name” line must sign. Exempt payees, see </w:t>
      </w:r>
      <w:r>
        <w:rPr>
          <w:rFonts w:ascii="Arial" w:cs="Arial" w:eastAsia="Arial" w:hAnsi="Arial"/>
          <w:sz w:val="16"/>
          <w:szCs w:val="16"/>
          <w:i w:val="1"/>
          <w:iCs w:val="1"/>
          <w:color w:val="auto"/>
        </w:rPr>
        <w:t>Exempt payee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code </w:t>
      </w:r>
      <w:r>
        <w:rPr>
          <w:rFonts w:ascii="Arial" w:cs="Arial" w:eastAsia="Arial" w:hAnsi="Arial"/>
          <w:sz w:val="16"/>
          <w:szCs w:val="16"/>
          <w:color w:val="auto"/>
        </w:rPr>
        <w:t>earlier.</w:t>
      </w:r>
    </w:p>
    <w:p>
      <w:pPr>
        <w:spacing w:after="0" w:line="7"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b w:val="1"/>
          <w:bCs w:val="1"/>
          <w:color w:val="auto"/>
        </w:rPr>
        <w:t xml:space="preserve">Signature requirements. </w:t>
      </w:r>
      <w:r>
        <w:rPr>
          <w:rFonts w:ascii="Arial" w:cs="Arial" w:eastAsia="Arial" w:hAnsi="Arial"/>
          <w:sz w:val="16"/>
          <w:szCs w:val="16"/>
          <w:color w:val="auto"/>
        </w:rPr>
        <w:t>Complete the certification as indicated in items 1</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5 below.</w:t>
      </w:r>
    </w:p>
    <w:p>
      <w:pPr>
        <w:ind w:right="160" w:firstLine="55"/>
        <w:spacing w:after="0" w:line="264" w:lineRule="auto"/>
        <w:tabs>
          <w:tab w:leader="none" w:pos="235"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Interest, dividend, and barter exchange accounts opened before 1984 and broker accounts considered active during 1983. </w:t>
      </w:r>
      <w:r>
        <w:rPr>
          <w:rFonts w:ascii="Arial" w:cs="Arial" w:eastAsia="Arial" w:hAnsi="Arial"/>
          <w:sz w:val="16"/>
          <w:szCs w:val="16"/>
          <w:color w:val="auto"/>
        </w:rPr>
        <w:t>You must give</w:t>
      </w:r>
      <w:r>
        <w:rPr>
          <w:rFonts w:ascii="Arial" w:cs="Arial" w:eastAsia="Arial" w:hAnsi="Arial"/>
          <w:sz w:val="16"/>
          <w:szCs w:val="16"/>
          <w:b w:val="1"/>
          <w:bCs w:val="1"/>
          <w:color w:val="auto"/>
        </w:rPr>
        <w:t xml:space="preserve"> </w:t>
      </w:r>
      <w:r>
        <w:rPr>
          <w:rFonts w:ascii="Arial" w:cs="Arial" w:eastAsia="Arial" w:hAnsi="Arial"/>
          <w:sz w:val="16"/>
          <w:szCs w:val="16"/>
          <w:color w:val="auto"/>
        </w:rPr>
        <w:t>your correct TIN, but you do not have to sign the certification.</w:t>
      </w:r>
    </w:p>
    <w:p>
      <w:pPr>
        <w:ind w:right="180" w:firstLine="55"/>
        <w:spacing w:after="0" w:line="254" w:lineRule="auto"/>
        <w:tabs>
          <w:tab w:leader="none" w:pos="235"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Interest, dividend, broker, and barter exchange accounts opened after 1983 and broker accounts considered inactive during 1983. </w:t>
      </w:r>
      <w:r>
        <w:rPr>
          <w:rFonts w:ascii="Arial" w:cs="Arial" w:eastAsia="Arial" w:hAnsi="Arial"/>
          <w:sz w:val="16"/>
          <w:szCs w:val="16"/>
          <w:color w:val="auto"/>
        </w:rPr>
        <w:t>You</w:t>
      </w:r>
      <w:r>
        <w:rPr>
          <w:rFonts w:ascii="Arial" w:cs="Arial" w:eastAsia="Arial" w:hAnsi="Arial"/>
          <w:sz w:val="16"/>
          <w:szCs w:val="16"/>
          <w:b w:val="1"/>
          <w:bCs w:val="1"/>
          <w:color w:val="auto"/>
        </w:rPr>
        <w:t xml:space="preserve"> </w:t>
      </w:r>
      <w:r>
        <w:rPr>
          <w:rFonts w:ascii="Arial" w:cs="Arial" w:eastAsia="Arial" w:hAnsi="Arial"/>
          <w:sz w:val="16"/>
          <w:szCs w:val="16"/>
          <w:color w:val="auto"/>
        </w:rPr>
        <w:t>must sign the certification or backup withholding will apply. If you are subject to backup withholding and you are merely providing your correct TIN to the requester, you must cross out item 2 in the certification before signing the form.</w:t>
      </w:r>
    </w:p>
    <w:p>
      <w:pPr>
        <w:spacing w:after="0" w:line="6" w:lineRule="exact"/>
        <w:rPr>
          <w:rFonts w:ascii="Arial" w:cs="Arial" w:eastAsia="Arial" w:hAnsi="Arial"/>
          <w:sz w:val="16"/>
          <w:szCs w:val="16"/>
          <w:b w:val="1"/>
          <w:bCs w:val="1"/>
          <w:color w:val="auto"/>
        </w:rPr>
      </w:pPr>
    </w:p>
    <w:p>
      <w:pPr>
        <w:ind w:right="580" w:firstLine="55"/>
        <w:spacing w:after="0" w:line="264" w:lineRule="auto"/>
        <w:tabs>
          <w:tab w:leader="none" w:pos="235"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Real estate transactions. </w:t>
      </w:r>
      <w:r>
        <w:rPr>
          <w:rFonts w:ascii="Arial" w:cs="Arial" w:eastAsia="Arial" w:hAnsi="Arial"/>
          <w:sz w:val="16"/>
          <w:szCs w:val="16"/>
          <w:color w:val="auto"/>
        </w:rPr>
        <w:t>You must sign the certification. You may</w:t>
      </w:r>
      <w:r>
        <w:rPr>
          <w:rFonts w:ascii="Arial" w:cs="Arial" w:eastAsia="Arial" w:hAnsi="Arial"/>
          <w:sz w:val="16"/>
          <w:szCs w:val="16"/>
          <w:b w:val="1"/>
          <w:bCs w:val="1"/>
          <w:color w:val="auto"/>
        </w:rPr>
        <w:t xml:space="preserve"> </w:t>
      </w:r>
      <w:r>
        <w:rPr>
          <w:rFonts w:ascii="Arial" w:cs="Arial" w:eastAsia="Arial" w:hAnsi="Arial"/>
          <w:sz w:val="16"/>
          <w:szCs w:val="16"/>
          <w:color w:val="auto"/>
        </w:rPr>
        <w:t>cross out item 2 of the certification.</w:t>
      </w:r>
    </w:p>
    <w:p>
      <w:pPr>
        <w:jc w:val="both"/>
        <w:ind w:right="160" w:firstLine="55"/>
        <w:spacing w:after="0" w:line="259" w:lineRule="auto"/>
        <w:tabs>
          <w:tab w:leader="none" w:pos="235"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payments. </w:t>
      </w:r>
      <w:r>
        <w:rPr>
          <w:rFonts w:ascii="Arial" w:cs="Arial" w:eastAsia="Arial" w:hAnsi="Arial"/>
          <w:sz w:val="16"/>
          <w:szCs w:val="16"/>
          <w:color w:val="auto"/>
        </w:rPr>
        <w:t>You must give your correct TIN, but you do not have to</w:t>
      </w:r>
      <w:r>
        <w:rPr>
          <w:rFonts w:ascii="Arial" w:cs="Arial" w:eastAsia="Arial" w:hAnsi="Arial"/>
          <w:sz w:val="16"/>
          <w:szCs w:val="16"/>
          <w:b w:val="1"/>
          <w:bCs w:val="1"/>
          <w:color w:val="auto"/>
        </w:rPr>
        <w:t xml:space="preserve"> </w:t>
      </w:r>
      <w:r>
        <w:rPr>
          <w:rFonts w:ascii="Arial" w:cs="Arial" w:eastAsia="Arial" w:hAnsi="Arial"/>
          <w:sz w:val="16"/>
          <w:szCs w:val="16"/>
          <w:color w:val="auto"/>
        </w:rPr>
        <w:t>sign the certification unless you have been notified that you have previously given an incorrect TIN. “Other payments” include payments made in the course of the requester’s trade or business for rents,</w:t>
      </w:r>
    </w:p>
    <w:p>
      <w:pPr>
        <w:sectPr>
          <w:pgSz w:w="11900" w:h="16838" w:orient="portrait"/>
          <w:cols w:equalWidth="0" w:num="2">
            <w:col w:w="5480" w:space="300"/>
            <w:col w:w="5640"/>
          </w:cols>
          <w:pgMar w:left="240" w:top="21" w:right="239" w:bottom="1440" w:gutter="0" w:footer="0" w:header="0"/>
          <w:type w:val="continuous"/>
        </w:sectPr>
      </w:pPr>
    </w:p>
    <w:bookmarkStart w:id="41" w:name="page42"/>
    <w:bookmarkEnd w:id="41"/>
    <w:p>
      <w:pPr>
        <w:spacing w:after="0"/>
        <w:tabs>
          <w:tab w:leader="none" w:pos="10980" w:val="left"/>
        </w:tabs>
        <w:rPr>
          <w:sz w:val="20"/>
          <w:szCs w:val="20"/>
          <w:color w:val="auto"/>
        </w:rPr>
      </w:pPr>
      <w:r>
        <w:rPr>
          <w:rFonts w:ascii="Arial" w:cs="Arial" w:eastAsia="Arial" w:hAnsi="Arial"/>
          <w:sz w:val="13"/>
          <w:szCs w:val="13"/>
          <w:color w:val="auto"/>
        </w:rPr>
        <w:t>Form W-9 (Rev. 8-2013)</w:t>
      </w:r>
      <w:r>
        <w:rPr>
          <w:sz w:val="20"/>
          <w:szCs w:val="20"/>
          <w:color w:val="auto"/>
        </w:rPr>
        <w:tab/>
      </w:r>
      <w:r>
        <w:rPr>
          <w:rFonts w:ascii="Arial" w:cs="Arial" w:eastAsia="Arial" w:hAnsi="Arial"/>
          <w:sz w:val="18"/>
          <w:szCs w:val="18"/>
          <w:color w:val="auto"/>
          <w:vertAlign w:val="subscript"/>
        </w:rPr>
        <w:t xml:space="preserve">Page </w:t>
      </w:r>
      <w:r>
        <w:rPr>
          <w:rFonts w:ascii="Arial" w:cs="Arial" w:eastAsia="Arial" w:hAnsi="Arial"/>
          <w:sz w:val="25"/>
          <w:szCs w:val="25"/>
          <w:b w:val="1"/>
          <w:bCs w:val="1"/>
          <w:color w:val="auto"/>
          <w:vertAlign w:val="sub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 w:right="2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royalties, goods (other than bills for merchandise), medical and health care services (including payments to corporations), payments to a nonemployee for services, payments made in settlement of payment card and third party network transactions, payments to certain fishing boat crew members and fishermen, and gross proceeds paid to attorneys (including payments to corporations).</w:t>
      </w:r>
    </w:p>
    <w:p>
      <w:pPr>
        <w:spacing w:after="0" w:line="10" w:lineRule="exact"/>
        <w:rPr>
          <w:sz w:val="20"/>
          <w:szCs w:val="20"/>
          <w:color w:val="auto"/>
        </w:rPr>
      </w:pPr>
    </w:p>
    <w:p>
      <w:pPr>
        <w:ind w:firstLine="63"/>
        <w:spacing w:after="0" w:line="256" w:lineRule="auto"/>
        <w:tabs>
          <w:tab w:leader="none" w:pos="235"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Mortgage interest paid by you, acquisition or abandonment of secured property, cancellation of debt, qualified tuition program payments (under section 529), IRA, Coverdell ESA, Archer MSA or HSA contributions or distributions, and pension distributions. </w:t>
      </w:r>
      <w:r>
        <w:rPr>
          <w:rFonts w:ascii="Arial" w:cs="Arial" w:eastAsia="Arial" w:hAnsi="Arial"/>
          <w:sz w:val="16"/>
          <w:szCs w:val="16"/>
          <w:color w:val="auto"/>
        </w:rPr>
        <w:t>You must give</w:t>
      </w:r>
      <w:r>
        <w:rPr>
          <w:rFonts w:ascii="Arial" w:cs="Arial" w:eastAsia="Arial" w:hAnsi="Arial"/>
          <w:sz w:val="16"/>
          <w:szCs w:val="16"/>
          <w:b w:val="1"/>
          <w:bCs w:val="1"/>
          <w:color w:val="auto"/>
        </w:rPr>
        <w:t xml:space="preserve"> </w:t>
      </w:r>
      <w:r>
        <w:rPr>
          <w:rFonts w:ascii="Arial" w:cs="Arial" w:eastAsia="Arial" w:hAnsi="Arial"/>
          <w:sz w:val="16"/>
          <w:szCs w:val="16"/>
          <w:color w:val="auto"/>
        </w:rPr>
        <w:t>your correct TIN, but you do not have to sign the certification.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Name and Number To Give the Requester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473450" cy="3747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73450" cy="374777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For this type of account:</w:t>
            </w:r>
          </w:p>
        </w:tc>
        <w:tc>
          <w:tcPr>
            <w:tcW w:w="22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Give name and SSN of:</w:t>
            </w:r>
          </w:p>
        </w:tc>
      </w:tr>
      <w:tr>
        <w:trPr>
          <w:trHeight w:val="160"/>
        </w:trPr>
        <w:tc>
          <w:tcPr>
            <w:tcW w:w="3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2900" w:type="dxa"/>
            <w:vAlign w:val="bottom"/>
          </w:tcPr>
          <w:p>
            <w:pPr>
              <w:ind w:left="180"/>
              <w:spacing w:after="0"/>
              <w:rPr>
                <w:sz w:val="20"/>
                <w:szCs w:val="20"/>
                <w:color w:val="auto"/>
              </w:rPr>
            </w:pPr>
            <w:r>
              <w:rPr>
                <w:rFonts w:ascii="Arial" w:cs="Arial" w:eastAsia="Arial" w:hAnsi="Arial"/>
                <w:sz w:val="14"/>
                <w:szCs w:val="14"/>
                <w:color w:val="auto"/>
              </w:rPr>
              <w:t>Individual</w:t>
            </w:r>
          </w:p>
        </w:tc>
        <w:tc>
          <w:tcPr>
            <w:tcW w:w="2280" w:type="dxa"/>
            <w:vAlign w:val="bottom"/>
          </w:tcPr>
          <w:p>
            <w:pPr>
              <w:ind w:left="260"/>
              <w:spacing w:after="0"/>
              <w:rPr>
                <w:sz w:val="20"/>
                <w:szCs w:val="20"/>
                <w:color w:val="auto"/>
              </w:rPr>
            </w:pPr>
            <w:r>
              <w:rPr>
                <w:rFonts w:ascii="Arial" w:cs="Arial" w:eastAsia="Arial" w:hAnsi="Arial"/>
                <w:sz w:val="14"/>
                <w:szCs w:val="14"/>
                <w:color w:val="auto"/>
              </w:rPr>
              <w:t>The individual</w:t>
            </w:r>
          </w:p>
        </w:tc>
      </w:tr>
      <w:tr>
        <w:trPr>
          <w:trHeight w:val="162"/>
        </w:trPr>
        <w:tc>
          <w:tcPr>
            <w:tcW w:w="30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2900" w:type="dxa"/>
            <w:vAlign w:val="bottom"/>
          </w:tcPr>
          <w:p>
            <w:pPr>
              <w:ind w:left="180"/>
              <w:spacing w:after="0"/>
              <w:rPr>
                <w:sz w:val="20"/>
                <w:szCs w:val="20"/>
                <w:color w:val="auto"/>
              </w:rPr>
            </w:pPr>
            <w:r>
              <w:rPr>
                <w:rFonts w:ascii="Arial" w:cs="Arial" w:eastAsia="Arial" w:hAnsi="Arial"/>
                <w:sz w:val="14"/>
                <w:szCs w:val="14"/>
                <w:color w:val="auto"/>
              </w:rPr>
              <w:t>Two or more individuals (joint account)</w:t>
            </w:r>
          </w:p>
        </w:tc>
        <w:tc>
          <w:tcPr>
            <w:tcW w:w="2280" w:type="dxa"/>
            <w:vAlign w:val="bottom"/>
          </w:tcPr>
          <w:p>
            <w:pPr>
              <w:ind w:left="260"/>
              <w:spacing w:after="0"/>
              <w:rPr>
                <w:sz w:val="20"/>
                <w:szCs w:val="20"/>
                <w:color w:val="auto"/>
              </w:rPr>
            </w:pPr>
            <w:r>
              <w:rPr>
                <w:rFonts w:ascii="Arial" w:cs="Arial" w:eastAsia="Arial" w:hAnsi="Arial"/>
                <w:sz w:val="14"/>
                <w:szCs w:val="14"/>
                <w:color w:val="auto"/>
              </w:rPr>
              <w:t>The actual owner of the</w:t>
            </w:r>
          </w:p>
        </w:tc>
      </w:tr>
      <w:tr>
        <w:trPr>
          <w:trHeight w:val="162"/>
        </w:trPr>
        <w:tc>
          <w:tcPr>
            <w:tcW w:w="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80" w:type="dxa"/>
            <w:vAlign w:val="bottom"/>
          </w:tcPr>
          <w:p>
            <w:pPr>
              <w:ind w:left="260"/>
              <w:spacing w:after="0"/>
              <w:rPr>
                <w:sz w:val="20"/>
                <w:szCs w:val="20"/>
                <w:color w:val="auto"/>
              </w:rPr>
            </w:pPr>
            <w:r>
              <w:rPr>
                <w:rFonts w:ascii="Arial" w:cs="Arial" w:eastAsia="Arial" w:hAnsi="Arial"/>
                <w:sz w:val="14"/>
                <w:szCs w:val="14"/>
                <w:color w:val="auto"/>
              </w:rPr>
              <w:t>account or, if combined funds,</w:t>
            </w:r>
          </w:p>
        </w:tc>
      </w:tr>
      <w:tr>
        <w:trPr>
          <w:trHeight w:val="155"/>
        </w:trPr>
        <w:tc>
          <w:tcPr>
            <w:tcW w:w="3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280" w:type="dxa"/>
            <w:vAlign w:val="bottom"/>
          </w:tcPr>
          <w:p>
            <w:pPr>
              <w:ind w:left="260"/>
              <w:spacing w:after="0" w:line="155" w:lineRule="exact"/>
              <w:rPr>
                <w:sz w:val="20"/>
                <w:szCs w:val="20"/>
                <w:color w:val="auto"/>
              </w:rPr>
            </w:pPr>
            <w:r>
              <w:rPr>
                <w:rFonts w:ascii="Arial" w:cs="Arial" w:eastAsia="Arial" w:hAnsi="Arial"/>
                <w:sz w:val="14"/>
                <w:szCs w:val="14"/>
                <w:color w:val="auto"/>
              </w:rPr>
              <w:t>the first individual on the</w:t>
            </w:r>
          </w:p>
        </w:tc>
      </w:tr>
      <w:tr>
        <w:trPr>
          <w:trHeight w:val="162"/>
        </w:trPr>
        <w:tc>
          <w:tcPr>
            <w:tcW w:w="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80" w:type="dxa"/>
            <w:vAlign w:val="bottom"/>
          </w:tcPr>
          <w:p>
            <w:pPr>
              <w:ind w:left="260"/>
              <w:spacing w:after="0" w:line="162" w:lineRule="exact"/>
              <w:rPr>
                <w:sz w:val="20"/>
                <w:szCs w:val="20"/>
                <w:color w:val="auto"/>
              </w:rPr>
            </w:pPr>
            <w:r>
              <w:rPr>
                <w:rFonts w:ascii="Arial" w:cs="Arial" w:eastAsia="Arial" w:hAnsi="Arial"/>
                <w:sz w:val="11"/>
                <w:szCs w:val="11"/>
                <w:color w:val="auto"/>
              </w:rPr>
              <w:t xml:space="preserve">account </w:t>
            </w:r>
            <w:r>
              <w:rPr>
                <w:rFonts w:ascii="Arial" w:cs="Arial" w:eastAsia="Arial" w:hAnsi="Arial"/>
                <w:sz w:val="18"/>
                <w:szCs w:val="18"/>
                <w:color w:val="auto"/>
                <w:vertAlign w:val="superscript"/>
              </w:rPr>
              <w:t>1</w:t>
            </w:r>
          </w:p>
        </w:tc>
      </w:tr>
    </w:tbl>
    <w:p>
      <w:pPr>
        <w:ind w:left="480" w:right="1260" w:hanging="468"/>
        <w:spacing w:after="0" w:line="182" w:lineRule="auto"/>
        <w:tabs>
          <w:tab w:leader="none" w:pos="4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 xml:space="preserve">Custodian account of a minor (Uniform Gift to The minor </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Minors Act)</w:t>
      </w:r>
    </w:p>
    <w:tbl>
      <w:tblPr>
        <w:tblLayout w:type="fixed"/>
        <w:tblInd w:w="0" w:type="dxa"/>
        <w:tblCellMar>
          <w:top w:w="0" w:type="dxa"/>
          <w:left w:w="0" w:type="dxa"/>
          <w:bottom w:w="0" w:type="dxa"/>
          <w:right w:w="0" w:type="dxa"/>
        </w:tblCellMar>
      </w:tblPr>
      <w:tr>
        <w:trPr>
          <w:trHeight w:val="171"/>
        </w:trPr>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3080" w:type="dxa"/>
            <w:vAlign w:val="bottom"/>
          </w:tcPr>
          <w:p>
            <w:pPr>
              <w:ind w:left="140"/>
              <w:spacing w:after="0"/>
              <w:rPr>
                <w:sz w:val="20"/>
                <w:szCs w:val="20"/>
                <w:color w:val="auto"/>
              </w:rPr>
            </w:pPr>
            <w:r>
              <w:rPr>
                <w:rFonts w:ascii="Arial" w:cs="Arial" w:eastAsia="Arial" w:hAnsi="Arial"/>
                <w:sz w:val="14"/>
                <w:szCs w:val="14"/>
                <w:color w:val="auto"/>
              </w:rPr>
              <w:t>a. The usual revocable savings trust (grantor</w:t>
            </w:r>
          </w:p>
        </w:tc>
        <w:tc>
          <w:tcPr>
            <w:tcW w:w="2060" w:type="dxa"/>
            <w:vAlign w:val="bottom"/>
          </w:tcPr>
          <w:p>
            <w:pPr>
              <w:ind w:left="40"/>
              <w:spacing w:after="0" w:line="171" w:lineRule="exact"/>
              <w:rPr>
                <w:sz w:val="20"/>
                <w:szCs w:val="20"/>
                <w:color w:val="auto"/>
              </w:rPr>
            </w:pPr>
            <w:r>
              <w:rPr>
                <w:rFonts w:ascii="Arial" w:cs="Arial" w:eastAsia="Arial" w:hAnsi="Arial"/>
                <w:sz w:val="12"/>
                <w:szCs w:val="12"/>
                <w:color w:val="auto"/>
              </w:rPr>
              <w:t xml:space="preserve">The grantor-trustee </w:t>
            </w:r>
            <w:r>
              <w:rPr>
                <w:rFonts w:ascii="Arial" w:cs="Arial" w:eastAsia="Arial" w:hAnsi="Arial"/>
                <w:sz w:val="19"/>
                <w:szCs w:val="19"/>
                <w:color w:val="auto"/>
                <w:vertAlign w:val="superscript"/>
              </w:rPr>
              <w:t>1</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Arial" w:cs="Arial" w:eastAsia="Arial" w:hAnsi="Arial"/>
                <w:sz w:val="14"/>
                <w:szCs w:val="14"/>
                <w:color w:val="auto"/>
              </w:rPr>
              <w:t>is also trustee)</w:t>
            </w:r>
          </w:p>
        </w:tc>
        <w:tc>
          <w:tcPr>
            <w:tcW w:w="2060" w:type="dxa"/>
            <w:vAlign w:val="bottom"/>
            <w:vMerge w:val="restart"/>
          </w:tcPr>
          <w:p>
            <w:pPr>
              <w:ind w:left="40"/>
              <w:spacing w:after="0"/>
              <w:rPr>
                <w:sz w:val="20"/>
                <w:szCs w:val="20"/>
                <w:color w:val="auto"/>
              </w:rPr>
            </w:pPr>
            <w:r>
              <w:rPr>
                <w:rFonts w:ascii="Arial" w:cs="Arial" w:eastAsia="Arial" w:hAnsi="Arial"/>
                <w:sz w:val="14"/>
                <w:szCs w:val="14"/>
                <w:color w:val="auto"/>
              </w:rPr>
              <w:t xml:space="preserve">The actual owner </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Arial" w:cs="Arial" w:eastAsia="Arial" w:hAnsi="Arial"/>
                <w:sz w:val="14"/>
                <w:szCs w:val="14"/>
                <w:color w:val="auto"/>
              </w:rPr>
              <w:t>b. So-called trust account that is not a legal</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Arial" w:cs="Arial" w:eastAsia="Arial" w:hAnsi="Arial"/>
                <w:sz w:val="14"/>
                <w:szCs w:val="14"/>
                <w:color w:val="auto"/>
              </w:rPr>
              <w:t>or valid trust under state law</w:t>
            </w:r>
          </w:p>
        </w:tc>
        <w:tc>
          <w:tcPr>
            <w:tcW w:w="2060" w:type="dxa"/>
            <w:vAlign w:val="bottom"/>
            <w:vMerge w:val="restart"/>
          </w:tcPr>
          <w:p>
            <w:pPr>
              <w:ind w:left="40"/>
              <w:spacing w:after="0"/>
              <w:rPr>
                <w:sz w:val="20"/>
                <w:szCs w:val="20"/>
                <w:color w:val="auto"/>
              </w:rPr>
            </w:pPr>
            <w:r>
              <w:rPr>
                <w:rFonts w:ascii="Arial" w:cs="Arial" w:eastAsia="Arial" w:hAnsi="Arial"/>
                <w:sz w:val="14"/>
                <w:szCs w:val="14"/>
                <w:color w:val="auto"/>
              </w:rPr>
              <w:t xml:space="preserve">The owner </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162"/>
        </w:trPr>
        <w:tc>
          <w:tcPr>
            <w:tcW w:w="340" w:type="dxa"/>
            <w:vAlign w:val="bottom"/>
          </w:tcPr>
          <w:p>
            <w:pPr>
              <w:ind w:left="20"/>
              <w:spacing w:after="0"/>
              <w:rPr>
                <w:sz w:val="20"/>
                <w:szCs w:val="20"/>
                <w:color w:val="auto"/>
              </w:rPr>
            </w:pPr>
            <w:r>
              <w:rPr>
                <w:rFonts w:ascii="Arial" w:cs="Arial" w:eastAsia="Arial" w:hAnsi="Arial"/>
                <w:sz w:val="14"/>
                <w:szCs w:val="14"/>
                <w:color w:val="auto"/>
              </w:rPr>
              <w:t>5.</w:t>
            </w:r>
          </w:p>
        </w:tc>
        <w:tc>
          <w:tcPr>
            <w:tcW w:w="3080" w:type="dxa"/>
            <w:vAlign w:val="bottom"/>
          </w:tcPr>
          <w:p>
            <w:pPr>
              <w:ind w:left="140"/>
              <w:spacing w:after="0"/>
              <w:rPr>
                <w:sz w:val="20"/>
                <w:szCs w:val="20"/>
                <w:color w:val="auto"/>
              </w:rPr>
            </w:pPr>
            <w:r>
              <w:rPr>
                <w:rFonts w:ascii="Arial" w:cs="Arial" w:eastAsia="Arial" w:hAnsi="Arial"/>
                <w:sz w:val="14"/>
                <w:szCs w:val="14"/>
                <w:color w:val="auto"/>
              </w:rPr>
              <w:t>Sole proprietorship or disregarded entity</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Arial" w:cs="Arial" w:eastAsia="Arial" w:hAnsi="Arial"/>
                <w:sz w:val="14"/>
                <w:szCs w:val="14"/>
                <w:color w:val="auto"/>
              </w:rPr>
              <w:t>owned by an individual</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ind w:left="20"/>
              <w:spacing w:after="0"/>
              <w:rPr>
                <w:sz w:val="20"/>
                <w:szCs w:val="20"/>
                <w:color w:val="auto"/>
              </w:rPr>
            </w:pPr>
            <w:r>
              <w:rPr>
                <w:rFonts w:ascii="Arial" w:cs="Arial" w:eastAsia="Arial" w:hAnsi="Arial"/>
                <w:sz w:val="14"/>
                <w:szCs w:val="14"/>
                <w:color w:val="auto"/>
              </w:rPr>
              <w:t>6.</w:t>
            </w:r>
          </w:p>
        </w:tc>
        <w:tc>
          <w:tcPr>
            <w:tcW w:w="3080" w:type="dxa"/>
            <w:vAlign w:val="bottom"/>
          </w:tcPr>
          <w:p>
            <w:pPr>
              <w:ind w:left="140"/>
              <w:spacing w:after="0"/>
              <w:rPr>
                <w:sz w:val="20"/>
                <w:szCs w:val="20"/>
                <w:color w:val="auto"/>
              </w:rPr>
            </w:pPr>
            <w:r>
              <w:rPr>
                <w:rFonts w:ascii="Arial" w:cs="Arial" w:eastAsia="Arial" w:hAnsi="Arial"/>
                <w:sz w:val="14"/>
                <w:szCs w:val="14"/>
                <w:color w:val="auto"/>
              </w:rPr>
              <w:t>Grantor trust filing under Optional Form 1099</w:t>
            </w:r>
          </w:p>
        </w:tc>
        <w:tc>
          <w:tcPr>
            <w:tcW w:w="2060" w:type="dxa"/>
            <w:vAlign w:val="bottom"/>
          </w:tcPr>
          <w:p>
            <w:pPr>
              <w:ind w:left="40"/>
              <w:spacing w:after="0"/>
              <w:rPr>
                <w:sz w:val="20"/>
                <w:szCs w:val="20"/>
                <w:color w:val="auto"/>
              </w:rPr>
            </w:pPr>
            <w:r>
              <w:rPr>
                <w:rFonts w:ascii="Arial" w:cs="Arial" w:eastAsia="Arial" w:hAnsi="Arial"/>
                <w:sz w:val="14"/>
                <w:szCs w:val="14"/>
                <w:color w:val="auto"/>
              </w:rPr>
              <w:t>The grantor*</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Arial" w:cs="Arial" w:eastAsia="Arial" w:hAnsi="Arial"/>
                <w:sz w:val="14"/>
                <w:szCs w:val="14"/>
                <w:color w:val="auto"/>
              </w:rPr>
              <w:t>Filing Method 1 (see Regulation section</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1.671-4(b)(2)(i)(A))</w:t>
            </w:r>
          </w:p>
        </w:tc>
        <w:tc>
          <w:tcPr>
            <w:tcW w:w="2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For this type of account:</w:t>
            </w:r>
          </w:p>
        </w:tc>
        <w:tc>
          <w:tcPr>
            <w:tcW w:w="206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Give name and EIN of:</w:t>
            </w:r>
          </w:p>
        </w:tc>
        <w:tc>
          <w:tcPr>
            <w:tcW w:w="0" w:type="dxa"/>
            <w:vAlign w:val="bottom"/>
          </w:tcPr>
          <w:p>
            <w:pPr>
              <w:spacing w:after="0"/>
              <w:rPr>
                <w:sz w:val="1"/>
                <w:szCs w:val="1"/>
                <w:color w:val="auto"/>
              </w:rPr>
            </w:pPr>
          </w:p>
        </w:tc>
      </w:tr>
      <w:tr>
        <w:trPr>
          <w:trHeight w:val="160"/>
        </w:trPr>
        <w:tc>
          <w:tcPr>
            <w:tcW w:w="340" w:type="dxa"/>
            <w:vAlign w:val="bottom"/>
          </w:tcPr>
          <w:p>
            <w:pPr>
              <w:ind w:left="20"/>
              <w:spacing w:after="0"/>
              <w:rPr>
                <w:sz w:val="20"/>
                <w:szCs w:val="20"/>
                <w:color w:val="auto"/>
              </w:rPr>
            </w:pPr>
            <w:r>
              <w:rPr>
                <w:rFonts w:ascii="Arial" w:cs="Arial" w:eastAsia="Arial" w:hAnsi="Arial"/>
                <w:sz w:val="14"/>
                <w:szCs w:val="14"/>
                <w:color w:val="auto"/>
              </w:rPr>
              <w:t>7.</w:t>
            </w:r>
          </w:p>
        </w:tc>
        <w:tc>
          <w:tcPr>
            <w:tcW w:w="3080" w:type="dxa"/>
            <w:vAlign w:val="bottom"/>
          </w:tcPr>
          <w:p>
            <w:pPr>
              <w:ind w:left="140"/>
              <w:spacing w:after="0"/>
              <w:rPr>
                <w:sz w:val="20"/>
                <w:szCs w:val="20"/>
                <w:color w:val="auto"/>
              </w:rPr>
            </w:pPr>
            <w:r>
              <w:rPr>
                <w:rFonts w:ascii="Arial" w:cs="Arial" w:eastAsia="Arial" w:hAnsi="Arial"/>
                <w:sz w:val="14"/>
                <w:szCs w:val="14"/>
                <w:color w:val="auto"/>
              </w:rPr>
              <w:t>Disregarded entity not owned by an</w:t>
            </w:r>
          </w:p>
        </w:tc>
        <w:tc>
          <w:tcPr>
            <w:tcW w:w="2060" w:type="dxa"/>
            <w:vAlign w:val="bottom"/>
          </w:tcPr>
          <w:p>
            <w:pPr>
              <w:ind w:left="40"/>
              <w:spacing w:after="0"/>
              <w:rPr>
                <w:sz w:val="20"/>
                <w:szCs w:val="20"/>
                <w:color w:val="auto"/>
              </w:rPr>
            </w:pPr>
            <w:r>
              <w:rPr>
                <w:rFonts w:ascii="Arial" w:cs="Arial" w:eastAsia="Arial" w:hAnsi="Arial"/>
                <w:sz w:val="14"/>
                <w:szCs w:val="14"/>
                <w:color w:val="auto"/>
              </w:rPr>
              <w:t>The owner</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Arial" w:cs="Arial" w:eastAsia="Arial" w:hAnsi="Arial"/>
                <w:sz w:val="14"/>
                <w:szCs w:val="14"/>
                <w:color w:val="auto"/>
              </w:rPr>
              <w:t>individual</w:t>
            </w:r>
          </w:p>
        </w:tc>
        <w:tc>
          <w:tcPr>
            <w:tcW w:w="2060" w:type="dxa"/>
            <w:vAlign w:val="bottom"/>
            <w:vMerge w:val="restart"/>
          </w:tcPr>
          <w:p>
            <w:pPr>
              <w:ind w:left="40"/>
              <w:spacing w:after="0"/>
              <w:rPr>
                <w:sz w:val="20"/>
                <w:szCs w:val="20"/>
                <w:color w:val="auto"/>
              </w:rPr>
            </w:pPr>
            <w:r>
              <w:rPr>
                <w:rFonts w:ascii="Arial" w:cs="Arial" w:eastAsia="Arial" w:hAnsi="Arial"/>
                <w:sz w:val="14"/>
                <w:szCs w:val="14"/>
                <w:color w:val="auto"/>
              </w:rPr>
              <w:t xml:space="preserve">Legal entity </w:t>
            </w:r>
            <w:r>
              <w:rPr>
                <w:rFonts w:ascii="Arial" w:cs="Arial" w:eastAsia="Arial" w:hAnsi="Arial"/>
                <w:sz w:val="24"/>
                <w:szCs w:val="24"/>
                <w:color w:val="auto"/>
                <w:vertAlign w:val="superscript"/>
              </w:rPr>
              <w:t>4</w:t>
            </w:r>
          </w:p>
        </w:tc>
        <w:tc>
          <w:tcPr>
            <w:tcW w:w="0" w:type="dxa"/>
            <w:vAlign w:val="bottom"/>
          </w:tcPr>
          <w:p>
            <w:pPr>
              <w:spacing w:after="0"/>
              <w:rPr>
                <w:sz w:val="1"/>
                <w:szCs w:val="1"/>
                <w:color w:val="auto"/>
              </w:rPr>
            </w:pPr>
          </w:p>
        </w:tc>
      </w:tr>
      <w:tr>
        <w:trPr>
          <w:trHeight w:val="162"/>
        </w:trPr>
        <w:tc>
          <w:tcPr>
            <w:tcW w:w="340" w:type="dxa"/>
            <w:vAlign w:val="bottom"/>
          </w:tcPr>
          <w:p>
            <w:pPr>
              <w:ind w:left="20"/>
              <w:spacing w:after="0"/>
              <w:rPr>
                <w:sz w:val="20"/>
                <w:szCs w:val="20"/>
                <w:color w:val="auto"/>
              </w:rPr>
            </w:pPr>
            <w:r>
              <w:rPr>
                <w:rFonts w:ascii="Arial" w:cs="Arial" w:eastAsia="Arial" w:hAnsi="Arial"/>
                <w:sz w:val="14"/>
                <w:szCs w:val="14"/>
                <w:color w:val="auto"/>
              </w:rPr>
              <w:t>8.</w:t>
            </w:r>
          </w:p>
        </w:tc>
        <w:tc>
          <w:tcPr>
            <w:tcW w:w="3080" w:type="dxa"/>
            <w:vAlign w:val="bottom"/>
          </w:tcPr>
          <w:p>
            <w:pPr>
              <w:ind w:left="140"/>
              <w:spacing w:after="0"/>
              <w:rPr>
                <w:sz w:val="20"/>
                <w:szCs w:val="20"/>
                <w:color w:val="auto"/>
              </w:rPr>
            </w:pPr>
            <w:r>
              <w:rPr>
                <w:rFonts w:ascii="Arial" w:cs="Arial" w:eastAsia="Arial" w:hAnsi="Arial"/>
                <w:sz w:val="14"/>
                <w:szCs w:val="14"/>
                <w:color w:val="auto"/>
              </w:rPr>
              <w:t>A valid trust, estate, or pension trust</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ind w:left="20"/>
              <w:spacing w:after="0"/>
              <w:rPr>
                <w:sz w:val="20"/>
                <w:szCs w:val="20"/>
                <w:color w:val="auto"/>
              </w:rPr>
            </w:pPr>
            <w:r>
              <w:rPr>
                <w:rFonts w:ascii="Arial" w:cs="Arial" w:eastAsia="Arial" w:hAnsi="Arial"/>
                <w:sz w:val="14"/>
                <w:szCs w:val="14"/>
                <w:color w:val="auto"/>
              </w:rPr>
              <w:t>9.</w:t>
            </w:r>
          </w:p>
        </w:tc>
        <w:tc>
          <w:tcPr>
            <w:tcW w:w="3080" w:type="dxa"/>
            <w:vAlign w:val="bottom"/>
          </w:tcPr>
          <w:p>
            <w:pPr>
              <w:ind w:left="140"/>
              <w:spacing w:after="0"/>
              <w:rPr>
                <w:sz w:val="20"/>
                <w:szCs w:val="20"/>
                <w:color w:val="auto"/>
              </w:rPr>
            </w:pPr>
            <w:r>
              <w:rPr>
                <w:rFonts w:ascii="Arial" w:cs="Arial" w:eastAsia="Arial" w:hAnsi="Arial"/>
                <w:sz w:val="14"/>
                <w:szCs w:val="14"/>
                <w:color w:val="auto"/>
              </w:rPr>
              <w:t>Corporation or LLC electing corporate status</w:t>
            </w:r>
          </w:p>
        </w:tc>
        <w:tc>
          <w:tcPr>
            <w:tcW w:w="2060" w:type="dxa"/>
            <w:vAlign w:val="bottom"/>
          </w:tcPr>
          <w:p>
            <w:pPr>
              <w:ind w:left="40"/>
              <w:spacing w:after="0"/>
              <w:rPr>
                <w:sz w:val="20"/>
                <w:szCs w:val="20"/>
                <w:color w:val="auto"/>
              </w:rPr>
            </w:pPr>
            <w:r>
              <w:rPr>
                <w:rFonts w:ascii="Arial" w:cs="Arial" w:eastAsia="Arial" w:hAnsi="Arial"/>
                <w:sz w:val="14"/>
                <w:szCs w:val="14"/>
                <w:color w:val="auto"/>
              </w:rPr>
              <w:t>The corporation</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Arial" w:cs="Arial" w:eastAsia="Arial" w:hAnsi="Arial"/>
                <w:sz w:val="14"/>
                <w:szCs w:val="14"/>
                <w:color w:val="auto"/>
              </w:rPr>
              <w:t>on Form 8832 or Form 2553</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ind w:left="20"/>
              <w:spacing w:after="0"/>
              <w:rPr>
                <w:sz w:val="20"/>
                <w:szCs w:val="20"/>
                <w:color w:val="auto"/>
              </w:rPr>
            </w:pPr>
            <w:r>
              <w:rPr>
                <w:rFonts w:ascii="Arial" w:cs="Arial" w:eastAsia="Arial" w:hAnsi="Arial"/>
                <w:sz w:val="14"/>
                <w:szCs w:val="14"/>
                <w:color w:val="auto"/>
              </w:rPr>
              <w:t>10.</w:t>
            </w:r>
          </w:p>
        </w:tc>
        <w:tc>
          <w:tcPr>
            <w:tcW w:w="3080" w:type="dxa"/>
            <w:vAlign w:val="bottom"/>
          </w:tcPr>
          <w:p>
            <w:pPr>
              <w:ind w:left="140"/>
              <w:spacing w:after="0"/>
              <w:rPr>
                <w:sz w:val="20"/>
                <w:szCs w:val="20"/>
                <w:color w:val="auto"/>
              </w:rPr>
            </w:pPr>
            <w:r>
              <w:rPr>
                <w:rFonts w:ascii="Arial" w:cs="Arial" w:eastAsia="Arial" w:hAnsi="Arial"/>
                <w:sz w:val="14"/>
                <w:szCs w:val="14"/>
                <w:color w:val="auto"/>
              </w:rPr>
              <w:t>Association, club, religious, charitable,</w:t>
            </w:r>
          </w:p>
        </w:tc>
        <w:tc>
          <w:tcPr>
            <w:tcW w:w="2060" w:type="dxa"/>
            <w:vAlign w:val="bottom"/>
          </w:tcPr>
          <w:p>
            <w:pPr>
              <w:ind w:left="40"/>
              <w:spacing w:after="0"/>
              <w:rPr>
                <w:sz w:val="20"/>
                <w:szCs w:val="20"/>
                <w:color w:val="auto"/>
              </w:rPr>
            </w:pPr>
            <w:r>
              <w:rPr>
                <w:rFonts w:ascii="Arial" w:cs="Arial" w:eastAsia="Arial" w:hAnsi="Arial"/>
                <w:sz w:val="14"/>
                <w:szCs w:val="14"/>
                <w:color w:val="auto"/>
              </w:rPr>
              <w:t>The organization</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Arial" w:cs="Arial" w:eastAsia="Arial" w:hAnsi="Arial"/>
                <w:sz w:val="14"/>
                <w:szCs w:val="14"/>
                <w:color w:val="auto"/>
              </w:rPr>
              <w:t>educational, or other tax-exempt organization</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ind w:left="20"/>
              <w:spacing w:after="0"/>
              <w:rPr>
                <w:sz w:val="20"/>
                <w:szCs w:val="20"/>
                <w:color w:val="auto"/>
              </w:rPr>
            </w:pPr>
            <w:r>
              <w:rPr>
                <w:rFonts w:ascii="Arial" w:cs="Arial" w:eastAsia="Arial" w:hAnsi="Arial"/>
                <w:sz w:val="14"/>
                <w:szCs w:val="14"/>
                <w:color w:val="auto"/>
              </w:rPr>
              <w:t>11.</w:t>
            </w:r>
          </w:p>
        </w:tc>
        <w:tc>
          <w:tcPr>
            <w:tcW w:w="3080" w:type="dxa"/>
            <w:vAlign w:val="bottom"/>
          </w:tcPr>
          <w:p>
            <w:pPr>
              <w:ind w:left="140"/>
              <w:spacing w:after="0"/>
              <w:rPr>
                <w:sz w:val="20"/>
                <w:szCs w:val="20"/>
                <w:color w:val="auto"/>
              </w:rPr>
            </w:pPr>
            <w:r>
              <w:rPr>
                <w:rFonts w:ascii="Arial" w:cs="Arial" w:eastAsia="Arial" w:hAnsi="Arial"/>
                <w:sz w:val="14"/>
                <w:szCs w:val="14"/>
                <w:color w:val="auto"/>
              </w:rPr>
              <w:t>Partnership or multi-member LLC</w:t>
            </w:r>
          </w:p>
        </w:tc>
        <w:tc>
          <w:tcPr>
            <w:tcW w:w="2060" w:type="dxa"/>
            <w:vAlign w:val="bottom"/>
          </w:tcPr>
          <w:p>
            <w:pPr>
              <w:ind w:left="40"/>
              <w:spacing w:after="0"/>
              <w:rPr>
                <w:sz w:val="20"/>
                <w:szCs w:val="20"/>
                <w:color w:val="auto"/>
              </w:rPr>
            </w:pPr>
            <w:r>
              <w:rPr>
                <w:rFonts w:ascii="Arial" w:cs="Arial" w:eastAsia="Arial" w:hAnsi="Arial"/>
                <w:sz w:val="14"/>
                <w:szCs w:val="14"/>
                <w:color w:val="auto"/>
              </w:rPr>
              <w:t>The partnership</w:t>
            </w:r>
          </w:p>
        </w:tc>
        <w:tc>
          <w:tcPr>
            <w:tcW w:w="0" w:type="dxa"/>
            <w:vAlign w:val="bottom"/>
          </w:tcPr>
          <w:p>
            <w:pPr>
              <w:spacing w:after="0"/>
              <w:rPr>
                <w:sz w:val="1"/>
                <w:szCs w:val="1"/>
                <w:color w:val="auto"/>
              </w:rPr>
            </w:pPr>
          </w:p>
        </w:tc>
      </w:tr>
      <w:tr>
        <w:trPr>
          <w:trHeight w:val="162"/>
        </w:trPr>
        <w:tc>
          <w:tcPr>
            <w:tcW w:w="340" w:type="dxa"/>
            <w:vAlign w:val="bottom"/>
          </w:tcPr>
          <w:p>
            <w:pPr>
              <w:ind w:left="20"/>
              <w:spacing w:after="0"/>
              <w:rPr>
                <w:sz w:val="20"/>
                <w:szCs w:val="20"/>
                <w:color w:val="auto"/>
              </w:rPr>
            </w:pPr>
            <w:r>
              <w:rPr>
                <w:rFonts w:ascii="Arial" w:cs="Arial" w:eastAsia="Arial" w:hAnsi="Arial"/>
                <w:sz w:val="14"/>
                <w:szCs w:val="14"/>
                <w:color w:val="auto"/>
              </w:rPr>
              <w:t>12.</w:t>
            </w:r>
          </w:p>
        </w:tc>
        <w:tc>
          <w:tcPr>
            <w:tcW w:w="3080" w:type="dxa"/>
            <w:vAlign w:val="bottom"/>
          </w:tcPr>
          <w:p>
            <w:pPr>
              <w:ind w:left="140"/>
              <w:spacing w:after="0"/>
              <w:rPr>
                <w:sz w:val="20"/>
                <w:szCs w:val="20"/>
                <w:color w:val="auto"/>
              </w:rPr>
            </w:pPr>
            <w:r>
              <w:rPr>
                <w:rFonts w:ascii="Arial" w:cs="Arial" w:eastAsia="Arial" w:hAnsi="Arial"/>
                <w:sz w:val="14"/>
                <w:szCs w:val="14"/>
                <w:color w:val="auto"/>
              </w:rPr>
              <w:t>A broker or registered nominee</w:t>
            </w:r>
          </w:p>
        </w:tc>
        <w:tc>
          <w:tcPr>
            <w:tcW w:w="2060" w:type="dxa"/>
            <w:vAlign w:val="bottom"/>
          </w:tcPr>
          <w:p>
            <w:pPr>
              <w:ind w:left="40"/>
              <w:spacing w:after="0"/>
              <w:rPr>
                <w:sz w:val="20"/>
                <w:szCs w:val="20"/>
                <w:color w:val="auto"/>
              </w:rPr>
            </w:pPr>
            <w:r>
              <w:rPr>
                <w:rFonts w:ascii="Arial" w:cs="Arial" w:eastAsia="Arial" w:hAnsi="Arial"/>
                <w:sz w:val="14"/>
                <w:szCs w:val="14"/>
                <w:color w:val="auto"/>
              </w:rPr>
              <w:t>The broker or nominee</w:t>
            </w:r>
          </w:p>
        </w:tc>
        <w:tc>
          <w:tcPr>
            <w:tcW w:w="0" w:type="dxa"/>
            <w:vAlign w:val="bottom"/>
          </w:tcPr>
          <w:p>
            <w:pPr>
              <w:spacing w:after="0"/>
              <w:rPr>
                <w:sz w:val="1"/>
                <w:szCs w:val="1"/>
                <w:color w:val="auto"/>
              </w:rPr>
            </w:pPr>
          </w:p>
        </w:tc>
      </w:tr>
    </w:tbl>
    <w:p>
      <w:pPr>
        <w:ind w:left="480" w:right="960" w:hanging="468"/>
        <w:spacing w:after="0" w:line="241" w:lineRule="auto"/>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Account with the Department of Agriculture in The public entity the name of a public entity (such as a state</w:t>
      </w:r>
    </w:p>
    <w:p>
      <w:pPr>
        <w:ind w:left="480" w:right="2400"/>
        <w:spacing w:after="0" w:line="241" w:lineRule="auto"/>
        <w:rPr>
          <w:rFonts w:ascii="Arial" w:cs="Arial" w:eastAsia="Arial" w:hAnsi="Arial"/>
          <w:sz w:val="14"/>
          <w:szCs w:val="14"/>
          <w:color w:val="auto"/>
        </w:rPr>
      </w:pPr>
      <w:r>
        <w:rPr>
          <w:rFonts w:ascii="Arial" w:cs="Arial" w:eastAsia="Arial" w:hAnsi="Arial"/>
          <w:sz w:val="14"/>
          <w:szCs w:val="14"/>
          <w:color w:val="auto"/>
        </w:rPr>
        <w:t>or local government, school district, or prison) that receives agricultural program</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payments</w:t>
      </w:r>
    </w:p>
    <w:p>
      <w:pPr>
        <w:spacing w:after="0" w:line="1" w:lineRule="exact"/>
        <w:rPr>
          <w:sz w:val="20"/>
          <w:szCs w:val="20"/>
          <w:color w:val="auto"/>
        </w:rPr>
      </w:pPr>
    </w:p>
    <w:p>
      <w:pPr>
        <w:ind w:left="480" w:right="1440" w:hanging="459"/>
        <w:spacing w:after="0" w:line="241" w:lineRule="auto"/>
        <w:tabs>
          <w:tab w:leader="none" w:pos="46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Grantor trust filing under the Form 1041 The trust Filing Method or the Optional Form 1099</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Filing Method 2 (see Regulation section</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1.671-4(b)(2)(i)(B))</w:t>
      </w:r>
    </w:p>
    <w:p>
      <w:pPr>
        <w:spacing w:after="0" w:line="44" w:lineRule="exact"/>
        <w:rPr>
          <w:sz w:val="20"/>
          <w:szCs w:val="20"/>
          <w:color w:val="auto"/>
        </w:rPr>
      </w:pPr>
    </w:p>
    <w:p>
      <w:pPr>
        <w:ind w:right="180" w:firstLine="8"/>
        <w:spacing w:after="0" w:line="230" w:lineRule="auto"/>
        <w:tabs>
          <w:tab w:leader="none" w:pos="94" w:val="left"/>
        </w:tabs>
        <w:numPr>
          <w:ilvl w:val="0"/>
          <w:numId w:val="65"/>
        </w:numPr>
        <w:rPr>
          <w:rFonts w:ascii="Arial" w:cs="Arial" w:eastAsia="Arial" w:hAnsi="Arial"/>
          <w:sz w:val="11"/>
          <w:szCs w:val="11"/>
          <w:color w:val="auto"/>
        </w:rPr>
      </w:pPr>
      <w:r>
        <w:rPr>
          <w:rFonts w:ascii="Arial" w:cs="Arial" w:eastAsia="Arial" w:hAnsi="Arial"/>
          <w:sz w:val="13"/>
          <w:szCs w:val="13"/>
          <w:color w:val="auto"/>
        </w:rPr>
        <w:t>List first and circle the name of the person whose number you furnish. If only one person on a joint account has an SSN, that person’s number must be furnished.</w:t>
      </w:r>
    </w:p>
    <w:p>
      <w:pPr>
        <w:spacing w:after="0" w:line="1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Circle the minor’s name and furnish the minor’s SSN.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300"/>
        <w:spacing w:after="0" w:line="225" w:lineRule="auto"/>
        <w:tabs>
          <w:tab w:leader="none" w:pos="94" w:val="left"/>
        </w:tabs>
        <w:numPr>
          <w:ilvl w:val="0"/>
          <w:numId w:val="66"/>
        </w:numPr>
        <w:rPr>
          <w:rFonts w:ascii="Arial" w:cs="Arial" w:eastAsia="Arial" w:hAnsi="Arial"/>
          <w:sz w:val="11"/>
          <w:szCs w:val="11"/>
          <w:color w:val="auto"/>
        </w:rPr>
      </w:pPr>
      <w:r>
        <w:rPr>
          <w:rFonts w:ascii="Arial" w:cs="Arial" w:eastAsia="Arial" w:hAnsi="Arial"/>
          <w:sz w:val="13"/>
          <w:szCs w:val="13"/>
          <w:color w:val="auto"/>
        </w:rPr>
        <w:t>You must show your individual name and you may also enter your business or “DBA” name on the “Business name/disregarded entity” name line. You may use either your SSN or EIN (if you have one), but the IRS encourages you to use your SSN.</w:t>
      </w:r>
    </w:p>
    <w:p>
      <w:pPr>
        <w:spacing w:after="0" w:line="25" w:lineRule="exact"/>
        <w:rPr>
          <w:sz w:val="20"/>
          <w:szCs w:val="20"/>
          <w:color w:val="auto"/>
        </w:rPr>
      </w:pPr>
    </w:p>
    <w:p>
      <w:pPr>
        <w:ind w:right="300"/>
        <w:spacing w:after="0" w:line="225" w:lineRule="auto"/>
        <w:tabs>
          <w:tab w:leader="none" w:pos="94" w:val="left"/>
        </w:tabs>
        <w:numPr>
          <w:ilvl w:val="0"/>
          <w:numId w:val="67"/>
        </w:numPr>
        <w:rPr>
          <w:rFonts w:ascii="Arial" w:cs="Arial" w:eastAsia="Arial" w:hAnsi="Arial"/>
          <w:sz w:val="11"/>
          <w:szCs w:val="11"/>
          <w:color w:val="auto"/>
        </w:rPr>
      </w:pPr>
      <w:r>
        <w:rPr>
          <w:rFonts w:ascii="Arial" w:cs="Arial" w:eastAsia="Arial" w:hAnsi="Arial"/>
          <w:sz w:val="13"/>
          <w:szCs w:val="13"/>
          <w:color w:val="auto"/>
        </w:rPr>
        <w:t xml:space="preserve">List first and circle the name of the trust, estate, or pension trust. (Do not furnish the TIN of the personal representative or trustee unless the legal entity itself is not designated in the account title.) Also see </w:t>
      </w:r>
      <w:r>
        <w:rPr>
          <w:rFonts w:ascii="Arial" w:cs="Arial" w:eastAsia="Arial" w:hAnsi="Arial"/>
          <w:sz w:val="13"/>
          <w:szCs w:val="13"/>
          <w:i w:val="1"/>
          <w:iCs w:val="1"/>
          <w:color w:val="auto"/>
        </w:rPr>
        <w:t>Special rules for partnerships</w:t>
      </w:r>
      <w:r>
        <w:rPr>
          <w:rFonts w:ascii="Arial" w:cs="Arial" w:eastAsia="Arial" w:hAnsi="Arial"/>
          <w:sz w:val="13"/>
          <w:szCs w:val="13"/>
          <w:color w:val="auto"/>
        </w:rPr>
        <w:t xml:space="preserve"> on page 1.</w:t>
      </w:r>
    </w:p>
    <w:p>
      <w:pPr>
        <w:spacing w:after="0" w:line="11"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*Note. Grantor also must provide a Form W-9 to trustee of trust.</w:t>
      </w:r>
    </w:p>
    <w:p>
      <w:pPr>
        <w:spacing w:after="0" w:line="19" w:lineRule="exact"/>
        <w:rPr>
          <w:sz w:val="20"/>
          <w:szCs w:val="20"/>
          <w:color w:val="auto"/>
        </w:rPr>
      </w:pPr>
    </w:p>
    <w:p>
      <w:pPr>
        <w:ind w:right="440"/>
        <w:spacing w:after="0" w:line="277"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If no name is circled when more than one name is listed, the number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considered to be that of the first name listed.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Secure Your Tax Records from Identity Theft</w:t>
      </w:r>
    </w:p>
    <w:p>
      <w:pPr>
        <w:spacing w:after="0" w:line="65"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Identity theft occurs when someone uses your personal information such as your name, social security number (SSN), or other identifying information, without your permission, to commit fraud or other crimes. An identity thief may use your SSN to get a job or may file a tax return using your SSN to receive a refund.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To reduce your risk:</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 Protect your SSN,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 Ensure your employer is protecting your SSN, and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 Be careful when choosing a tax preparer.</w:t>
      </w:r>
    </w:p>
    <w:p>
      <w:pPr>
        <w:spacing w:after="0" w:line="57" w:lineRule="exact"/>
        <w:rPr>
          <w:sz w:val="20"/>
          <w:szCs w:val="20"/>
          <w:color w:val="auto"/>
        </w:rPr>
      </w:pPr>
    </w:p>
    <w:p>
      <w:pPr>
        <w:ind w:right="200" w:firstLine="55"/>
        <w:spacing w:after="0" w:line="253" w:lineRule="auto"/>
        <w:rPr>
          <w:sz w:val="20"/>
          <w:szCs w:val="20"/>
          <w:color w:val="auto"/>
        </w:rPr>
      </w:pPr>
      <w:r>
        <w:rPr>
          <w:rFonts w:ascii="Arial" w:cs="Arial" w:eastAsia="Arial" w:hAnsi="Arial"/>
          <w:sz w:val="16"/>
          <w:szCs w:val="16"/>
          <w:color w:val="auto"/>
        </w:rPr>
        <w:t>If your tax records are affected by identity theft and you receive a notice from the IRS, respond right away to the name and phone number printed on the IRS notice or letter.</w:t>
      </w:r>
    </w:p>
    <w:p>
      <w:pPr>
        <w:spacing w:after="0" w:line="26" w:lineRule="exact"/>
        <w:rPr>
          <w:sz w:val="20"/>
          <w:szCs w:val="20"/>
          <w:color w:val="auto"/>
        </w:rPr>
      </w:pPr>
    </w:p>
    <w:p>
      <w:pPr>
        <w:ind w:right="260" w:firstLine="55"/>
        <w:spacing w:after="0" w:line="251" w:lineRule="auto"/>
        <w:rPr>
          <w:sz w:val="20"/>
          <w:szCs w:val="20"/>
          <w:color w:val="auto"/>
        </w:rPr>
      </w:pPr>
      <w:r>
        <w:rPr>
          <w:rFonts w:ascii="Arial" w:cs="Arial" w:eastAsia="Arial" w:hAnsi="Arial"/>
          <w:sz w:val="16"/>
          <w:szCs w:val="16"/>
          <w:color w:val="auto"/>
        </w:rPr>
        <w:t>If your tax records are not currently affected by identity theft but you think you are at risk due to a lost or stolen purse or wallet, questionable credit card activity or credit report, contact the IRS Identity Theft Hotline at 1-800-908-4490 or submit Form 14039.</w:t>
      </w:r>
    </w:p>
    <w:p>
      <w:pPr>
        <w:spacing w:after="0" w:line="27" w:lineRule="exact"/>
        <w:rPr>
          <w:sz w:val="20"/>
          <w:szCs w:val="20"/>
          <w:color w:val="auto"/>
        </w:rPr>
      </w:pPr>
    </w:p>
    <w:p>
      <w:pPr>
        <w:ind w:right="320" w:firstLine="55"/>
        <w:spacing w:after="0" w:line="260" w:lineRule="auto"/>
        <w:rPr>
          <w:sz w:val="20"/>
          <w:szCs w:val="20"/>
          <w:color w:val="auto"/>
        </w:rPr>
      </w:pPr>
      <w:r>
        <w:rPr>
          <w:rFonts w:ascii="Arial" w:cs="Arial" w:eastAsia="Arial" w:hAnsi="Arial"/>
          <w:sz w:val="16"/>
          <w:szCs w:val="16"/>
          <w:color w:val="auto"/>
        </w:rPr>
        <w:t>For more information, see Publication 4535, Identity Theft Prevention and Victim Assistance.</w:t>
      </w:r>
    </w:p>
    <w:p>
      <w:pPr>
        <w:spacing w:after="0" w:line="7" w:lineRule="exact"/>
        <w:rPr>
          <w:sz w:val="20"/>
          <w:szCs w:val="20"/>
          <w:color w:val="auto"/>
        </w:rPr>
      </w:pPr>
    </w:p>
    <w:p>
      <w:pPr>
        <w:ind w:right="340" w:firstLine="55"/>
        <w:spacing w:after="0" w:line="250" w:lineRule="auto"/>
        <w:rPr>
          <w:sz w:val="20"/>
          <w:szCs w:val="20"/>
          <w:color w:val="auto"/>
        </w:rPr>
      </w:pPr>
      <w:r>
        <w:rPr>
          <w:rFonts w:ascii="Arial" w:cs="Arial" w:eastAsia="Arial" w:hAnsi="Arial"/>
          <w:sz w:val="16"/>
          <w:szCs w:val="16"/>
          <w:color w:val="auto"/>
        </w:rPr>
        <w:t>Victims of identity theft who are experiencing economic harm or a system problem, or are seeking help in resolving tax problems that have not been resolved through normal channels, may be eligible for Taxpayer Advocate Service (TAS) assistance. You can reach TAS by calling the TAS toll-free case intake line at 1-877-777-4778 or TTY/TDD 1-800-829-4059.</w:t>
      </w:r>
    </w:p>
    <w:p>
      <w:pPr>
        <w:spacing w:after="0" w:line="8"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b w:val="1"/>
          <w:bCs w:val="1"/>
          <w:color w:val="auto"/>
        </w:rPr>
        <w:t xml:space="preserve">Protect yourself from suspicious emails or phishing schemes. </w:t>
      </w:r>
      <w:r>
        <w:rPr>
          <w:rFonts w:ascii="Arial" w:cs="Arial" w:eastAsia="Arial" w:hAnsi="Arial"/>
          <w:sz w:val="16"/>
          <w:szCs w:val="16"/>
          <w:color w:val="auto"/>
        </w:rPr>
        <w:t>Phishing</w:t>
      </w:r>
      <w:r>
        <w:rPr>
          <w:rFonts w:ascii="Arial" w:cs="Arial" w:eastAsia="Arial" w:hAnsi="Arial"/>
          <w:sz w:val="16"/>
          <w:szCs w:val="16"/>
          <w:b w:val="1"/>
          <w:bCs w:val="1"/>
          <w:color w:val="auto"/>
        </w:rPr>
        <w:t xml:space="preserve"> </w:t>
      </w:r>
      <w:r>
        <w:rPr>
          <w:rFonts w:ascii="Arial" w:cs="Arial" w:eastAsia="Arial" w:hAnsi="Arial"/>
          <w:sz w:val="16"/>
          <w:szCs w:val="16"/>
          <w:color w:val="auto"/>
        </w:rPr>
        <w:t>is the creation and use 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w:t>
      </w:r>
    </w:p>
    <w:p>
      <w:pPr>
        <w:spacing w:after="0" w:line="27" w:lineRule="exact"/>
        <w:rPr>
          <w:sz w:val="20"/>
          <w:szCs w:val="20"/>
          <w:color w:val="auto"/>
        </w:rPr>
      </w:pPr>
    </w:p>
    <w:p>
      <w:pPr>
        <w:ind w:right="280" w:firstLine="55"/>
        <w:spacing w:after="0" w:line="251" w:lineRule="auto"/>
        <w:rPr>
          <w:sz w:val="20"/>
          <w:szCs w:val="20"/>
          <w:color w:val="auto"/>
        </w:rPr>
      </w:pPr>
      <w:r>
        <w:rPr>
          <w:rFonts w:ascii="Arial" w:cs="Arial" w:eastAsia="Arial" w:hAnsi="Arial"/>
          <w:sz w:val="16"/>
          <w:szCs w:val="16"/>
          <w:color w:val="auto"/>
        </w:rPr>
        <w:t>The IRS does not initiate contacts with taxpayers via emails. Also, the IRS does not request personal detailed information through email or ask taxpayers for the PIN numbers, passwords, or similar secret access information for their credit card, bank, or other financial accounts.</w:t>
      </w:r>
    </w:p>
    <w:p>
      <w:pPr>
        <w:spacing w:after="0" w:line="14" w:lineRule="exact"/>
        <w:rPr>
          <w:sz w:val="20"/>
          <w:szCs w:val="20"/>
          <w:color w:val="auto"/>
        </w:rPr>
      </w:pPr>
    </w:p>
    <w:p>
      <w:pPr>
        <w:ind w:right="160" w:firstLine="55"/>
        <w:spacing w:after="0" w:line="249" w:lineRule="auto"/>
        <w:rPr>
          <w:sz w:val="20"/>
          <w:szCs w:val="20"/>
          <w:color w:val="auto"/>
        </w:rPr>
      </w:pPr>
      <w:r>
        <w:rPr>
          <w:rFonts w:ascii="Arial" w:cs="Arial" w:eastAsia="Arial" w:hAnsi="Arial"/>
          <w:sz w:val="16"/>
          <w:szCs w:val="16"/>
          <w:color w:val="auto"/>
        </w:rPr>
        <w:t xml:space="preserve">If you receive an unsolicited email claiming to be from the IRS, forward this message to </w:t>
      </w:r>
      <w:r>
        <w:rPr>
          <w:rFonts w:ascii="Arial" w:cs="Arial" w:eastAsia="Arial" w:hAnsi="Arial"/>
          <w:sz w:val="16"/>
          <w:szCs w:val="16"/>
          <w:i w:val="1"/>
          <w:iCs w:val="1"/>
          <w:color w:val="auto"/>
        </w:rPr>
        <w:t>phishing@irs.gov</w:t>
      </w:r>
      <w:r>
        <w:rPr>
          <w:rFonts w:ascii="Arial" w:cs="Arial" w:eastAsia="Arial" w:hAnsi="Arial"/>
          <w:sz w:val="16"/>
          <w:szCs w:val="16"/>
          <w:color w:val="auto"/>
        </w:rPr>
        <w:t xml:space="preserve"> . You may also report misuse of the IRS name, logo, or other IRS property to the Treasury Inspector General for Tax Administration at 1-800-366-4484. You can forward suspicious emails to the Federal Trade Commission at: </w:t>
      </w:r>
      <w:r>
        <w:rPr>
          <w:rFonts w:ascii="Arial" w:cs="Arial" w:eastAsia="Arial" w:hAnsi="Arial"/>
          <w:sz w:val="16"/>
          <w:szCs w:val="16"/>
          <w:i w:val="1"/>
          <w:iCs w:val="1"/>
          <w:color w:val="auto"/>
        </w:rPr>
        <w:t>spam@uce.gov</w:t>
      </w:r>
      <w:r>
        <w:rPr>
          <w:rFonts w:ascii="Arial" w:cs="Arial" w:eastAsia="Arial" w:hAnsi="Arial"/>
          <w:sz w:val="16"/>
          <w:szCs w:val="16"/>
          <w:color w:val="auto"/>
        </w:rPr>
        <w:t xml:space="preserve"> or contact them at </w:t>
      </w:r>
      <w:r>
        <w:rPr>
          <w:rFonts w:ascii="Arial" w:cs="Arial" w:eastAsia="Arial" w:hAnsi="Arial"/>
          <w:sz w:val="16"/>
          <w:szCs w:val="16"/>
          <w:i w:val="1"/>
          <w:iCs w:val="1"/>
          <w:color w:val="auto"/>
        </w:rPr>
        <w:t xml:space="preserve">www.ftc.gov/idtheft </w:t>
      </w:r>
      <w:r>
        <w:rPr>
          <w:rFonts w:ascii="Arial" w:cs="Arial" w:eastAsia="Arial" w:hAnsi="Arial"/>
          <w:sz w:val="16"/>
          <w:szCs w:val="16"/>
          <w:color w:val="auto"/>
        </w:rPr>
        <w:t>or 1-877-IDTHEFT (1-877-438-4338).</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6"/>
          <w:szCs w:val="16"/>
          <w:color w:val="auto"/>
        </w:rPr>
        <w:t>Visit IRS.gov to learn more about identity theft and how to reduce your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104775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00"/>
            <w:col w:w="5640"/>
          </w:cols>
          <w:pgMar w:left="240" w:top="21" w:right="2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Privacy Act Notice</w:t>
      </w:r>
    </w:p>
    <w:p>
      <w:pPr>
        <w:spacing w:after="0" w:line="87"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possessions for use in administering their laws. The information also may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payers must generally withhold a percentage of taxable interest, dividend, and certain other payments to a payee who does not give a TIN to the payer. Certain penalties may also apply for providing false or fraudulent information.</w:t>
      </w:r>
    </w:p>
    <w:p>
      <w:pPr>
        <w:sectPr>
          <w:pgSz w:w="11900" w:h="16838" w:orient="portrait"/>
          <w:cols w:equalWidth="0" w:num="1">
            <w:col w:w="11420"/>
          </w:cols>
          <w:pgMar w:left="240" w:top="21"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(a)(1)(iii)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FOR CASH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ANY AND ALL OF THE OUTSTANDING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PUT RIGHT AND OFFER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MARCH 14,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Numbers: 02342TAC3, 02342TAD1(†)</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OFFER AND WITHDRAWAL RIGHTS WILL EXPIRE AT 9:00 A.M., EASTERN TIME, ON APRIL 11, 2014, AND MAY NOT BE EXTENDED, EXCEPT AS REQUIRED BY APPLICABLE LAW.</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Enclosed for your consideration is a Notice of Put Right and Offer to Purchase dated March 14, 2014 (the “Offer to Purchase”) and the related Letter of Transmittal (which, along with the Offer to Purchase and together with any amendments or supplements to such documents, collectively constitute the “Offer”) in connection with the Offer by Amdocs Limited, a company organized under the laws of the Island of Guernsey (“Amdocs”), to purchase for cash any and all of its outstanding 0.50% Convertible Senior Notes due 2024 (the “Notes”) at the Repurchase Price described below, upon the terms and subject to the conditions set forth in the Offer to Purchase. The Repurchase Price equals 100% of the principal amount of the Notes, plus accrued and unpaid interest to but excluding April 11, 2014. If the expiration date of the Offer is April 11, 2014, the Repurchase Price will equal $1,000.3611 per $1,000 principal amount of Notes tendered. See the Offer to Purchase for definitions of capitalized terms used but not defined herein.</w:t>
      </w:r>
    </w:p>
    <w:p>
      <w:pPr>
        <w:spacing w:after="0" w:line="17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material relating to the Offer is being forwarded to you as the beneficial owner of Notes carried by us for your account but not registered in your name. A tender of the Notes held by us for your account can be made only by the holder of record and pursuant to your instructions. The Letter of Transmittal is furnished to you for your information only and cannot be used by you to tender Notes held by us for your account.</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Accordingly, we request instructions as to whether you wish to have us tender on your behalf any or all of the Notes held by us for your account, pursuant to the terms and subject to the conditions set forth in the Offer. We urge you to read carefully the Offer to Purchase, the Letter of Transmittal and the other materials provided with this letter before instructing us to tender your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attention is directed to the following:</w:t>
      </w:r>
    </w:p>
    <w:p>
      <w:pPr>
        <w:spacing w:after="0" w:line="131" w:lineRule="exact"/>
        <w:rPr>
          <w:sz w:val="20"/>
          <w:szCs w:val="20"/>
          <w:color w:val="auto"/>
        </w:rPr>
      </w:pPr>
    </w:p>
    <w:p>
      <w:pPr>
        <w:ind w:left="900" w:right="120" w:hanging="446"/>
        <w:spacing w:after="0" w:line="342" w:lineRule="auto"/>
        <w:tabs>
          <w:tab w:leader="none" w:pos="9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Repurchase Price equals 100% of the principal amount of the Notes, plus accrued and unpaid interest to but excluding April 11, 2014. If the expiration date of the Offer is April 11, 2014, the repurchase price will equal $1,000.3611 per $1,000 principal amount of Notes tendered.</w:t>
      </w:r>
    </w:p>
    <w:p>
      <w:pPr>
        <w:spacing w:after="0" w:line="29" w:lineRule="exact"/>
        <w:rPr>
          <w:rFonts w:ascii="Arial" w:cs="Arial" w:eastAsia="Arial" w:hAnsi="Arial"/>
          <w:sz w:val="16"/>
          <w:szCs w:val="16"/>
          <w:color w:val="auto"/>
        </w:rPr>
      </w:pPr>
    </w:p>
    <w:p>
      <w:pPr>
        <w:ind w:left="900" w:right="600" w:hanging="446"/>
        <w:spacing w:after="0" w:line="277"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Offer and withdrawal rights will expire at 9:00 a.m., Eastern time, on April 11, 2014, and may not be extended, except as required by applicable law.</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Offer is being made pursuant to the terms of the Notes and subject to the Indenture, dated as of March 5, 2004 between Amdocs and The Bank of New York Mellon (formerly known as The Bank of</w:t>
      </w:r>
    </w:p>
    <w:p>
      <w:pPr>
        <w:spacing w:after="0" w:line="143" w:lineRule="exact"/>
        <w:rPr>
          <w:rFonts w:ascii="Arial" w:cs="Arial" w:eastAsia="Arial" w:hAnsi="Arial"/>
          <w:sz w:val="18"/>
          <w:szCs w:val="18"/>
          <w:color w:val="auto"/>
        </w:rPr>
      </w:pPr>
    </w:p>
    <w:p>
      <w:pPr>
        <w:jc w:val="both"/>
        <w:ind w:left="460" w:right="40" w:hanging="452"/>
        <w:spacing w:after="0" w:line="286"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CUSIP numbers referenced above have been assigned by 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ind w:left="9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York), as Trustee, which provide that each holder of Notes will have the right, at such holder’s option, to require Amdocs to purchase at the Repurchase Price all or a portion (which amount must be $1,000 or any greater integral multiple of $1,000 thereof) of such holder’s Notes on March 17, 2014. The purpose of the Offer is to fulfill Amdocs’ obligations under the Indenture and, in order to satisfy its notice obligations under the Indenture, Amdocs is voluntarily extending the repurchase date from March 17, 2014 (as called for under the Indenture) to April 11, 2014.</w:t>
      </w:r>
    </w:p>
    <w:p>
      <w:pPr>
        <w:spacing w:after="0" w:line="60"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Offer is made for any and all of the outstanding Notes.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Tendering holders will not be obligated to pay brokerage fees or commissions or, except as set forth in Instruction 6 of the Letter of Transmittal, transfer taxes on the purchase of Notes by Amdocs pursuant to the Offer.</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Offer is being made solely by the Offer to Purchase and the related Letter of Transmittal and is being made to all holders of Notes. The Offer is not being made to (nor will tenders be accepted from or on behalf of) holders of Notes in any jurisdiction in which the making of the Offer or the acceptance thereof would not be in compliance with the laws of such jurisdiction.</w:t>
      </w:r>
    </w:p>
    <w:p>
      <w:pPr>
        <w:spacing w:after="0" w:line="18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If you wish to have us tender any or all of the Notes held by us for your account, please instruct us by completing, executing and returning to us the instruction form contained in this letter. If you authorize a tender of your Notes, all such Notes will be tendered unless otherwise specified in such instruction form. </w:t>
      </w:r>
      <w:r>
        <w:rPr>
          <w:rFonts w:ascii="Arial" w:cs="Arial" w:eastAsia="Arial" w:hAnsi="Arial"/>
          <w:sz w:val="16"/>
          <w:szCs w:val="16"/>
          <w:b w:val="1"/>
          <w:bCs w:val="1"/>
          <w:color w:val="auto"/>
        </w:rPr>
        <w:t>Your instructions should be forwarded to us in ample time to permit us to submit a tender on your behalf prior to the expiration of the Offer.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WITH RESPECT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FOR CASH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ANY AND ALL OF THE OUTSTANDING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undersigned acknowledge(s) receipt of your letter enclosing the Notice of Put Right and Offer to Purchase dated March 14, 2014 (the “Offer to Purchase”) and the related Letter of Transmittal (which, along with the Offer to Purchase and together with any amendments or supplements to such documents, collectively constitute the “Offer”) relating to the Offer by Amdocs Limited, a company organized under the laws of the Island of Guernsey (“Amdocs”), to purchase for cash any and all of its outstanding 0.50% Convertible Senior Notes due 2024 (the “Notes”) at the Repurchase Price (as defined in your letter), upon the terms and subject to the conditions set forth in the Offer to Purchase.</w:t>
      </w:r>
    </w:p>
    <w:p>
      <w:pPr>
        <w:spacing w:after="0" w:line="188"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This will instruct you to tender the principal amount of Notes indicated below (or, if no number is indicated below, the entire principal amount represented by all Notes) that are held by you for the account of the undersigned, upon the terms and subject to the conditions set forth in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76465" cy="218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6465" cy="218440"/>
                    </a:xfrm>
                    <a:prstGeom prst="rect">
                      <a:avLst/>
                    </a:prstGeom>
                    <a:noFill/>
                  </pic:spPr>
                </pic:pic>
              </a:graphicData>
            </a:graphic>
          </wp:anchor>
        </w:drawing>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Amount of Notes to be Tendered*: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76465" cy="20110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6465" cy="20110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 HERE</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Please type or print name(s):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Area Code and Telephone Number:</w:t>
      </w:r>
    </w:p>
    <w:p>
      <w:pPr>
        <w:spacing w:after="0" w:line="225" w:lineRule="exact"/>
        <w:rPr>
          <w:sz w:val="20"/>
          <w:szCs w:val="20"/>
          <w:color w:val="auto"/>
        </w:rPr>
      </w:pPr>
    </w:p>
    <w:p>
      <w:pPr>
        <w:ind w:left="80"/>
        <w:spacing w:after="0"/>
        <w:tabs>
          <w:tab w:leader="none" w:pos="35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4" w:lineRule="exact"/>
        <w:rPr>
          <w:sz w:val="20"/>
          <w:szCs w:val="20"/>
          <w:color w:val="auto"/>
        </w:rPr>
      </w:pPr>
    </w:p>
    <w:p>
      <w:pPr>
        <w:ind w:left="5660" w:right="1240" w:hanging="5652"/>
        <w:spacing w:after="0" w:line="449" w:lineRule="auto"/>
        <w:tabs>
          <w:tab w:leader="none" w:pos="2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Unless otherwise indicated, it will be assumed that the entire principal amount of the Notes held by us for your account are to be tendered. 3</w:t>
      </w:r>
    </w:p>
    <w:p>
      <w:pPr>
        <w:sectPr>
          <w:pgSz w:w="11900" w:h="16838" w:orient="portrait"/>
          <w:cols w:equalWidth="0" w:num="1">
            <w:col w:w="11420"/>
          </w:cols>
          <w:pgMar w:left="240" w:top="270" w:right="239" w:bottom="1440" w:gutter="0" w:footer="0" w:header="0"/>
        </w:sectPr>
      </w:pPr>
    </w:p>
    <w:bookmarkStart w:id="45" w:name="page46"/>
    <w:bookmarkEnd w:id="45"/>
    <w:p>
      <w:pPr>
        <w:ind w:left="10120"/>
        <w:spacing w:after="0"/>
        <w:rPr>
          <w:sz w:val="20"/>
          <w:szCs w:val="20"/>
          <w:color w:val="auto"/>
        </w:rPr>
      </w:pPr>
      <w:r>
        <w:rPr>
          <w:rFonts w:ascii="Arial" w:cs="Arial" w:eastAsia="Arial" w:hAnsi="Arial"/>
          <w:sz w:val="17"/>
          <w:szCs w:val="17"/>
          <w:b w:val="1"/>
          <w:bCs w:val="1"/>
          <w:color w:val="auto"/>
        </w:rPr>
        <w:t>Exhibit (a)(1)(iv)</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FOR CASH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ANY AND ALL OF THE OUTSTANDING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PUT RIGHT AND OFFER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MARCH 14,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NUMBERS: 02342TAC3, 02342TAD1</w:t>
      </w:r>
      <w:r>
        <w:rPr>
          <w:rFonts w:ascii="Arial" w:cs="Arial" w:eastAsia="Arial" w:hAnsi="Arial"/>
          <w:sz w:val="11"/>
          <w:szCs w:val="11"/>
          <w:b w:val="1"/>
          <w:bCs w:val="1"/>
          <w:color w:val="auto"/>
        </w:rPr>
        <w:t>†</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OFFER AND WITHDRAWAL RIGHTS WILL EXPIRE AT 9:00 A.M., EASTERN TIME, ON APRIL 11, 2014, AND MAY NOT BE EXTENDED, EXCEPT AS REQUIRED BY APPLICABLE LAW.</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Companies and Other Nominees:</w:t>
      </w:r>
    </w:p>
    <w:p>
      <w:pPr>
        <w:spacing w:after="0" w:line="10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Amdocs Limited, a company organized under the laws of the Island of Guernsey (“Amdocs”), has commenced an offer to purchase for cash any and all of its outstanding 0.50% Convertible Senior Notes due 2024 (the “Notes”) at the Repurchase Price described below, upon the terms and subject to the conditions set forth in the Notice of Put Right and Offer to Purchase dated March 14, 2014 (the “Offer to Purchase”) and the related Letter of Transmittal (which, along with the Offer to Purchase and together with any amendments or supplements to such documents, collectively constitute the “Offer”). The Repurchase Price equals 100% of the principal amount of the Notes, plus accrued and unpaid interest to but excluding April 11, 2014. If the expiration date of the Offer is April 11, 2014, the Repurchase Price will equal $1,000.3611 per $1,000 principal amount of Notes tendered. See the Offer to Purchase for definitions of capitalized terms used but not defined herein.</w:t>
      </w:r>
    </w:p>
    <w:p>
      <w:pPr>
        <w:spacing w:after="0" w:line="18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Enclosed for your information and for forwarding to your clients for whose accounts you hold Notes registered in your name or in the name of your nominees are copies of the following documents:</w:t>
      </w:r>
    </w:p>
    <w:p>
      <w:pPr>
        <w:spacing w:after="0" w:line="76"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Notice of Put Right and Offer to Purchase dated March 14, 2014.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Letter of Transmittal to tender Notes (for your use and for the information of your clients).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form of letter which may be sent to your clients for whose accounts you hold Notes registered in your name or in the name of your nominees, with space provided for obtaining your clients’ instructions with regard to the Offer.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Participants in The Depository Trust Company (“DTC”) will be able to execute tenders through the DTC Automated Tender Offer Program.</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Holders of Notes should be aware that no guaranteed delivery process is available to tender Notes.</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WE URGE YOU TO CONTACT YOUR CLIENTS AS PROMPTLY AS POSSIBLE TO OBTAIN THEIR INSTRUCTIONS. PLEASE NOTE THAT THE OFFER AND WITHDRAWAL RIGHTS WILL EXPIRE AT 9:00 A.M., EASTERN TIME, ON APRIL 11, 2014, AND MAY NOT BE EXTENDED,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jc w:val="both"/>
        <w:ind w:left="460" w:right="40" w:hanging="452"/>
        <w:spacing w:after="0" w:line="286"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CUSIP numbers referenced above have been assigned by 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ectPr>
          <w:pgSz w:w="11900" w:h="16838" w:orient="portrait"/>
          <w:cols w:equalWidth="0" w:num="1">
            <w:col w:w="11420"/>
          </w:cols>
          <w:pgMar w:left="240" w:top="121" w:right="239" w:bottom="1440" w:gutter="0" w:footer="0" w:header="0"/>
        </w:sectPr>
      </w:pPr>
    </w:p>
    <w:bookmarkStart w:id="46" w:name="page47"/>
    <w:bookmarkEnd w:id="46"/>
    <w:p>
      <w:pPr>
        <w:ind w:right="1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order to take advantage of the Offer, a properly completed and duly executed Letter of Transmittal (or facsimile thereof), together with any required signature guarantees, or an Agent’s Message in connection with a book-entry delivery of Notes, and any other documents required by the Letter of Transmittal, should be sent to the Paying Agent, and certificates evidencing tendered Notes should be delivered or such Notes should be tendered by book-entry transfer (and a Book-Entry Confirmation (as defined in the Offer to Purchase) should be sent to the Paying Agent), all in accordance with the instructions set forth in the Letter of Transmittal and in the Offer to Purchase.</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 fees or commissions will be paid to brokers, dealers or any other persons (other than the Paying Agent listed below) for soliciting tenders of Notes pursuant to the Offer. Amdocs will, however, upon request, reimburse you for customary mailing and handling expenses incurred by you in forwarding any of the enclosed materials to your clients.</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Amdocs will pay or cause to be paid any transfer taxes payable on the purchase of Notes pursuant to the Offer, except as otherwise provided in Instruction 6 of the Letter of Transmittal.</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Any inquiries you may have with respect to the Offer should be addressed to, and additional copies of the enclosed materials may be obtained from, the Paying Agent at its address and telephone number set forth on the back cover of the Offer to Purchase.</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AMDOCS LIMITED</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NOTHING CONTAINED HEREIN OR IN THE ENCLOSED DOCUMENTS SHALL CONSTITUTE YOU OR ANY OTHER PERSON THE AGENT OF AMDOCS, THE PAYING AGENT, THE TRUSTEE OR ANY AFFILIATE OF ANY OF THEM, OR AUTHORIZE YOU OR ANY OTHER PERSON TO MAKE ANY STATEMENT OR USE ANY DOCUMENT ON BEHALF OF ANY OF THEM IN CONNECTION WITH THE OFFER OTHER THAN THE ENCLOSED DOCUMENTS AND THE STATEMENTS CONTAINED THEREIN.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(a)(5)(i)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Commences Cash Offer</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Connection with Holders’ Put Rights for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ST. LOUIS, MO, March 14, 2014 — Amdocs (NASDAQ: DOX), the leading provider of customer experience systems and services, today announced it has commenced a cash offer for its 0.50% Convertible Senior Notes due 2024.</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the indenture for the notes, each holder of the notes has the right to require Amdocs to repurchase on March 17, 2014 all or any part of such holder’s notes at a price equal to 100% of the principal amount plus accrued and unpaid interest. Under the terms of the notes, Amdocs had the option to pay for the notes with cash, ordinary shares, or a combination of cash and ordinary shares, and has elected to pay for the notes solely with cash. As of March 12, 2014 there was $1,020,000 aggregate principal amount of notes outstanding.</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terms and conditions of the offer will be set forth in a Notice of Put Right and Offer to Purchase, dated March 14, 2014, and the related Letter of Transmittal that are being sent to holders of the notes. Holders of the notes are urged to carefully read the Notice of Put Right and Offer to Purchase, the Letter of Transmittal and the related documents as they contain important information regarding the offer.</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order to surrender notes for repurchase, holders must tender the notes and the Letter of Transmittal to The Bank of New York Mellon, as Paying Agent for the notes, on or before 9:00 a.m., Eastern time, on April 11, 2014. Holders may withdraw any notes previously surrendered for repurchase at any time prior to 9:00 a.m., Eastern time, on April 11, 2014. Subject to applicable law, Amdocs may, in its sole discretion, waive any condition applicable to the offer or extend or terminate or otherwise amend the offer.</w:t>
      </w:r>
    </w:p>
    <w:p>
      <w:pPr>
        <w:spacing w:after="0" w:line="18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certain circumstances, the notes are convertible into 23.6987 ordinary shares per $1,000 principal amount. As a result of the quarterly cash dividend to be paid on Amdocs’ ordinary shares on April 17, 2014 to shareholders of record on March 31, 2014, the conversion rate applicable to the notes will adjust further. The CUSIP numbers for the notes are 02342TAC3 and 02342TAD1.</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ANNOUNCEMENT IS NOT AN OFFER TO PURCHASE, A SOLICITATION OF AN OFFER TO PURCHASE, OR A SOLICITATION OF AN OFFER TO SELL NOTES. THE OFFER MAY ONLY BE MADE PURSUANT TO THE TERMS OF THE NOTICE OF PUT RIGHT AND OFFER TO PURCHASE AND THE RELATED LETTER OF TRANSMITTAL.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Amdocs plans to file today with the SEC a Schedule TO in connection with its tender offer for the notes. The Schedule TO, including the related Notice of Put Right and Offer to Purchase, will contain important information about Amdocs, the notes, the tender offer and related matters. Investors and security holders are urged to read the Schedule TO carefully when it becomes available.</w:t>
      </w:r>
    </w:p>
    <w:p>
      <w:pPr>
        <w:spacing w:after="0" w:line="181"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Investors and security holders may obtain free copies of the Schedule TO and other documents filed with the SEC by Amdocs through the web site maintained by the SEC at www.sec.gov. In addition, investors and security holders may obtain free copies of the Schedule TO from the Paying Agent by contacting Danny Lee of The Bank of New York Mellon at (212) 815-5813.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2013 filed on December 9, 2013.</w:t>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Amdocs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For more than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and optimization product portfolio with value-driven professional services and managed services operations. With revenue of $3.3 billion in fiscal 2013, Amdocs and its 21,000 employees serve customers in more than 70 countries. Amdocs Limited is registered at the Companies Registry in Guernsey and has been assigned company number 19528, with its registered office situated at Hirzel House, Smith Street, St. Peter Port, Island of Guernsey, GY1 2NG. For more information, visit Amdocs at www.amdocs.com.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Elizabeth W. McDermon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1320"/>
      </w:cols>
      <w:pgMar w:left="24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decimal"/>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1)"/>
      <w:numFmt w:val="lowerLetter"/>
      <w:start w:val="1"/>
    </w:lvl>
  </w:abstractNum>
  <w:abstractNum w:abstractNumId="6">
    <w:nsid w:val="2D517796"/>
    <w:multiLevelType w:val="hybridMultilevel"/>
    <w:lvl w:ilvl="0">
      <w:lvlJc w:val="left"/>
      <w:lvlText w:val="(%1)"/>
      <w:numFmt w:val="lowerLetter"/>
      <w:start w:val="1"/>
    </w:lvl>
  </w:abstractNum>
  <w:abstractNum w:abstractNumId="7">
    <w:nsid w:val="580BD78F"/>
    <w:multiLevelType w:val="hybridMultilevel"/>
    <w:lvl w:ilvl="0">
      <w:lvlJc w:val="left"/>
      <w:lvlText w:val="(%1)"/>
      <w:numFmt w:val="lowerLetter"/>
      <w:start w:val="5"/>
    </w:lvl>
  </w:abstractNum>
  <w:abstractNum w:abstractNumId="8">
    <w:nsid w:val="153EA438"/>
    <w:multiLevelType w:val="hybridMultilevel"/>
    <w:lvl w:ilvl="0">
      <w:lvlJc w:val="left"/>
      <w:lvlText w:val="(%1)"/>
      <w:numFmt w:val="lowerLetter"/>
      <w:start w:val="1"/>
    </w:lvl>
  </w:abstractNum>
  <w:abstractNum w:abstractNumId="9">
    <w:nsid w:val="3855585C"/>
    <w:multiLevelType w:val="hybridMultilevel"/>
    <w:lvl w:ilvl="0">
      <w:lvlJc w:val="left"/>
      <w:lvlText w:val="(%1)"/>
      <w:numFmt w:val="lowerLetter"/>
      <w:start w:val="1"/>
    </w:lvl>
  </w:abstractNum>
  <w:abstractNum w:abstractNumId="10">
    <w:nsid w:val="70A64E2A"/>
    <w:multiLevelType w:val="hybridMultilevel"/>
    <w:lvl w:ilvl="0">
      <w:lvlJc w:val="left"/>
      <w:lvlText w:val="(%1)"/>
      <w:numFmt w:val="lowerLetter"/>
      <w:start w:val="2"/>
    </w:lvl>
  </w:abstractNum>
  <w:abstractNum w:abstractNumId="11">
    <w:nsid w:val="6A2342EC"/>
    <w:multiLevelType w:val="hybridMultilevel"/>
    <w:lvl w:ilvl="0">
      <w:lvlJc w:val="left"/>
      <w:lvlText w:val="(%1)"/>
      <w:numFmt w:val="lowerLetter"/>
      <w:start w:val="4"/>
    </w:lvl>
  </w:abstractNum>
  <w:abstractNum w:abstractNumId="12">
    <w:nsid w:val="2A487CB0"/>
    <w:multiLevelType w:val="hybridMultilevel"/>
    <w:lvl w:ilvl="0">
      <w:lvlJc w:val="left"/>
      <w:lvlText w:val="(%1)"/>
      <w:numFmt w:val="lowerLetter"/>
      <w:start w:val="1"/>
    </w:lvl>
  </w:abstractNum>
  <w:abstractNum w:abstractNumId="13">
    <w:nsid w:val="1D4ED43B"/>
    <w:multiLevelType w:val="hybridMultilevel"/>
    <w:lvl w:ilvl="0">
      <w:lvlJc w:val="left"/>
      <w:lvlText w:val="(%1)"/>
      <w:numFmt w:val="lowerLetter"/>
      <w:start w:val="1"/>
    </w:lvl>
  </w:abstractNum>
  <w:abstractNum w:abstractNumId="14">
    <w:nsid w:val="725A06FB"/>
    <w:multiLevelType w:val="hybridMultilevel"/>
    <w:lvl w:ilvl="0">
      <w:lvlJc w:val="left"/>
      <w:lvlText w:val="(%1)"/>
      <w:numFmt w:val="lowerLetter"/>
      <w:start w:val="3"/>
    </w:lvl>
  </w:abstractNum>
  <w:abstractNum w:abstractNumId="15">
    <w:nsid w:val="2CD89A32"/>
    <w:multiLevelType w:val="hybridMultilevel"/>
    <w:lvl w:ilvl="0">
      <w:lvlJc w:val="left"/>
      <w:lvlText w:val="(%1)"/>
      <w:numFmt w:val="lowerLetter"/>
      <w:start w:val="7"/>
    </w:lvl>
  </w:abstractNum>
  <w:abstractNum w:abstractNumId="16">
    <w:nsid w:val="57E4CCAF"/>
    <w:multiLevelType w:val="hybridMultilevel"/>
    <w:lvl w:ilvl="0">
      <w:lvlJc w:val="left"/>
      <w:lvlText w:val="(%1)"/>
      <w:numFmt w:val="lowerLetter"/>
      <w:start w:val="7"/>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lvl w:ilvl="1">
      <w:lvlJc w:val="left"/>
      <w:lvlText w:val="•"/>
      <w:numFmt w:val="bullet"/>
      <w:start w:val="1"/>
    </w:lvl>
  </w:abstractNum>
  <w:abstractNum w:abstractNumId="22">
    <w:nsid w:val="7644A45C"/>
    <w:multiLevelType w:val="hybridMultilevel"/>
    <w:lvl w:ilvl="0">
      <w:lvlJc w:val="left"/>
      <w:lvlText w:val="•"/>
      <w:numFmt w:val="bullet"/>
      <w:start w:val="1"/>
    </w:lvl>
    <w:lvl w:ilvl="1">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1)"/>
      <w:numFmt w:val="lowerLetter"/>
      <w:start w:val="2"/>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3"/>
    </w:lvl>
  </w:abstractNum>
  <w:abstractNum w:abstractNumId="46">
    <w:nsid w:val="741226BB"/>
    <w:multiLevelType w:val="hybridMultilevel"/>
    <w:lvl w:ilvl="0">
      <w:lvlJc w:val="left"/>
      <w:lvlText w:val="%1."/>
      <w:numFmt w:val="decimal"/>
      <w:start w:val="4"/>
    </w:lvl>
  </w:abstractNum>
  <w:abstractNum w:abstractNumId="47">
    <w:nsid w:val="D34B6A8"/>
    <w:multiLevelType w:val="hybridMultilevel"/>
    <w:lvl w:ilvl="0">
      <w:lvlJc w:val="left"/>
      <w:lvlText w:val="%1."/>
      <w:numFmt w:val="decimal"/>
      <w:start w:val="5"/>
    </w:lvl>
  </w:abstractNum>
  <w:abstractNum w:abstractNumId="48">
    <w:nsid w:val="10233C99"/>
    <w:multiLevelType w:val="hybridMultilevel"/>
    <w:lvl w:ilvl="0">
      <w:lvlJc w:val="left"/>
      <w:lvlText w:val="%1."/>
      <w:numFmt w:val="decimal"/>
      <w:start w:val="6"/>
    </w:lvl>
  </w:abstractNum>
  <w:abstractNum w:abstractNumId="49">
    <w:nsid w:val="3F6AB60F"/>
    <w:multiLevelType w:val="hybridMultilevel"/>
    <w:lvl w:ilvl="0">
      <w:lvlJc w:val="left"/>
      <w:lvlText w:val="%1."/>
      <w:numFmt w:val="decimal"/>
      <w:start w:val="8"/>
    </w:lvl>
  </w:abstractNum>
  <w:abstractNum w:abstractNumId="50">
    <w:nsid w:val="61574095"/>
    <w:multiLevelType w:val="hybridMultilevel"/>
    <w:lvl w:ilvl="0">
      <w:lvlJc w:val="left"/>
      <w:lvlText w:val="%1"/>
      <w:numFmt w:val="decimal"/>
      <w:start w:val="1"/>
    </w:lvl>
    <w:lvl w:ilvl="1">
      <w:lvlJc w:val="left"/>
      <w:lvlText w:val="%2."/>
      <w:numFmt w:val="decimal"/>
      <w:start w:val="9"/>
    </w:lvl>
  </w:abstractNum>
  <w:abstractNum w:abstractNumId="51">
    <w:nsid w:val="7E0C57B1"/>
    <w:multiLevelType w:val="hybridMultilevel"/>
    <w:lvl w:ilvl="0">
      <w:lvlJc w:val="left"/>
      <w:lvlText w:val="(%1)"/>
      <w:numFmt w:val="decimal"/>
      <w:start w:val="212"/>
    </w:lvl>
    <w:lvl w:ilvl="1">
      <w:lvlJc w:val="left"/>
      <w:lvlText w:val="%2"/>
      <w:numFmt w:val="decimal"/>
      <w:start w:val="1"/>
    </w:lvl>
  </w:abstractNum>
  <w:abstractNum w:abstractNumId="52">
    <w:nsid w:val="77AE35EB"/>
    <w:multiLevelType w:val="hybridMultilevel"/>
    <w:lvl w:ilvl="0">
      <w:lvlJc w:val="left"/>
      <w:lvlText w:val="%1."/>
      <w:numFmt w:val="decimal"/>
      <w:start w:val="12"/>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emdash "/>
      <w:numFmt w:val="bullet"/>
      <w:start w:val="1"/>
    </w:lvl>
  </w:abstractNum>
  <w:abstractNum w:abstractNumId="55">
    <w:nsid w:val="5FF87E05"/>
    <w:multiLevelType w:val="hybridMultilevel"/>
    <w:lvl w:ilvl="0">
      <w:lvlJc w:val="left"/>
      <w:lvlText w:val="\emdash "/>
      <w:numFmt w:val="bullet"/>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bullet"/>
      <w:start w:val="1"/>
    </w:lvl>
  </w:abstractNum>
  <w:abstractNum w:abstractNumId="59">
    <w:nsid w:val="4AD084E9"/>
    <w:multiLevelType w:val="hybridMultilevel"/>
    <w:lvl w:ilvl="0">
      <w:lvlJc w:val="left"/>
      <w:lvlText w:val="2"/>
      <w:numFmt w:val="bullet"/>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5"/>
    </w:lvl>
  </w:abstractNum>
  <w:abstractNum w:abstractNumId="62">
    <w:nsid w:val="5DB70AE5"/>
    <w:multiLevelType w:val="hybridMultilevel"/>
    <w:lvl w:ilvl="0">
      <w:lvlJc w:val="left"/>
      <w:lvlText w:val="%1."/>
      <w:numFmt w:val="decimal"/>
      <w:start w:val="3"/>
    </w:lvl>
  </w:abstractNum>
  <w:abstractNum w:abstractNumId="63">
    <w:nsid w:val="100F8FCA"/>
    <w:multiLevelType w:val="hybridMultilevel"/>
    <w:lvl w:ilvl="0">
      <w:lvlJc w:val="left"/>
      <w:lvlText w:val="%1."/>
      <w:numFmt w:val="decimal"/>
      <w:start w:val="13"/>
    </w:lvl>
  </w:abstractNum>
  <w:abstractNum w:abstractNumId="64">
    <w:nsid w:val="6590700B"/>
    <w:multiLevelType w:val="hybridMultilevel"/>
    <w:lvl w:ilvl="0">
      <w:lvlJc w:val="left"/>
      <w:lvlText w:val="1"/>
      <w:numFmt w:val="bullet"/>
      <w:start w:val="1"/>
    </w:lvl>
  </w:abstractNum>
  <w:abstractNum w:abstractNumId="65">
    <w:nsid w:val="15014ACB"/>
    <w:multiLevelType w:val="hybridMultilevel"/>
    <w:lvl w:ilvl="0">
      <w:lvlJc w:val="left"/>
      <w:lvlText w:val="3"/>
      <w:numFmt w:val="bullet"/>
      <w:start w:val="1"/>
    </w:lvl>
  </w:abstractNum>
  <w:abstractNum w:abstractNumId="66">
    <w:nsid w:val="5F5E7FD0"/>
    <w:multiLevelType w:val="hybridMultilevel"/>
    <w:lvl w:ilvl="0">
      <w:lvlJc w:val="left"/>
      <w:lvlText w:val="4"/>
      <w:numFmt w:val="bullet"/>
      <w:start w:val="1"/>
    </w:lvl>
  </w:abstractNum>
  <w:abstractNum w:abstractNumId="67">
    <w:nsid w:val="98A3148"/>
    <w:multiLevelType w:val="hybridMultilevel"/>
    <w:lvl w:ilvl="0">
      <w:lvlJc w:val="left"/>
      <w:lvlText w:val="\emdash "/>
      <w:numFmt w:val="bullet"/>
      <w:start w:val="1"/>
    </w:lvl>
  </w:abstractNum>
  <w:abstractNum w:abstractNumId="68">
    <w:nsid w:val="799D0247"/>
    <w:multiLevelType w:val="hybridMultilevel"/>
    <w:lvl w:ilvl="0">
      <w:lvlJc w:val="left"/>
      <w:lvlText w:val="†"/>
      <w:numFmt w:val="bullet"/>
      <w:start w:val="1"/>
    </w:lvl>
    <w:lvl w:ilvl="1">
      <w:lvlJc w:val="left"/>
      <w:lvlText w:val="%2."/>
      <w:numFmt w:val="decimal"/>
      <w:start w:val="1"/>
    </w:lvl>
  </w:abstractNum>
  <w:abstractNum w:abstractNumId="69">
    <w:nsid w:val="6B94764"/>
    <w:multiLevelType w:val="hybridMultilevel"/>
    <w:lvl w:ilvl="0">
      <w:lvlJc w:val="left"/>
      <w:lvlText w:val="%1."/>
      <w:numFmt w:val="decimal"/>
      <w:start w:val="4"/>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2019-12-06T19:34:17Z</dcterms:created>
  <dcterms:modified xsi:type="dcterms:W3CDTF">2019-12-06T19:34:17Z</dcterms:modified>
</cp:coreProperties>
</file>