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Amdocs LTD</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Ordinary Shares, Par Value £ 0.01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G02602103</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9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12/31/2010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9"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1" w:name="page2"/>
    <w:bookmarkEnd w:id="1"/>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917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5917565"/>
                    </a:xfrm>
                    <a:prstGeom prst="rect">
                      <a:avLst/>
                    </a:prstGeom>
                    <a:noFill/>
                  </pic:spPr>
                </pic:pic>
              </a:graphicData>
            </a:graphic>
          </wp:anchor>
        </w:drawing>
        <w:t>CUSIP No.: G02602103</w:t>
      </w:r>
    </w:p>
    <w:p>
      <w:pPr>
        <w:spacing w:after="0" w:line="185" w:lineRule="exact"/>
        <w:rPr>
          <w:sz w:val="20"/>
          <w:szCs w:val="20"/>
          <w:color w:val="auto"/>
        </w:rPr>
      </w:pPr>
    </w:p>
    <w:p>
      <w:pPr>
        <w:ind w:left="220"/>
        <w:spacing w:after="0"/>
        <w:tabs>
          <w:tab w:leader="none" w:pos="4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w:t>
      </w:r>
    </w:p>
    <w:p>
      <w:pPr>
        <w:spacing w:after="0" w:line="19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Manning &amp; Napier Advisors, Inc.</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I.R.S. Identification Nos. of above persons (entities only):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4"/>
          </w:tcPr>
          <w:p>
            <w:pPr>
              <w:ind w:left="360"/>
              <w:spacing w:after="0"/>
              <w:rPr>
                <w:sz w:val="20"/>
                <w:szCs w:val="20"/>
                <w:color w:val="auto"/>
              </w:rPr>
            </w:pPr>
            <w:r>
              <w:rPr>
                <w:rFonts w:ascii="Arial" w:cs="Arial" w:eastAsia="Arial" w:hAnsi="Arial"/>
                <w:sz w:val="22"/>
                <w:szCs w:val="22"/>
                <w:color w:val="auto"/>
              </w:rPr>
              <w:t>16-0995736</w:t>
            </w:r>
          </w:p>
        </w:tc>
        <w:tc>
          <w:tcPr>
            <w:tcW w:w="0" w:type="dxa"/>
            <w:vAlign w:val="bottom"/>
          </w:tcPr>
          <w:p>
            <w:pPr>
              <w:spacing w:after="0"/>
              <w:rPr>
                <w:sz w:val="1"/>
                <w:szCs w:val="1"/>
                <w:color w:val="auto"/>
              </w:rPr>
            </w:pPr>
          </w:p>
        </w:tc>
      </w:tr>
      <w:tr>
        <w:trPr>
          <w:trHeight w:val="203"/>
        </w:trPr>
        <w:tc>
          <w:tcPr>
            <w:tcW w:w="36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7"/>
                <w:szCs w:val="17"/>
                <w:color w:val="auto"/>
              </w:rPr>
            </w:pPr>
          </w:p>
        </w:tc>
        <w:tc>
          <w:tcPr>
            <w:tcW w:w="11000" w:type="dxa"/>
            <w:vAlign w:val="bottom"/>
            <w:gridSpan w:val="3"/>
          </w:tcPr>
          <w:p>
            <w:pPr>
              <w:ind w:left="80"/>
              <w:spacing w:after="0" w:line="203"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(a)</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72"/>
              </w:rPr>
              <w:t>(b)</w:t>
            </w:r>
          </w:p>
        </w:tc>
        <w:tc>
          <w:tcPr>
            <w:tcW w:w="10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100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100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0" w:type="dxa"/>
            <w:vAlign w:val="bottom"/>
            <w:tcBorders>
              <w:bottom w:val="single" w:sz="8" w:color="auto"/>
            </w:tcBorders>
            <w:gridSpan w:val="3"/>
          </w:tcPr>
          <w:p>
            <w:pPr>
              <w:ind w:left="300"/>
              <w:spacing w:after="0"/>
              <w:rPr>
                <w:sz w:val="20"/>
                <w:szCs w:val="20"/>
                <w:color w:val="auto"/>
              </w:rPr>
            </w:pPr>
            <w:r>
              <w:rPr>
                <w:rFonts w:ascii="Arial" w:cs="Arial" w:eastAsia="Arial" w:hAnsi="Arial"/>
                <w:sz w:val="22"/>
                <w:szCs w:val="22"/>
                <w:color w:val="auto"/>
              </w:rPr>
              <w:t>New York</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1"/>
        </w:trPr>
        <w:tc>
          <w:tcPr>
            <w:tcW w:w="1080" w:type="dxa"/>
            <w:vAlign w:val="bottom"/>
            <w:tcBorders>
              <w:right w:val="single" w:sz="8" w:color="auto"/>
            </w:tcBorders>
            <w:gridSpan w:val="3"/>
            <w:vMerge w:val="restart"/>
          </w:tcPr>
          <w:p>
            <w:pPr>
              <w:jc w:val="center"/>
              <w:ind w:left="33"/>
              <w:spacing w:after="0"/>
              <w:rPr>
                <w:sz w:val="20"/>
                <w:szCs w:val="20"/>
                <w:color w:val="auto"/>
              </w:rPr>
            </w:pPr>
            <w:r>
              <w:rPr>
                <w:rFonts w:ascii="Arial" w:cs="Arial" w:eastAsia="Arial" w:hAnsi="Arial"/>
                <w:sz w:val="18"/>
                <w:szCs w:val="18"/>
                <w:color w:val="auto"/>
                <w:w w:val="90"/>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1006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15,822,958</w:t>
            </w:r>
          </w:p>
        </w:tc>
        <w:tc>
          <w:tcPr>
            <w:tcW w:w="0" w:type="dxa"/>
            <w:vAlign w:val="bottom"/>
          </w:tcPr>
          <w:p>
            <w:pPr>
              <w:spacing w:after="0"/>
              <w:rPr>
                <w:sz w:val="1"/>
                <w:szCs w:val="1"/>
                <w:color w:val="auto"/>
              </w:rPr>
            </w:pPr>
          </w:p>
        </w:tc>
      </w:tr>
      <w:tr>
        <w:trPr>
          <w:trHeight w:val="122"/>
        </w:trPr>
        <w:tc>
          <w:tcPr>
            <w:tcW w:w="1080" w:type="dxa"/>
            <w:vAlign w:val="bottom"/>
            <w:tcBorders>
              <w:right w:val="single" w:sz="8" w:color="auto"/>
            </w:tcBorders>
            <w:gridSpan w:val="3"/>
            <w:vMerge w:val="continue"/>
          </w:tcPr>
          <w:p>
            <w:pPr>
              <w:spacing w:after="0"/>
              <w:rPr>
                <w:sz w:val="10"/>
                <w:szCs w:val="10"/>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360" w:type="dxa"/>
            <w:vAlign w:val="bottom"/>
          </w:tcPr>
          <w:p>
            <w:pPr>
              <w:spacing w:after="0"/>
              <w:rPr>
                <w:sz w:val="8"/>
                <w:szCs w:val="8"/>
                <w:color w:val="auto"/>
              </w:rPr>
            </w:pPr>
          </w:p>
        </w:tc>
        <w:tc>
          <w:tcPr>
            <w:tcW w:w="720" w:type="dxa"/>
            <w:vAlign w:val="bottom"/>
            <w:tcBorders>
              <w:right w:val="single" w:sz="8" w:color="auto"/>
            </w:tcBorders>
            <w:gridSpan w:val="2"/>
            <w:vMerge w:val="restart"/>
          </w:tcPr>
          <w:p>
            <w:pPr>
              <w:jc w:val="center"/>
              <w:ind w:right="166"/>
              <w:spacing w:after="0"/>
              <w:rPr>
                <w:sz w:val="20"/>
                <w:szCs w:val="20"/>
                <w:color w:val="auto"/>
              </w:rPr>
            </w:pPr>
            <w:r>
              <w:rPr>
                <w:rFonts w:ascii="Arial" w:cs="Arial" w:eastAsia="Arial" w:hAnsi="Arial"/>
                <w:sz w:val="18"/>
                <w:szCs w:val="18"/>
                <w:color w:val="auto"/>
                <w:w w:val="80"/>
              </w:rPr>
              <w:t>Shares</w:t>
            </w:r>
          </w:p>
        </w:tc>
        <w:tc>
          <w:tcPr>
            <w:tcW w:w="280" w:type="dxa"/>
            <w:vAlign w:val="bottom"/>
            <w:tcBorders>
              <w:right w:val="single" w:sz="8" w:color="auto"/>
            </w:tcBorders>
            <w:vMerge w:val="continue"/>
          </w:tcPr>
          <w:p>
            <w:pPr>
              <w:spacing w:after="0"/>
              <w:rPr>
                <w:sz w:val="8"/>
                <w:szCs w:val="8"/>
                <w:color w:val="auto"/>
              </w:rPr>
            </w:pPr>
          </w:p>
        </w:tc>
        <w:tc>
          <w:tcPr>
            <w:tcW w:w="10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60" w:type="dxa"/>
            <w:vAlign w:val="bottom"/>
          </w:tcPr>
          <w:p>
            <w:pPr>
              <w:spacing w:after="0"/>
              <w:rPr>
                <w:sz w:val="10"/>
                <w:szCs w:val="10"/>
                <w:color w:val="auto"/>
              </w:rPr>
            </w:pPr>
          </w:p>
        </w:tc>
        <w:tc>
          <w:tcPr>
            <w:tcW w:w="720" w:type="dxa"/>
            <w:vAlign w:val="bottom"/>
            <w:tcBorders>
              <w:right w:val="single" w:sz="8" w:color="auto"/>
            </w:tcBorders>
            <w:gridSpan w:val="2"/>
            <w:vMerge w:val="continue"/>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080" w:type="dxa"/>
            <w:vAlign w:val="bottom"/>
            <w:tcBorders>
              <w:right w:val="single" w:sz="8" w:color="auto"/>
            </w:tcBorders>
            <w:gridSpan w:val="3"/>
          </w:tcPr>
          <w:p>
            <w:pPr>
              <w:jc w:val="center"/>
              <w:ind w:left="13"/>
              <w:spacing w:after="0"/>
              <w:rPr>
                <w:sz w:val="20"/>
                <w:szCs w:val="20"/>
                <w:color w:val="auto"/>
              </w:rPr>
            </w:pPr>
            <w:r>
              <w:rPr>
                <w:rFonts w:ascii="Arial" w:cs="Arial" w:eastAsia="Arial" w:hAnsi="Arial"/>
                <w:sz w:val="18"/>
                <w:szCs w:val="18"/>
                <w:color w:val="auto"/>
                <w:w w:val="94"/>
              </w:rPr>
              <w:t>Beneficially</w:t>
            </w:r>
          </w:p>
        </w:tc>
        <w:tc>
          <w:tcPr>
            <w:tcW w:w="280" w:type="dxa"/>
            <w:vAlign w:val="bottom"/>
            <w:tcBorders>
              <w:right w:val="single" w:sz="8" w:color="auto"/>
            </w:tcBorders>
          </w:tcPr>
          <w:p>
            <w:pPr>
              <w:spacing w:after="0"/>
              <w:rPr>
                <w:sz w:val="20"/>
                <w:szCs w:val="20"/>
                <w:color w:val="auto"/>
              </w:rPr>
            </w:pPr>
          </w:p>
        </w:tc>
        <w:tc>
          <w:tcPr>
            <w:tcW w:w="10060" w:type="dxa"/>
            <w:vAlign w:val="bottom"/>
          </w:tcPr>
          <w:p>
            <w:pPr>
              <w:ind w:left="300"/>
              <w:spacing w:after="0" w:line="230"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02"/>
        </w:trPr>
        <w:tc>
          <w:tcPr>
            <w:tcW w:w="1080" w:type="dxa"/>
            <w:vAlign w:val="bottom"/>
            <w:tcBorders>
              <w:right w:val="single" w:sz="8" w:color="auto"/>
            </w:tcBorders>
            <w:gridSpan w:val="3"/>
            <w:vMerge w:val="restart"/>
          </w:tcPr>
          <w:p>
            <w:pPr>
              <w:jc w:val="center"/>
              <w:ind w:left="33"/>
              <w:spacing w:after="0" w:line="202" w:lineRule="exact"/>
              <w:rPr>
                <w:sz w:val="20"/>
                <w:szCs w:val="20"/>
                <w:color w:val="auto"/>
              </w:rPr>
            </w:pPr>
            <w:r>
              <w:rPr>
                <w:rFonts w:ascii="Arial" w:cs="Arial" w:eastAsia="Arial" w:hAnsi="Arial"/>
                <w:sz w:val="18"/>
                <w:szCs w:val="18"/>
                <w:color w:val="auto"/>
                <w:w w:val="88"/>
              </w:rPr>
              <w:t>Owned by</w:t>
            </w:r>
          </w:p>
        </w:tc>
        <w:tc>
          <w:tcPr>
            <w:tcW w:w="280" w:type="dxa"/>
            <w:vAlign w:val="bottom"/>
            <w:tcBorders>
              <w:bottom w:val="single" w:sz="8" w:color="auto"/>
              <w:right w:val="single" w:sz="8" w:color="auto"/>
            </w:tcBorders>
          </w:tcPr>
          <w:p>
            <w:pPr>
              <w:spacing w:after="0"/>
              <w:rPr>
                <w:sz w:val="8"/>
                <w:szCs w:val="8"/>
                <w:color w:val="auto"/>
              </w:rPr>
            </w:pPr>
          </w:p>
        </w:tc>
        <w:tc>
          <w:tcPr>
            <w:tcW w:w="10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080" w:type="dxa"/>
            <w:vAlign w:val="bottom"/>
            <w:tcBorders>
              <w:right w:val="single" w:sz="8" w:color="auto"/>
            </w:tcBorders>
            <w:gridSpan w:val="3"/>
            <w:vMerge w:val="continue"/>
          </w:tcPr>
          <w:p>
            <w:pPr>
              <w:spacing w:after="0"/>
              <w:rPr>
                <w:sz w:val="6"/>
                <w:szCs w:val="6"/>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7.</w:t>
            </w:r>
          </w:p>
        </w:tc>
        <w:tc>
          <w:tcPr>
            <w:tcW w:w="100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right w:val="single" w:sz="8" w:color="auto"/>
            </w:tcBorders>
            <w:vMerge w:val="restart"/>
          </w:tcPr>
          <w:p>
            <w:pPr>
              <w:jc w:val="center"/>
              <w:ind w:right="206"/>
              <w:spacing w:after="0"/>
              <w:rPr>
                <w:sz w:val="20"/>
                <w:szCs w:val="20"/>
                <w:color w:val="auto"/>
              </w:rPr>
            </w:pPr>
            <w:r>
              <w:rPr>
                <w:rFonts w:ascii="Arial" w:cs="Arial" w:eastAsia="Arial" w:hAnsi="Arial"/>
                <w:sz w:val="18"/>
                <w:szCs w:val="18"/>
                <w:color w:val="auto"/>
                <w:w w:val="87"/>
              </w:rPr>
              <w:t>Each</w:t>
            </w:r>
          </w:p>
        </w:tc>
        <w:tc>
          <w:tcPr>
            <w:tcW w:w="280" w:type="dxa"/>
            <w:vAlign w:val="bottom"/>
            <w:tcBorders>
              <w:right w:val="single" w:sz="8" w:color="auto"/>
            </w:tcBorders>
            <w:vMerge w:val="continue"/>
          </w:tcPr>
          <w:p>
            <w:pPr>
              <w:spacing w:after="0"/>
              <w:rPr>
                <w:sz w:val="11"/>
                <w:szCs w:val="11"/>
                <w:color w:val="auto"/>
              </w:rPr>
            </w:pPr>
          </w:p>
        </w:tc>
        <w:tc>
          <w:tcPr>
            <w:tcW w:w="10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10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80" w:type="dxa"/>
            <w:vAlign w:val="bottom"/>
            <w:tcBorders>
              <w:right w:val="single" w:sz="8" w:color="auto"/>
            </w:tcBorders>
            <w:gridSpan w:val="3"/>
          </w:tcPr>
          <w:p>
            <w:pPr>
              <w:jc w:val="center"/>
              <w:ind w:left="13"/>
              <w:spacing w:after="0"/>
              <w:rPr>
                <w:sz w:val="20"/>
                <w:szCs w:val="20"/>
                <w:color w:val="auto"/>
              </w:rPr>
            </w:pPr>
            <w:r>
              <w:rPr>
                <w:rFonts w:ascii="Arial" w:cs="Arial" w:eastAsia="Arial" w:hAnsi="Arial"/>
                <w:sz w:val="18"/>
                <w:szCs w:val="18"/>
                <w:color w:val="auto"/>
                <w:w w:val="89"/>
              </w:rPr>
              <w:t>Reporting.</w:t>
            </w:r>
          </w:p>
        </w:tc>
        <w:tc>
          <w:tcPr>
            <w:tcW w:w="280" w:type="dxa"/>
            <w:vAlign w:val="bottom"/>
            <w:tcBorders>
              <w:right w:val="single" w:sz="8" w:color="auto"/>
            </w:tcBorders>
          </w:tcPr>
          <w:p>
            <w:pPr>
              <w:spacing w:after="0"/>
              <w:rPr>
                <w:sz w:val="18"/>
                <w:szCs w:val="18"/>
                <w:color w:val="auto"/>
              </w:rPr>
            </w:pPr>
          </w:p>
        </w:tc>
        <w:tc>
          <w:tcPr>
            <w:tcW w:w="10060" w:type="dxa"/>
            <w:vAlign w:val="bottom"/>
            <w:vMerge w:val="restart"/>
          </w:tcPr>
          <w:p>
            <w:pPr>
              <w:ind w:left="300"/>
              <w:spacing w:after="0"/>
              <w:rPr>
                <w:sz w:val="20"/>
                <w:szCs w:val="20"/>
                <w:color w:val="auto"/>
              </w:rPr>
            </w:pPr>
            <w:r>
              <w:rPr>
                <w:rFonts w:ascii="Arial" w:cs="Arial" w:eastAsia="Arial" w:hAnsi="Arial"/>
                <w:sz w:val="22"/>
                <w:szCs w:val="22"/>
                <w:color w:val="auto"/>
              </w:rPr>
              <w:t>17,713,713</w:t>
            </w:r>
          </w:p>
        </w:tc>
        <w:tc>
          <w:tcPr>
            <w:tcW w:w="0" w:type="dxa"/>
            <w:vAlign w:val="bottom"/>
          </w:tcPr>
          <w:p>
            <w:pPr>
              <w:spacing w:after="0"/>
              <w:rPr>
                <w:sz w:val="1"/>
                <w:szCs w:val="1"/>
                <w:color w:val="auto"/>
              </w:rPr>
            </w:pPr>
          </w:p>
        </w:tc>
      </w:tr>
      <w:tr>
        <w:trPr>
          <w:trHeight w:val="155"/>
        </w:trPr>
        <w:tc>
          <w:tcPr>
            <w:tcW w:w="1080" w:type="dxa"/>
            <w:vAlign w:val="bottom"/>
            <w:tcBorders>
              <w:right w:val="single" w:sz="8" w:color="auto"/>
            </w:tcBorders>
            <w:gridSpan w:val="3"/>
          </w:tcPr>
          <w:p>
            <w:pPr>
              <w:jc w:val="center"/>
              <w:ind w:left="33"/>
              <w:spacing w:after="0" w:line="151" w:lineRule="exact"/>
              <w:rPr>
                <w:sz w:val="20"/>
                <w:szCs w:val="20"/>
                <w:color w:val="auto"/>
              </w:rPr>
            </w:pPr>
            <w:r>
              <w:rPr>
                <w:rFonts w:ascii="Arial" w:cs="Arial" w:eastAsia="Arial" w:hAnsi="Arial"/>
                <w:sz w:val="16"/>
                <w:szCs w:val="16"/>
                <w:color w:val="auto"/>
              </w:rPr>
              <w:t>Person With:</w:t>
            </w:r>
          </w:p>
        </w:tc>
        <w:tc>
          <w:tcPr>
            <w:tcW w:w="280" w:type="dxa"/>
            <w:vAlign w:val="bottom"/>
            <w:tcBorders>
              <w:bottom w:val="single" w:sz="8" w:color="auto"/>
              <w:right w:val="single" w:sz="8" w:color="auto"/>
            </w:tcBorders>
          </w:tcPr>
          <w:p>
            <w:pPr>
              <w:spacing w:after="0"/>
              <w:rPr>
                <w:sz w:val="13"/>
                <w:szCs w:val="13"/>
                <w:color w:val="auto"/>
              </w:rPr>
            </w:pPr>
          </w:p>
        </w:tc>
        <w:tc>
          <w:tcPr>
            <w:tcW w:w="100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06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8"/>
                <w:szCs w:val="18"/>
                <w:color w:val="auto"/>
              </w:rPr>
            </w:pPr>
          </w:p>
        </w:tc>
        <w:tc>
          <w:tcPr>
            <w:tcW w:w="1100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00" w:type="dxa"/>
            <w:vAlign w:val="bottom"/>
            <w:tcBorders>
              <w:bottom w:val="single" w:sz="8" w:color="auto"/>
            </w:tcBorders>
            <w:gridSpan w:val="3"/>
          </w:tcPr>
          <w:p>
            <w:pPr>
              <w:ind w:left="300"/>
              <w:spacing w:after="0"/>
              <w:rPr>
                <w:sz w:val="20"/>
                <w:szCs w:val="20"/>
                <w:color w:val="auto"/>
              </w:rPr>
            </w:pPr>
            <w:r>
              <w:rPr>
                <w:rFonts w:ascii="Arial" w:cs="Arial" w:eastAsia="Arial" w:hAnsi="Arial"/>
                <w:sz w:val="22"/>
                <w:szCs w:val="22"/>
                <w:color w:val="auto"/>
              </w:rPr>
              <w:t>17,713,713</w:t>
            </w: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8"/>
                <w:szCs w:val="18"/>
                <w:color w:val="auto"/>
              </w:rPr>
            </w:pPr>
          </w:p>
        </w:tc>
        <w:tc>
          <w:tcPr>
            <w:tcW w:w="11000" w:type="dxa"/>
            <w:vAlign w:val="bottom"/>
            <w:gridSpan w:val="3"/>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10"/>
        </w:trPr>
        <w:tc>
          <w:tcPr>
            <w:tcW w:w="420" w:type="dxa"/>
            <w:vAlign w:val="bottom"/>
            <w:tcBorders>
              <w:bottom w:val="single" w:sz="8" w:color="auto"/>
              <w:right w:val="single" w:sz="8" w:color="auto"/>
            </w:tcBorders>
            <w:gridSpan w:val="2"/>
          </w:tcPr>
          <w:p>
            <w:pPr>
              <w:spacing w:after="0"/>
              <w:rPr>
                <w:sz w:val="18"/>
                <w:szCs w:val="18"/>
                <w:color w:val="auto"/>
              </w:rPr>
            </w:pPr>
          </w:p>
        </w:tc>
        <w:tc>
          <w:tcPr>
            <w:tcW w:w="1100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100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2"/>
          </w:tcPr>
          <w:p>
            <w:pPr>
              <w:ind w:left="300"/>
              <w:spacing w:after="0"/>
              <w:rPr>
                <w:sz w:val="20"/>
                <w:szCs w:val="20"/>
                <w:color w:val="auto"/>
              </w:rPr>
            </w:pPr>
            <w:r>
              <w:rPr>
                <w:rFonts w:ascii="Arial" w:cs="Arial" w:eastAsia="Arial" w:hAnsi="Arial"/>
                <w:sz w:val="22"/>
                <w:szCs w:val="22"/>
                <w:color w:val="auto"/>
                <w:w w:val="96"/>
              </w:rPr>
              <w:t>9.18%</w:t>
            </w: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8"/>
                <w:szCs w:val="18"/>
                <w:color w:val="auto"/>
              </w:rPr>
            </w:pPr>
          </w:p>
        </w:tc>
        <w:tc>
          <w:tcPr>
            <w:tcW w:w="1100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IA</w:t>
            </w:r>
          </w:p>
        </w:tc>
        <w:tc>
          <w:tcPr>
            <w:tcW w:w="28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 Name of Issuer: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Amdocs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1(b): Address of Issuer’s Principal Executive Offices: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Suite 5 Tower Hill House LE Bordage</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 Peter Port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Island of Guernsey XO GY1 3QT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Channel Islands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Item 2(a): Name of Person Filing:</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Manning &amp; Napier Advisors,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2(b): Address of Principal Business Office, or, if none, Residence: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290 Woodcliff Drive</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Fairport, NY 14450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Item 2(c): Citizenship:</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2(d): Title of Class of Securities: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Ordinary Shares, par value £ 0.01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2(e): CUSIP Number: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G02602103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3: If this statement is filed pursuant to 240.13d-1(b) or 240.13d-2(b) or (c), check whether the person filing is a:</w:t>
      </w:r>
    </w:p>
    <w:p>
      <w:pPr>
        <w:spacing w:after="0" w:line="5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 </w:t>
      </w: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Item 4: Ownership: Provide the following information regarding the aggregate number and percentage of the class of securities of the issuer identified in Item 1.</w:t>
      </w:r>
    </w:p>
    <w:p>
      <w:pPr>
        <w:spacing w:after="0" w:line="11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17,713,713</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9.18%</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15,822,958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17,713,713</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5: Ownership of Five Percent or Less of a Class: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6: Ownership of More than Five Percent on Behalf of Another Person: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80"/>
          </w:cols>
          <w:pgMar w:left="240" w:top="280"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 Identification and Classification of the Subsidiary Which Acquired the Security Being Reported on By the Parent Holding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8: Identification and Classification of Members of the Group: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9: Notice of Dissolution of a Group: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10: Certification:</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2/11/2011</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/s/ Michelle Thomas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Michelle Thomas, Corporate Secretary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2019-12-10T16:50:17Z</dcterms:created>
  <dcterms:modified xsi:type="dcterms:W3CDTF">2019-12-10T16:50:17Z</dcterms:modified>
</cp:coreProperties>
</file>