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July, 2013</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15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jc w:val="center"/>
        <w:ind w:right="-1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31, 2013, Amdocs Limited (“Amdocs”) issued a press release announcing financial results for the quarter ended June 30, 2013. A copy of the press release is furnished as Exhibit 99.1 to this Report of Foreign Private Issuer on Form 6-K.</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400"/>
          </w:cols>
          <w:pgMar w:left="240" w:top="280"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ectPr>
          <w:pgSz w:w="11900" w:h="16838" w:orient="portrait"/>
          <w:cols w:equalWidth="0" w:num="1">
            <w:col w:w="10980"/>
          </w:cols>
          <w:pgMar w:left="240" w:top="274" w:right="67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tabs>
          <w:tab w:leader="none" w:pos="12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368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-8255</wp:posOffset>
            </wp:positionV>
            <wp:extent cx="591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8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Amdocs Limited Press Release dated July 31, 2013.</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143510</wp:posOffset>
            </wp:positionV>
            <wp:extent cx="90932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9320" cy="19748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Record Quarterly Revenue of $841M, Up 4.0% YoY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Expects FY2013 Non-GAAP EPS Growth Towards the Higher-End of the Previous Expectation of 5-8%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90" w:lineRule="exact"/>
        <w:rPr>
          <w:sz w:val="20"/>
          <w:szCs w:val="20"/>
          <w:color w:val="auto"/>
        </w:rPr>
      </w:pPr>
    </w:p>
    <w:p>
      <w:pPr>
        <w:ind w:left="900" w:right="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fiscal quarter revenue of $841 million, within the $825-$855 million guidance range. Foreign currency movements negatively affected revenue by approximately $4 million relative to the second quarter of fiscal 2013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Third fiscal quarter non-GAAP operating income of $142 million; non-GAAP operating margin of 16.8%; GAAP operating income of $123 million</w:t>
      </w:r>
    </w:p>
    <w:p>
      <w:pPr>
        <w:spacing w:after="0" w:line="113"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fiscal quarter diluted non-GAAP EPS of $0.83, compared to the $0.70-$0.76 guidance range, excluding amortization of purchased intangible assets and other acquisition related costs and equity-based compensation expense, net of related tax effects. A lower non-GAAP effective tax rate positively impacted diluted non-GAAP EPS by approximately $0.10</w:t>
      </w:r>
    </w:p>
    <w:p>
      <w:pPr>
        <w:spacing w:after="0" w:line="59"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$0.73 for the third fiscal quarter, compared to the $0.60-$0.68 guidance range. A lower GAAP effective tax rate positively impacted diluted GAAP EPS by approximately $0.10</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$151 million for the third fiscal quarter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Twelve-month backlog of $2.83 billion at the end of the third fiscal quarter, up $20 million from the end of the second quarter of fiscal 2013</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$58 million of ordinary shares during the third fiscal quarter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$0.13 per share quarterly cash dividend to be paid on October 18, 2013</w:t>
      </w:r>
    </w:p>
    <w:p>
      <w:pPr>
        <w:spacing w:after="0" w:line="90" w:lineRule="exact"/>
        <w:rPr>
          <w:rFonts w:ascii="Arial" w:cs="Arial" w:eastAsia="Arial" w:hAnsi="Arial"/>
          <w:sz w:val="18"/>
          <w:szCs w:val="18"/>
          <w:color w:val="auto"/>
        </w:rPr>
      </w:pPr>
    </w:p>
    <w:p>
      <w:pPr>
        <w:ind w:left="900" w:right="180" w:hanging="325"/>
        <w:spacing w:after="0" w:line="306"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Fourth quarter fiscal 2013 guidance: Expected revenue of approximately $830-$860 million and diluted non-GAAP EPS of $0.60-$0.66, excluding amortization of purchased intangible assets and other acquisition-related costs and approximately $0.04-$0.05 per share of equity-based compensation expense, net of related tax effects. Diluted non-GAAP EPS guidance includes an expected negative impact of approximately</w:t>
      </w:r>
    </w:p>
    <w:p>
      <w:pPr>
        <w:sectPr>
          <w:pgSz w:w="11900" w:h="16838" w:orient="portrait"/>
          <w:cols w:equalWidth="0" w:num="1">
            <w:col w:w="11420"/>
          </w:cols>
          <w:pgMar w:left="240" w:top="125" w:right="239" w:bottom="1440" w:gutter="0" w:footer="0" w:header="0"/>
        </w:sectPr>
      </w:pPr>
    </w:p>
    <w:bookmarkStart w:id="5" w:name="page6"/>
    <w:bookmarkEnd w:id="5"/>
    <w:p>
      <w:pPr>
        <w:ind w:left="920"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$0.10 due to a higher non-GAAP effective tax rate in the fourth fiscal quarter. The non-GAAP effective tax rate for the full fiscal year 2013 is still anticipated to be within the previously expected range of 13%-15%. Diluted GAAP EPS is expected to be approximately $0.50-$0.58. Diluted GAAP EPS guidance includes an expected negative impact of approximately $0.10 due to a higher GAAP effective tax rate in the fourth fiscal quarter.</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 LOUIS – July 31, 2013 </w:t>
      </w:r>
      <w:r>
        <w:rPr>
          <w:rFonts w:ascii="Arial" w:cs="Arial" w:eastAsia="Arial" w:hAnsi="Arial"/>
          <w:sz w:val="16"/>
          <w:szCs w:val="16"/>
          <w:color w:val="auto"/>
        </w:rPr>
        <w:t>– Amdocs Limited (NYSE: DOX) today reported that for its fiscal quarter ended June 30, 2013, revenue was $841.3 million, up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1.0% sequentially from the second fiscal quarter of 2013 and up 4.0% as compared to last year’s third fiscal quarter. Net income on a non-GAAP basis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$134.4 million, or $0.83 per diluted share, compared to non-GAAP net income of $118.4 million, or $0.70 per diluted share, in the third quarter of fiscal 2012.</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Non-GAAP net income excludes amortization of purchased intangible assets and other acquisition related costs and equity-based compensation expenses of $14.9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net of related tax effects, in the third quarter of fiscal 2013 and excludes such amortization and other acquisition related costs and equity-based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expenses of $19.6 million, net of related tax effects, in the third quarter of fiscal 2012. The Company’s GAAP net income for the third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2013 was $119.6 million, or $0.73 per diluted share, compared to GAAP net income of $98.8 million, or $0.59 per diluted share, in the prior fiscal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third quarter.</w:t>
      </w:r>
    </w:p>
    <w:p>
      <w:pPr>
        <w:spacing w:after="0" w:line="16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are pleased with our solid performance in the third fiscal quarter. Despite currency headwinds, we delivered revenue growth of 4% year-over-year, driven by continued strength in North America. AT&amp;T was an important contributor to our performance, and we are also seeing growth at other key customers in North America. In the emerging markets, we remain focused on bringing many highly complex transformation projects into production, and we continue to see a substantial pipeline of opportunity with new and existing customers. Finally, in Europe, while overall economic conditions in the region remain challenging, we delivered another quarter of relatively consistent revenue on a sequential basis” said Eli Gelman, chief executive officer of Amdocs Management Limited.</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Gelman continued, “We continued to sign strategic customer wins during the third fiscal quarter. In North America, Amdocs was selected by Aio Wireless, a new, no-annual-contract wireless service, to provide managed services across Amdocs’ business support systems</w:t>
      </w:r>
    </w:p>
    <w:p>
      <w:pPr>
        <w:sectPr>
          <w:pgSz w:w="11900" w:h="16838" w:orient="portrait"/>
          <w:cols w:equalWidth="0" w:num="1">
            <w:col w:w="11400"/>
          </w:cols>
          <w:pgMar w:left="240" w:top="280" w:right="259" w:bottom="1440" w:gutter="0" w:footer="0" w:header="0"/>
        </w:sectPr>
      </w:pPr>
    </w:p>
    <w:bookmarkStart w:id="6" w:name="page7"/>
    <w:bookmarkEnd w:id="6"/>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(BSS), web portal and mobile applications, as well as to manage third party applications. In Europe, we signed a five-year managed services agreement with a major European wireless group to manage its customer care and billing systems in a newly established shared services and development center. In replacing a number of vendors with Amdocs, we believe this agreement is evidence of the value Amdocs can bring with managed services in Europe as operators seek to simplify and improve the quality of their operations. The contracts with Aio and the European operator demonstrate Amdocs’ ability to deliver value, and, as such, grow our business in existing customers through the breadth of our product family and our expanded services capabilities that extend beyond Amdocs’ own systems.”</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Gelman concluded, “As we embark on the fourth fiscal quarter, we will continue to monitor macroeconomic and industry conditions closely. These include the near term uncertainty arising from the effects of consolidation amongst North American carriers, challenging conditions in Europe, and some slowdown in subscriber and economic growth in segments of the emerging markets, all of which can affect the pace and scope of business demand. We remain keenly focused on our growth initiatives, our operational execution and capital efficiency. As a result, we now expect to deliver non-GAAP EPS growth towards the higher end of our prior expectation of 5-8%.”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Third Fiscal 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was $151 million for the quarter, comprised of cash flow from operations of $173 million less $22 million in net capital expenditures and other.</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$2.83 billion at the end of the third quarter of fiscal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Amdocs expects that revenue for the fourth quarter of fiscal 2013 will be approximately $830-$860 million. Diluted earnings per share on a non-GAAP basis for the fourth fiscal quarter are expected to be $0.60-$0.66, excluding amortization of purchased intangible assets and other acquisition-related costs and approximately $0.04-$0.05 per share of equity-based compensation expense, net of related tax effects. Amdocs estimates GAAP diluted earnings per share for the fourth fiscal quarter will be $0.50-$0.58.</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Quarterly Cash Dividend Program</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On July 31, 2013, the Board approved the Company’s next quarterly cash dividend payment and set September 30, 2013 as the record date for determining the shareholders entitled to receive the dividend, which is payable on October 18,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Amdocs will host a conference call on July 31, 2013 at 5:00 p.m. Eastern Time to discuss the Company’s third fiscal quarter results. The call will be carried live on the Internet via the Amdocs website, www.amdocs.com.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interest and other expense, net, non-GAAP income taxes, non-GAAP effective tax rate, non-GAAP net income and non-GAAP earnings per share growth. These non-GAAP measures exclude the following items:</w:t>
      </w:r>
    </w:p>
    <w:p>
      <w:pPr>
        <w:spacing w:after="0" w:line="62"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 related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gain on sale of investment;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ectPr>
          <w:pgSz w:w="11900" w:h="16838" w:orient="portrait"/>
          <w:cols w:equalWidth="0" w:num="1">
            <w:col w:w="11360"/>
          </w:cols>
          <w:pgMar w:left="240" w:top="274" w:right="299" w:bottom="1440" w:gutter="0" w:footer="0" w:header="0"/>
        </w:sectPr>
      </w:pPr>
    </w:p>
    <w:bookmarkStart w:id="8" w:name="page9"/>
    <w:bookmarkEnd w:id="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interest and other expense, net, non-GAAP income taxes, non-GAAP effective tax rate, non-GAAP net income and non-GAAP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2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For its internal budgeting process and in monitoring the results of the business, Amdocs’ management uses financial statements that do not include amortization of purchased intangible assets and other acquisition related costs, gain on sale of investment,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Amdocs</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For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product portfolio with value-driven professional services and managed services operations. With revenue of $3.2 billion in fiscal 2012, Amdocs and its approximately 20,000 employees serve customers in more than 60 countries.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2012 filed on December 11, 2012, our Form 6-K furnished for the first quarter of fiscal 2013 on February 12, 2013 and our Form 6-K furnished for the second quarter of fiscal 2013 on May 16, 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 McDermon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dox_info@amdocs.com</w:t>
      </w:r>
    </w:p>
    <w:p>
      <w:pPr>
        <w:sectPr>
          <w:pgSz w:w="11900" w:h="16838" w:orient="portrait"/>
          <w:cols w:equalWidth="0" w:num="1">
            <w:col w:w="11380"/>
          </w:cols>
          <w:pgMar w:left="240" w:top="274"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18,616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34,443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59,433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822,716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774,394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2,441,196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2,328,298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841,332</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808,837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2,500,629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2,424,775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546,108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519,217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1,619,215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1,552,947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59,583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58,858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179,002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103,396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106,678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12,977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718,168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698,786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2,141,953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2,095,804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123,164</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110,051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358,676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120,438</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107,314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354,085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119,558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98,749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323,485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160,914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167,194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162,667</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168,290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163,048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7"/>
              </w:rPr>
              <w:t>Three months ended</w:t>
            </w:r>
          </w:p>
        </w:tc>
        <w:tc>
          <w:tcPr>
            <w:tcW w:w="100" w:type="dxa"/>
            <w:vAlign w:val="bottom"/>
          </w:tcPr>
          <w:p>
            <w:pPr>
              <w:spacing w:after="0"/>
              <w:rPr>
                <w:sz w:val="14"/>
                <w:szCs w:val="14"/>
                <w:color w:val="auto"/>
              </w:rPr>
            </w:pPr>
          </w:p>
        </w:tc>
        <w:tc>
          <w:tcPr>
            <w:tcW w:w="198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841,332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2"/>
              </w:rPr>
              <w:t>808,837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2,500,629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2,424,775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8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141,551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82"/>
              </w:rPr>
              <w:t>134,338</w:t>
            </w: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418,935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401,457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134,430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2"/>
              </w:rPr>
              <w:t>118,357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8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0.70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162,667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2"/>
              </w:rPr>
              <w:t>168,290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163,048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85"/>
              </w:rPr>
              <w:t>June 30, 2013</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center"/>
              <w:ind w:right="240"/>
              <w:spacing w:after="0" w:line="142" w:lineRule="exact"/>
              <w:rPr>
                <w:sz w:val="20"/>
                <w:szCs w:val="20"/>
                <w:color w:val="auto"/>
              </w:rPr>
            </w:pPr>
            <w:r>
              <w:rPr>
                <w:rFonts w:ascii="Arial" w:cs="Arial" w:eastAsia="Arial" w:hAnsi="Arial"/>
                <w:sz w:val="14"/>
                <w:szCs w:val="14"/>
                <w:b w:val="1"/>
                <w:bCs w:val="1"/>
                <w:color w:val="auto"/>
                <w:w w:val="85"/>
              </w:rPr>
              <w:t>Reconciliation items</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87"/>
              </w:rPr>
              <w:t>Amortization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purchased</w:t>
            </w:r>
          </w:p>
        </w:tc>
        <w:tc>
          <w:tcPr>
            <w:tcW w:w="4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Equity based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4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assets and other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expense</w:t>
            </w:r>
          </w:p>
        </w:tc>
        <w:tc>
          <w:tcPr>
            <w:tcW w:w="220" w:type="dxa"/>
            <w:vAlign w:val="bottom"/>
          </w:tcPr>
          <w:p>
            <w:pPr>
              <w:spacing w:after="0"/>
              <w:rPr>
                <w:sz w:val="14"/>
                <w:szCs w:val="14"/>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2"/>
              </w:rPr>
              <w:t>Tax effect</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561</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546,108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541,171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59,583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103,396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(8,520)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718,168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(8,520)</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699,781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w w:val="86"/>
              </w:rPr>
              <w:t>123,164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9,867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3,515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w w:val="86"/>
              </w:rPr>
              <w:t>119,558</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19"/>
                <w:szCs w:val="19"/>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9,867</w:t>
            </w:r>
          </w:p>
        </w:tc>
        <w:tc>
          <w:tcPr>
            <w:tcW w:w="260" w:type="dxa"/>
            <w:vAlign w:val="bottom"/>
          </w:tcPr>
          <w:p>
            <w:pPr>
              <w:spacing w:after="0"/>
              <w:rPr>
                <w:sz w:val="19"/>
                <w:szCs w:val="19"/>
                <w:color w:val="auto"/>
              </w:rPr>
            </w:pPr>
          </w:p>
        </w:tc>
        <w:tc>
          <w:tcPr>
            <w:tcW w:w="1260" w:type="dxa"/>
            <w:vAlign w:val="bottom"/>
            <w:gridSpan w:val="4"/>
          </w:tcPr>
          <w:p>
            <w:pPr>
              <w:ind w:left="220"/>
              <w:spacing w:after="0"/>
              <w:rPr>
                <w:sz w:val="20"/>
                <w:szCs w:val="20"/>
                <w:color w:val="auto"/>
              </w:rPr>
            </w:pPr>
            <w:r>
              <w:rPr>
                <w:rFonts w:ascii="Arial" w:cs="Arial" w:eastAsia="Arial" w:hAnsi="Arial"/>
                <w:sz w:val="18"/>
                <w:szCs w:val="18"/>
                <w:color w:val="auto"/>
              </w:rPr>
              <w:t>$ (3,515)</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134,430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tcPr>
          <w:p>
            <w:pPr>
              <w:jc w:val="center"/>
              <w:ind w:left="316"/>
              <w:spacing w:after="0"/>
              <w:rPr>
                <w:sz w:val="20"/>
                <w:szCs w:val="20"/>
                <w:color w:val="auto"/>
              </w:rPr>
            </w:pPr>
            <w:r>
              <w:rPr>
                <w:rFonts w:ascii="Arial" w:cs="Arial" w:eastAsia="Arial" w:hAnsi="Arial"/>
                <w:sz w:val="14"/>
                <w:szCs w:val="14"/>
                <w:b w:val="1"/>
                <w:bCs w:val="1"/>
                <w:color w:val="auto"/>
                <w:w w:val="85"/>
              </w:rPr>
              <w:t>Three months ended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w w:val="85"/>
              </w:rPr>
              <w:t>June 30, 2012</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6"/>
          </w:tcPr>
          <w:p>
            <w:pPr>
              <w:jc w:val="center"/>
              <w:ind w:left="316"/>
              <w:spacing w:after="0" w:line="142" w:lineRule="exact"/>
              <w:rPr>
                <w:sz w:val="20"/>
                <w:szCs w:val="20"/>
                <w:color w:val="auto"/>
              </w:rPr>
            </w:pPr>
            <w:r>
              <w:rPr>
                <w:rFonts w:ascii="Arial" w:cs="Arial" w:eastAsia="Arial" w:hAnsi="Arial"/>
                <w:sz w:val="14"/>
                <w:szCs w:val="14"/>
                <w:b w:val="1"/>
                <w:bCs w:val="1"/>
                <w:color w:val="auto"/>
                <w:w w:val="86"/>
              </w:rPr>
              <w:t>Reconciliation items</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jc w:val="right"/>
              <w:ind w:right="220"/>
              <w:spacing w:after="0" w:line="129" w:lineRule="exact"/>
              <w:rPr>
                <w:sz w:val="20"/>
                <w:szCs w:val="20"/>
                <w:color w:val="auto"/>
              </w:rPr>
            </w:pPr>
            <w:r>
              <w:rPr>
                <w:rFonts w:ascii="Arial" w:cs="Arial" w:eastAsia="Arial" w:hAnsi="Arial"/>
                <w:sz w:val="14"/>
                <w:szCs w:val="14"/>
                <w:b w:val="1"/>
                <w:bCs w:val="1"/>
                <w:color w:val="auto"/>
              </w:rPr>
              <w:t>Amortization of</w:t>
            </w:r>
          </w:p>
        </w:tc>
        <w:tc>
          <w:tcPr>
            <w:tcW w:w="4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Equity based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9"/>
              </w:rPr>
              <w:t>purchased intangible</w:t>
            </w:r>
          </w:p>
        </w:tc>
        <w:tc>
          <w:tcPr>
            <w:tcW w:w="4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4"/>
                <w:szCs w:val="14"/>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3"/>
              </w:rPr>
              <w:t>assets and other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expense</w:t>
            </w:r>
          </w:p>
        </w:tc>
        <w:tc>
          <w:tcPr>
            <w:tcW w:w="220" w:type="dxa"/>
            <w:vAlign w:val="bottom"/>
          </w:tcPr>
          <w:p>
            <w:pPr>
              <w:spacing w:after="0"/>
              <w:rPr>
                <w:sz w:val="14"/>
                <w:szCs w:val="14"/>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2"/>
              </w:rPr>
              <w:t>Tax effect</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519,217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513,207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58,858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106,678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12,977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(12,977)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698,786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(12,977)</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674,499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110,051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134,338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4,679</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98,749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12,977</w:t>
            </w:r>
          </w:p>
        </w:tc>
        <w:tc>
          <w:tcPr>
            <w:tcW w:w="100" w:type="dxa"/>
            <w:vAlign w:val="bottom"/>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11,310</w:t>
            </w:r>
          </w:p>
        </w:tc>
        <w:tc>
          <w:tcPr>
            <w:tcW w:w="1260" w:type="dxa"/>
            <w:vAlign w:val="bottom"/>
            <w:gridSpan w:val="4"/>
          </w:tcPr>
          <w:p>
            <w:pPr>
              <w:ind w:left="220"/>
              <w:spacing w:after="0"/>
              <w:rPr>
                <w:sz w:val="20"/>
                <w:szCs w:val="20"/>
                <w:color w:val="auto"/>
              </w:rPr>
            </w:pPr>
            <w:r>
              <w:rPr>
                <w:rFonts w:ascii="Arial" w:cs="Arial" w:eastAsia="Arial" w:hAnsi="Arial"/>
                <w:sz w:val="18"/>
                <w:szCs w:val="18"/>
                <w:color w:val="auto"/>
              </w:rPr>
              <w:t>$ (4,679)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79"/>
              </w:rPr>
              <w:t>$ 118,357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4"/>
              </w:rPr>
              <w:t>Nine months ended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660"/>
              <w:spacing w:after="0"/>
              <w:rPr>
                <w:sz w:val="20"/>
                <w:szCs w:val="20"/>
                <w:color w:val="auto"/>
              </w:rPr>
            </w:pPr>
            <w:r>
              <w:rPr>
                <w:rFonts w:ascii="Arial" w:cs="Arial" w:eastAsia="Arial" w:hAnsi="Arial"/>
                <w:sz w:val="14"/>
                <w:szCs w:val="14"/>
                <w:b w:val="1"/>
                <w:bCs w:val="1"/>
                <w:color w:val="auto"/>
                <w:w w:val="85"/>
              </w:rPr>
              <w:t>June 30, 2013</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6"/>
          </w:tcPr>
          <w:p>
            <w:pPr>
              <w:jc w:val="center"/>
              <w:ind w:left="457"/>
              <w:spacing w:after="0" w:line="142" w:lineRule="exact"/>
              <w:rPr>
                <w:sz w:val="20"/>
                <w:szCs w:val="20"/>
                <w:color w:val="auto"/>
              </w:rPr>
            </w:pPr>
            <w:r>
              <w:rPr>
                <w:rFonts w:ascii="Arial" w:cs="Arial" w:eastAsia="Arial" w:hAnsi="Arial"/>
                <w:sz w:val="14"/>
                <w:szCs w:val="14"/>
                <w:b w:val="1"/>
                <w:bCs w:val="1"/>
                <w:color w:val="auto"/>
                <w:w w:val="85"/>
              </w:rPr>
              <w:t>Reconciliation items</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92"/>
              <w:spacing w:after="0" w:line="129" w:lineRule="exact"/>
              <w:rPr>
                <w:sz w:val="20"/>
                <w:szCs w:val="20"/>
                <w:color w:val="auto"/>
              </w:rPr>
            </w:pPr>
            <w:r>
              <w:rPr>
                <w:rFonts w:ascii="Arial" w:cs="Arial" w:eastAsia="Arial" w:hAnsi="Arial"/>
                <w:sz w:val="14"/>
                <w:szCs w:val="14"/>
                <w:b w:val="1"/>
                <w:bCs w:val="1"/>
                <w:color w:val="auto"/>
                <w:w w:val="91"/>
              </w:rPr>
              <w:t>Amortization of</w:t>
            </w:r>
          </w:p>
        </w:tc>
        <w:tc>
          <w:tcPr>
            <w:tcW w:w="340" w:type="dxa"/>
            <w:vAlign w:val="bottom"/>
          </w:tcPr>
          <w:p>
            <w:pPr>
              <w:spacing w:after="0"/>
              <w:rPr>
                <w:sz w:val="11"/>
                <w:szCs w:val="11"/>
                <w:color w:val="auto"/>
              </w:rPr>
            </w:pPr>
          </w:p>
        </w:tc>
        <w:tc>
          <w:tcPr>
            <w:tcW w:w="1260" w:type="dxa"/>
            <w:vAlign w:val="bottom"/>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w w:val="87"/>
              </w:rPr>
              <w:t>Equity based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purchased intangible</w:t>
            </w:r>
          </w:p>
        </w:tc>
        <w:tc>
          <w:tcPr>
            <w:tcW w:w="34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GAAP</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84"/>
              </w:rPr>
              <w:t>assets and other</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expense</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Tax effect</w:t>
            </w:r>
          </w:p>
        </w:tc>
        <w:tc>
          <w:tcPr>
            <w:tcW w:w="20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1,619,215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(14,440)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1,604,775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179,002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(14,401)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(28,358)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2,141,953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2,081,694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358,676</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31,901</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10,590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323,485</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28,358</w:t>
            </w:r>
          </w:p>
        </w:tc>
        <w:tc>
          <w:tcPr>
            <w:tcW w:w="120" w:type="dxa"/>
            <w:vAlign w:val="bottom"/>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31,901</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spacing w:after="0"/>
              <w:rPr>
                <w:sz w:val="20"/>
                <w:szCs w:val="20"/>
                <w:color w:val="auto"/>
              </w:rPr>
            </w:pPr>
            <w:r>
              <w:rPr>
                <w:rFonts w:ascii="Arial" w:cs="Arial" w:eastAsia="Arial" w:hAnsi="Arial"/>
                <w:sz w:val="18"/>
                <w:szCs w:val="18"/>
                <w:color w:val="auto"/>
              </w:rPr>
              <w:t>(10,590)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373,154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6"/>
              </w:rPr>
              <w:t>Nine months ended</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17"/>
              <w:spacing w:after="0"/>
              <w:rPr>
                <w:sz w:val="20"/>
                <w:szCs w:val="20"/>
                <w:color w:val="auto"/>
              </w:rPr>
            </w:pPr>
            <w:r>
              <w:rPr>
                <w:rFonts w:ascii="Arial" w:cs="Arial" w:eastAsia="Arial" w:hAnsi="Arial"/>
                <w:sz w:val="14"/>
                <w:szCs w:val="14"/>
                <w:b w:val="1"/>
                <w:bCs w:val="1"/>
                <w:color w:val="auto"/>
                <w:w w:val="87"/>
              </w:rPr>
              <w:t>June 30, 2012</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5"/>
              </w:rPr>
              <w:t>Reconciliation items</w:t>
            </w: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9"/>
              </w:rPr>
              <w:t>Amortization of</w:t>
            </w:r>
          </w:p>
        </w:tc>
        <w:tc>
          <w:tcPr>
            <w:tcW w:w="11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Equity based</w:t>
            </w:r>
          </w:p>
        </w:tc>
        <w:tc>
          <w:tcPr>
            <w:tcW w:w="4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Gain on sale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intangible</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GAAP</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assets and other</w:t>
            </w:r>
          </w:p>
        </w:tc>
        <w:tc>
          <w:tcPr>
            <w:tcW w:w="1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expense</w:t>
            </w:r>
          </w:p>
        </w:tc>
        <w:tc>
          <w:tcPr>
            <w:tcW w:w="4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Tax effect</w:t>
            </w:r>
          </w:p>
        </w:tc>
        <w:tc>
          <w:tcPr>
            <w:tcW w:w="16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2,982</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1,552,947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(17,376)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1,535,571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180,515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(3,281)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319,857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(12,326)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w w:val="96"/>
              </w:rPr>
              <w:t>Amortization of purchased intangible assets and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6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39,503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(39,503)</w:t>
            </w:r>
          </w:p>
        </w:tc>
        <w:tc>
          <w:tcPr>
            <w:tcW w:w="1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2,095,804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(39,503)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(32,983)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2,023,318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328,971</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39,503</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32,983</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34,557</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15,252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293,350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39,503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32,983</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(15,252)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6"/>
              </w:rPr>
              <w:t>June 30,</w:t>
            </w:r>
          </w:p>
        </w:tc>
        <w:tc>
          <w:tcPr>
            <w:tcW w:w="4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7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1,090,699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Accounts receivable, net, including unbilled of $124,197 and $130,697, respectively</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667,748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162,737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2,045,579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60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261,933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277,907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1,854,435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1,883,064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398,872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4,560,819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4,645,223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602,699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690,823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Deferred revenue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133,060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773,817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1,065,558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Shareholders’ equity</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3,239,797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3,033,202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4,560,819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4,645,223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9"/>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$ 323,485</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107,400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1,829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3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Gain on sale of investment</w:t>
            </w:r>
          </w:p>
        </w:tc>
        <w:tc>
          <w:tcPr>
            <w:tcW w:w="2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changes in operating assets and liabilities:</w:t>
            </w:r>
          </w:p>
        </w:tc>
        <w:tc>
          <w:tcPr>
            <w:tcW w:w="2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100" w:type="dxa"/>
            <w:vAlign w:val="bottom"/>
            <w:gridSpan w:val="3"/>
          </w:tcPr>
          <w:p>
            <w:pPr>
              <w:jc w:val="right"/>
              <w:ind w:right="120"/>
              <w:spacing w:after="0"/>
              <w:rPr>
                <w:sz w:val="20"/>
                <w:szCs w:val="20"/>
                <w:color w:val="auto"/>
              </w:rPr>
            </w:pPr>
            <w:r>
              <w:rPr>
                <w:rFonts w:ascii="Arial" w:cs="Arial" w:eastAsia="Arial" w:hAnsi="Arial"/>
                <w:sz w:val="18"/>
                <w:szCs w:val="18"/>
                <w:color w:val="auto"/>
              </w:rPr>
              <w:t>(12,010)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3100" w:type="dxa"/>
            <w:vAlign w:val="bottom"/>
            <w:gridSpan w:val="3"/>
          </w:tcPr>
          <w:p>
            <w:pPr>
              <w:jc w:val="right"/>
              <w:ind w:right="120"/>
              <w:spacing w:after="0"/>
              <w:rPr>
                <w:sz w:val="20"/>
                <w:szCs w:val="20"/>
                <w:color w:val="auto"/>
              </w:rPr>
            </w:pPr>
            <w:r>
              <w:rPr>
                <w:rFonts w:ascii="Arial" w:cs="Arial" w:eastAsia="Arial" w:hAnsi="Arial"/>
                <w:sz w:val="18"/>
                <w:szCs w:val="18"/>
                <w:color w:val="auto"/>
              </w:rPr>
              <w:t>(59,279)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3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(18,360)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3100" w:type="dxa"/>
            <w:vAlign w:val="bottom"/>
            <w:gridSpan w:val="3"/>
          </w:tcPr>
          <w:p>
            <w:pPr>
              <w:jc w:val="right"/>
              <w:ind w:right="120"/>
              <w:spacing w:after="0"/>
              <w:rPr>
                <w:sz w:val="20"/>
                <w:szCs w:val="20"/>
                <w:color w:val="auto"/>
              </w:rPr>
            </w:pPr>
            <w:r>
              <w:rPr>
                <w:rFonts w:ascii="Arial" w:cs="Arial" w:eastAsia="Arial" w:hAnsi="Arial"/>
                <w:sz w:val="18"/>
                <w:szCs w:val="18"/>
                <w:color w:val="auto"/>
              </w:rPr>
              <w:t>(14,391)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2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1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438,842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3100" w:type="dxa"/>
            <w:vAlign w:val="bottom"/>
            <w:gridSpan w:val="3"/>
          </w:tcPr>
          <w:p>
            <w:pPr>
              <w:jc w:val="right"/>
              <w:ind w:right="120"/>
              <w:spacing w:after="0"/>
              <w:rPr>
                <w:sz w:val="20"/>
                <w:szCs w:val="20"/>
                <w:color w:val="auto"/>
              </w:rPr>
            </w:pPr>
            <w:r>
              <w:rPr>
                <w:rFonts w:ascii="Arial" w:cs="Arial" w:eastAsia="Arial" w:hAnsi="Arial"/>
                <w:sz w:val="18"/>
                <w:szCs w:val="18"/>
                <w:color w:val="auto"/>
              </w:rPr>
              <w:t>(80,151)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258,121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3100" w:type="dxa"/>
            <w:vAlign w:val="bottom"/>
            <w:gridSpan w:val="3"/>
          </w:tcPr>
          <w:p>
            <w:pPr>
              <w:jc w:val="right"/>
              <w:ind w:right="120"/>
              <w:spacing w:after="0"/>
              <w:rPr>
                <w:sz w:val="20"/>
                <w:szCs w:val="20"/>
                <w:color w:val="auto"/>
              </w:rPr>
            </w:pPr>
            <w:r>
              <w:rPr>
                <w:rFonts w:ascii="Arial" w:cs="Arial" w:eastAsia="Arial" w:hAnsi="Arial"/>
                <w:sz w:val="18"/>
                <w:szCs w:val="18"/>
                <w:color w:val="auto"/>
              </w:rPr>
              <w:t>(324,982)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(257,958)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sale of investment</w:t>
            </w:r>
          </w:p>
        </w:tc>
        <w:tc>
          <w:tcPr>
            <w:tcW w:w="2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(151,173)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(43,912)</w:t>
            </w:r>
          </w:p>
        </w:tc>
        <w:tc>
          <w:tcPr>
            <w:tcW w:w="0" w:type="dxa"/>
            <w:vAlign w:val="bottom"/>
          </w:tcPr>
          <w:p>
            <w:pPr>
              <w:spacing w:after="0"/>
              <w:rPr>
                <w:sz w:val="1"/>
                <w:szCs w:val="1"/>
                <w:color w:val="auto"/>
              </w:rPr>
            </w:pPr>
          </w:p>
        </w:tc>
      </w:tr>
      <w:tr>
        <w:trPr>
          <w:trHeight w:val="22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3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Repurchase of shares</w:t>
            </w:r>
          </w:p>
        </w:tc>
        <w:tc>
          <w:tcPr>
            <w:tcW w:w="3100" w:type="dxa"/>
            <w:vAlign w:val="bottom"/>
            <w:gridSpan w:val="3"/>
          </w:tcPr>
          <w:p>
            <w:pPr>
              <w:jc w:val="right"/>
              <w:ind w:right="120"/>
              <w:spacing w:after="0"/>
              <w:rPr>
                <w:sz w:val="20"/>
                <w:szCs w:val="20"/>
                <w:color w:val="auto"/>
              </w:rPr>
            </w:pPr>
            <w:r>
              <w:rPr>
                <w:rFonts w:ascii="Arial" w:cs="Arial" w:eastAsia="Arial" w:hAnsi="Arial"/>
                <w:sz w:val="18"/>
                <w:szCs w:val="18"/>
                <w:color w:val="auto"/>
              </w:rPr>
              <w:t>(270,251)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Payments of dividends</w:t>
            </w:r>
          </w:p>
        </w:tc>
        <w:tc>
          <w:tcPr>
            <w:tcW w:w="3100" w:type="dxa"/>
            <w:vAlign w:val="bottom"/>
            <w:gridSpan w:val="3"/>
          </w:tcPr>
          <w:p>
            <w:pPr>
              <w:jc w:val="right"/>
              <w:ind w:right="120"/>
              <w:spacing w:after="0"/>
              <w:rPr>
                <w:sz w:val="20"/>
                <w:szCs w:val="20"/>
                <w:color w:val="auto"/>
              </w:rPr>
            </w:pPr>
            <w:r>
              <w:rPr>
                <w:rFonts w:ascii="Arial" w:cs="Arial" w:eastAsia="Arial" w:hAnsi="Arial"/>
                <w:sz w:val="18"/>
                <w:szCs w:val="18"/>
                <w:color w:val="auto"/>
              </w:rPr>
              <w:t>(63,079)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and other</w:t>
            </w:r>
          </w:p>
        </w:tc>
        <w:tc>
          <w:tcPr>
            <w:tcW w:w="2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2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(380,050)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(565,702)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(247,601)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1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831,371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$ 786,777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583,770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1"/>
                <w:szCs w:val="11"/>
                <w:color w:val="auto"/>
              </w:rPr>
            </w:pPr>
          </w:p>
        </w:tc>
        <w:tc>
          <w:tcPr>
            <w:tcW w:w="120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$619.2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98.0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113.1</w:t>
            </w:r>
          </w:p>
        </w:tc>
        <w:tc>
          <w:tcPr>
            <w:tcW w:w="50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841.3</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832.9</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826.</w:t>
            </w:r>
            <w:r>
              <w:rPr>
                <w:rFonts w:ascii="Arial" w:cs="Arial" w:eastAsia="Arial" w:hAnsi="Arial"/>
                <w:sz w:val="18"/>
                <w:szCs w:val="18"/>
                <w:u w:val="single" w:color="auto"/>
                <w:color w:val="auto"/>
              </w:rPr>
              <w:t>4</w:t>
            </w:r>
          </w:p>
        </w:tc>
        <w:tc>
          <w:tcPr>
            <w:tcW w:w="3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822.1</w:t>
            </w:r>
          </w:p>
        </w:tc>
        <w:tc>
          <w:tcPr>
            <w:tcW w:w="3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808.8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5"/>
              </w:rPr>
              <w:t>September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1"/>
              </w:rPr>
              <w:t>30,</w:t>
            </w:r>
          </w:p>
        </w:tc>
        <w:tc>
          <w:tcPr>
            <w:tcW w:w="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Emerging Markets Revenue</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101.3</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101.7</w:t>
            </w:r>
          </w:p>
        </w:tc>
        <w:tc>
          <w:tcPr>
            <w:tcW w:w="10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5"/>
              </w:rPr>
              <w:t>September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1"/>
              </w:rPr>
              <w:t>30,</w:t>
            </w:r>
          </w:p>
        </w:tc>
        <w:tc>
          <w:tcPr>
            <w:tcW w:w="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Managed Services Revenue</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417.1</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r>
              <w:rPr>
                <w:rFonts w:ascii="Arial" w:cs="Arial" w:eastAsia="Arial" w:hAnsi="Arial"/>
                <w:sz w:val="18"/>
                <w:szCs w:val="18"/>
                <w:u w:val="single" w:color="auto"/>
                <w:color w:val="auto"/>
              </w:rPr>
              <w:t>8</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426.8</w:t>
            </w:r>
          </w:p>
        </w:tc>
        <w:tc>
          <w:tcPr>
            <w:tcW w:w="10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5"/>
              </w:rPr>
              <w:t>September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1"/>
              </w:rPr>
              <w:t>30,</w:t>
            </w:r>
          </w:p>
        </w:tc>
        <w:tc>
          <w:tcPr>
            <w:tcW w:w="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Experience Systems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$803.2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Directory</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841.3</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r>
              <w:rPr>
                <w:rFonts w:ascii="Arial" w:cs="Arial" w:eastAsia="Arial" w:hAnsi="Arial"/>
                <w:sz w:val="18"/>
                <w:szCs w:val="18"/>
                <w:u w:val="single" w:color="auto"/>
                <w:color w:val="auto"/>
              </w:rPr>
              <w:t>4</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808.8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5"/>
              </w:rPr>
              <w:t>September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1"/>
              </w:rPr>
              <w:t>30,</w:t>
            </w:r>
          </w:p>
        </w:tc>
        <w:tc>
          <w:tcPr>
            <w:tcW w:w="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12-Month Backlog</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2,830</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2,760</w:t>
            </w:r>
          </w:p>
        </w:tc>
        <w:tc>
          <w:tcPr>
            <w:tcW w:w="10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2019-12-06T20:34:06Z</dcterms:created>
  <dcterms:modified xsi:type="dcterms:W3CDTF">2019-12-06T20:34:06Z</dcterms:modified>
</cp:coreProperties>
</file>