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162560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8"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169545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REPORT OF FOREIGN PRIVATE ISSUER</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PURSUANT TO RULE 13a-16 OR 15d-16</w:t>
      </w:r>
    </w:p>
    <w:p>
      <w:pPr>
        <w:jc w:val="center"/>
        <w:ind w:right="19"/>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 the month of May 2022</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165735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3"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184785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Hirzel House, Smith Street,</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St. Peter Port, Island of Guernsey, GY1 2NG</w:t>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Amdocs, Inc.</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625 Maryville Centre Drive, Suite 200, Saint Louis, Missouri 63141</w:t>
      </w:r>
    </w:p>
    <w:p>
      <w:pPr>
        <w:jc w:val="center"/>
        <w:ind w:right="19"/>
        <w:spacing w:after="0"/>
        <w:rPr>
          <w:sz w:val="20"/>
          <w:szCs w:val="20"/>
          <w:color w:val="auto"/>
        </w:rPr>
      </w:pPr>
      <w:r>
        <w:rPr>
          <w:rFonts w:ascii="Arial" w:cs="Arial" w:eastAsia="Arial" w:hAnsi="Arial"/>
          <w:sz w:val="10"/>
          <w:szCs w:val="10"/>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3" w:lineRule="exact"/>
        <w:rPr>
          <w:sz w:val="24"/>
          <w:szCs w:val="24"/>
          <w:color w:val="auto"/>
        </w:rPr>
      </w:pPr>
    </w:p>
    <w:p>
      <w:pPr>
        <w:ind w:left="640"/>
        <w:spacing w:after="0"/>
        <w:rPr>
          <w:sz w:val="20"/>
          <w:szCs w:val="20"/>
          <w:color w:val="auto"/>
        </w:rPr>
      </w:pPr>
      <w:r>
        <w:rPr>
          <w:rFonts w:ascii="Arial" w:cs="Arial" w:eastAsia="Arial" w:hAnsi="Arial"/>
          <w:sz w:val="13"/>
          <w:szCs w:val="13"/>
          <w:color w:val="auto"/>
        </w:rPr>
        <w:t>Indicate by check mark whether the registrant files or will file annual reports under cover of Form 20-F or Form 40-F:</w:t>
      </w:r>
    </w:p>
    <w:p>
      <w:pPr>
        <w:spacing w:after="0" w:line="129" w:lineRule="exact"/>
        <w:rPr>
          <w:sz w:val="24"/>
          <w:szCs w:val="24"/>
          <w:color w:val="auto"/>
        </w:rPr>
      </w:pPr>
    </w:p>
    <w:p>
      <w:pPr>
        <w:ind w:left="3500"/>
        <w:spacing w:after="0" w:line="150" w:lineRule="exact"/>
        <w:tabs>
          <w:tab w:leader="none" w:pos="4680" w:val="left"/>
        </w:tabs>
        <w:rPr>
          <w:sz w:val="20"/>
          <w:szCs w:val="20"/>
          <w:color w:val="auto"/>
        </w:rPr>
      </w:pPr>
      <w:r>
        <w:rPr>
          <w:rFonts w:ascii="Arial" w:cs="Arial" w:eastAsia="Arial" w:hAnsi="Arial"/>
          <w:sz w:val="13"/>
          <w:szCs w:val="13"/>
          <w:color w:val="auto"/>
        </w:rPr>
        <w:t xml:space="preserve">FORM 20-F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FORM 40-F </w:t>
      </w:r>
      <w:r>
        <w:rPr>
          <w:rFonts w:ascii="MS PGothic" w:cs="MS PGothic" w:eastAsia="MS PGothic" w:hAnsi="MS PGothic"/>
          <w:sz w:val="12"/>
          <w:szCs w:val="12"/>
          <w:color w:val="auto"/>
        </w:rPr>
        <w:t>☐</w:t>
      </w:r>
    </w:p>
    <w:p>
      <w:pPr>
        <w:spacing w:after="0" w:line="154"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Indicate by check mark if the registrant is submitting the Form 6-K in paper as permitted by Regulation S-T Rule 101(b)(1): </w:t>
      </w:r>
      <w:r>
        <w:rPr>
          <w:rFonts w:ascii="MS PGothic" w:cs="MS PGothic" w:eastAsia="MS PGothic" w:hAnsi="MS PGothic"/>
          <w:sz w:val="13"/>
          <w:szCs w:val="13"/>
          <w:color w:val="auto"/>
        </w:rPr>
        <w:t>☐</w:t>
      </w:r>
    </w:p>
    <w:p>
      <w:pPr>
        <w:spacing w:after="0" w:line="154" w:lineRule="exact"/>
        <w:rPr>
          <w:sz w:val="24"/>
          <w:szCs w:val="24"/>
          <w:color w:val="auto"/>
        </w:rPr>
      </w:pPr>
    </w:p>
    <w:p>
      <w:pPr>
        <w:ind w:left="640"/>
        <w:spacing w:after="0" w:line="150" w:lineRule="exact"/>
        <w:rPr>
          <w:sz w:val="20"/>
          <w:szCs w:val="20"/>
          <w:color w:val="auto"/>
        </w:rPr>
      </w:pPr>
      <w:r>
        <w:rPr>
          <w:rFonts w:ascii="Arial" w:cs="Arial" w:eastAsia="Arial" w:hAnsi="Arial"/>
          <w:sz w:val="13"/>
          <w:szCs w:val="13"/>
          <w:color w:val="auto"/>
        </w:rPr>
        <w:t xml:space="preserve">Indicate by check mark if the registrant is submitting the Form 6-K in paper as permitted by Regulation S-T Rule 101(b)(7): </w:t>
      </w:r>
      <w:r>
        <w:rPr>
          <w:rFonts w:ascii="MS PGothic" w:cs="MS PGothic" w:eastAsia="MS PGothic" w:hAnsi="MS PGothic"/>
          <w:sz w:val="13"/>
          <w:szCs w:val="13"/>
          <w:color w:val="auto"/>
        </w:rPr>
        <w:t>☐</w:t>
      </w:r>
    </w:p>
    <w:p>
      <w:pPr>
        <w:spacing w:after="0" w:line="178" w:lineRule="exact"/>
        <w:rPr>
          <w:sz w:val="24"/>
          <w:szCs w:val="24"/>
          <w:color w:val="auto"/>
        </w:rPr>
      </w:pPr>
    </w:p>
    <w:p>
      <w:pPr>
        <w:ind w:left="640"/>
        <w:spacing w:after="0"/>
        <w:rPr>
          <w:sz w:val="20"/>
          <w:szCs w:val="20"/>
          <w:color w:val="auto"/>
        </w:rPr>
      </w:pPr>
      <w:r>
        <w:rPr>
          <w:rFonts w:ascii="Arial" w:cs="Arial" w:eastAsia="Arial" w:hAnsi="Arial"/>
          <w:sz w:val="12"/>
          <w:szCs w:val="12"/>
          <w:color w:val="auto"/>
        </w:rPr>
        <w:t>Indicate by check mark whether the registrant by furnishing the information contained in this form is also thereby furnishing the information to the</w:t>
      </w:r>
    </w:p>
    <w:p>
      <w:pPr>
        <w:spacing w:after="0" w:line="23" w:lineRule="exact"/>
        <w:rPr>
          <w:sz w:val="24"/>
          <w:szCs w:val="24"/>
          <w:color w:val="auto"/>
        </w:rPr>
      </w:pPr>
    </w:p>
    <w:p>
      <w:pPr>
        <w:ind w:left="640"/>
        <w:spacing w:after="0"/>
        <w:rPr>
          <w:sz w:val="20"/>
          <w:szCs w:val="20"/>
          <w:color w:val="auto"/>
        </w:rPr>
      </w:pPr>
      <w:r>
        <w:rPr>
          <w:rFonts w:ascii="Arial" w:cs="Arial" w:eastAsia="Arial" w:hAnsi="Arial"/>
          <w:sz w:val="13"/>
          <w:szCs w:val="13"/>
          <w:color w:val="auto"/>
        </w:rPr>
        <w:t>Commission pursuant to Rule 12g3-2(b) under the Securities Exchange Act of 1934:</w:t>
      </w:r>
    </w:p>
    <w:p>
      <w:pPr>
        <w:spacing w:after="0" w:line="120" w:lineRule="exact"/>
        <w:rPr>
          <w:sz w:val="24"/>
          <w:szCs w:val="24"/>
          <w:color w:val="auto"/>
        </w:rPr>
      </w:pPr>
    </w:p>
    <w:p>
      <w:pPr>
        <w:jc w:val="center"/>
        <w:ind w:right="19"/>
        <w:spacing w:after="0" w:line="150" w:lineRule="exact"/>
        <w:tabs>
          <w:tab w:leader="none" w:pos="36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78" w:lineRule="exact"/>
        <w:rPr>
          <w:sz w:val="24"/>
          <w:szCs w:val="24"/>
          <w:color w:val="auto"/>
        </w:rPr>
      </w:pPr>
    </w:p>
    <w:p>
      <w:pPr>
        <w:ind w:left="640"/>
        <w:spacing w:after="0"/>
        <w:rPr>
          <w:sz w:val="20"/>
          <w:szCs w:val="20"/>
          <w:color w:val="auto"/>
        </w:rPr>
      </w:pPr>
      <w:r>
        <w:rPr>
          <w:rFonts w:ascii="Arial" w:cs="Arial" w:eastAsia="Arial" w:hAnsi="Arial"/>
          <w:sz w:val="13"/>
          <w:szCs w:val="13"/>
          <w:color w:val="auto"/>
        </w:rPr>
        <w:t>If “Yes” is marked, indicate below the file number assigned to the registrant in connection with Rule 12g3-2(b): 82- _______</w:t>
      </w:r>
    </w:p>
    <w:p>
      <w:pPr>
        <w:spacing w:after="0" w:line="154" w:lineRule="exact"/>
        <w:rPr>
          <w:sz w:val="24"/>
          <w:szCs w:val="24"/>
          <w:color w:val="auto"/>
        </w:rPr>
      </w:pPr>
    </w:p>
    <w:p>
      <w:pPr>
        <w:ind w:left="640" w:right="699"/>
        <w:spacing w:after="0" w:line="352" w:lineRule="auto"/>
        <w:rPr>
          <w:sz w:val="20"/>
          <w:szCs w:val="20"/>
          <w:color w:val="auto"/>
        </w:rPr>
      </w:pPr>
      <w:r>
        <w:rPr>
          <w:rFonts w:ascii="Arial" w:cs="Arial" w:eastAsia="Arial" w:hAnsi="Arial"/>
          <w:sz w:val="11"/>
          <w:szCs w:val="11"/>
          <w:color w:val="auto"/>
        </w:rPr>
        <w:t>On May 11, 2022, Amdocs Limited (“Amdocs”) issued a press release announcing financial results for the quarter ended March 31, 2022. A copy of the press release and the accompanying presentation are furnished as Exhibits 99.1 and 99.2 to this Report of Foreign Private Issuer on Form 6-K.</w:t>
      </w:r>
    </w:p>
    <w:p>
      <w:pPr>
        <w:spacing w:after="0" w:line="84" w:lineRule="exact"/>
        <w:rPr>
          <w:sz w:val="24"/>
          <w:szCs w:val="24"/>
          <w:color w:val="auto"/>
        </w:rPr>
      </w:pPr>
    </w:p>
    <w:p>
      <w:pPr>
        <w:ind w:left="640" w:right="759"/>
        <w:spacing w:after="0" w:line="252" w:lineRule="auto"/>
        <w:rPr>
          <w:sz w:val="20"/>
          <w:szCs w:val="20"/>
          <w:color w:val="auto"/>
        </w:rPr>
      </w:pPr>
      <w:r>
        <w:rPr>
          <w:rFonts w:ascii="Arial" w:cs="Arial" w:eastAsia="Arial" w:hAnsi="Arial"/>
          <w:sz w:val="13"/>
          <w:szCs w:val="13"/>
          <w:color w:val="auto"/>
        </w:rPr>
        <w:t>The information in this Form 6-K (including Exhibits 99.1 and 99.2)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97790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127635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SIGNATURES</w:t>
      </w:r>
    </w:p>
    <w:p>
      <w:pPr>
        <w:spacing w:after="0" w:line="158" w:lineRule="exact"/>
        <w:rPr>
          <w:sz w:val="20"/>
          <w:szCs w:val="20"/>
          <w:color w:val="auto"/>
        </w:rPr>
      </w:pPr>
    </w:p>
    <w:p>
      <w:pPr>
        <w:ind w:left="640" w:right="1179"/>
        <w:spacing w:after="0" w:line="261"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149"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AMDOCS LIMITED</w:t>
      </w:r>
    </w:p>
    <w:p>
      <w:pPr>
        <w:spacing w:after="0" w:line="154"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3515995</wp:posOffset>
            </wp:positionH>
            <wp:positionV relativeFrom="paragraph">
              <wp:posOffset>6985</wp:posOffset>
            </wp:positionV>
            <wp:extent cx="179959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99590" cy="5715"/>
                    </a:xfrm>
                    <a:prstGeom prst="rect">
                      <a:avLst/>
                    </a:prstGeom>
                    <a:noFill/>
                  </pic:spPr>
                </pic:pic>
              </a:graphicData>
            </a:graphic>
          </wp:anchor>
        </w:drawing>
      </w:r>
    </w:p>
    <w:p>
      <w:pPr>
        <w:spacing w:after="0" w:line="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Matthew E. Smith</w:t>
      </w:r>
    </w:p>
    <w:p>
      <w:pPr>
        <w:spacing w:after="0" w:line="11" w:lineRule="exact"/>
        <w:rPr>
          <w:sz w:val="20"/>
          <w:szCs w:val="20"/>
          <w:color w:val="auto"/>
        </w:rPr>
      </w:pPr>
    </w:p>
    <w:p>
      <w:pPr>
        <w:ind w:left="5540"/>
        <w:spacing w:after="0"/>
        <w:rPr>
          <w:sz w:val="20"/>
          <w:szCs w:val="20"/>
          <w:color w:val="auto"/>
        </w:rPr>
      </w:pPr>
      <w:r>
        <w:rPr>
          <w:rFonts w:ascii="Arial" w:cs="Arial" w:eastAsia="Arial" w:hAnsi="Arial"/>
          <w:sz w:val="13"/>
          <w:szCs w:val="13"/>
          <w:i w:val="1"/>
          <w:iCs w:val="1"/>
          <w:color w:val="auto"/>
        </w:rPr>
        <w:t>Secretary and Authorized Signatory</w:t>
      </w:r>
    </w:p>
    <w:p>
      <w:pPr>
        <w:spacing w:after="0" w:line="14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Date: May 11, 2022</w:t>
      </w:r>
    </w:p>
    <w:p>
      <w:pPr>
        <w:sectPr>
          <w:pgSz w:w="11900" w:h="16838" w:orient="portrait"/>
          <w:cols w:equalWidth="0" w:num="1">
            <w:col w:w="9019"/>
          </w:cols>
          <w:pgMar w:left="1440" w:top="231" w:right="1440" w:bottom="1440" w:gutter="0" w:footer="0" w:header="0"/>
        </w:sectPr>
      </w:pPr>
    </w:p>
    <w:bookmarkStart w:id="2" w:name="page3"/>
    <w:bookmarkEnd w:id="2"/>
    <w:tbl>
      <w:tblPr>
        <w:tblLayout w:type="fixed"/>
        <w:tblInd w:w="640" w:type="dxa"/>
        <w:tblCellMar>
          <w:top w:w="0" w:type="dxa"/>
          <w:left w:w="0" w:type="dxa"/>
          <w:bottom w:w="0" w:type="dxa"/>
          <w:right w:w="0" w:type="dxa"/>
        </w:tblCellMar>
      </w:tblPr>
      <w:tr>
        <w:trPr>
          <w:trHeight w:val="161"/>
        </w:trPr>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gridSpan w:val="3"/>
          </w:tcPr>
          <w:p>
            <w:pPr>
              <w:ind w:left="640"/>
              <w:spacing w:after="0"/>
              <w:rPr>
                <w:sz w:val="20"/>
                <w:szCs w:val="20"/>
                <w:color w:val="auto"/>
              </w:rPr>
            </w:pPr>
            <w:r>
              <w:rPr>
                <w:rFonts w:ascii="Arial" w:cs="Arial" w:eastAsia="Arial" w:hAnsi="Arial"/>
                <w:sz w:val="13"/>
                <w:szCs w:val="13"/>
                <w:color w:val="auto"/>
              </w:rPr>
              <w:t>EXHIBIT INDEX</w:t>
            </w:r>
          </w:p>
        </w:tc>
      </w:tr>
      <w:tr>
        <w:trPr>
          <w:trHeight w:val="262"/>
        </w:trPr>
        <w:tc>
          <w:tcPr>
            <w:tcW w:w="400" w:type="dxa"/>
            <w:vAlign w:val="bottom"/>
          </w:tcPr>
          <w:p>
            <w:pPr>
              <w:spacing w:after="0"/>
              <w:rPr>
                <w:sz w:val="20"/>
                <w:szCs w:val="20"/>
                <w:color w:val="auto"/>
              </w:rPr>
            </w:pPr>
            <w:r>
              <w:rPr>
                <w:rFonts w:ascii="Arial" w:cs="Arial" w:eastAsia="Arial" w:hAnsi="Arial"/>
                <w:sz w:val="10"/>
                <w:szCs w:val="10"/>
                <w:color w:val="auto"/>
                <w:w w:val="97"/>
              </w:rPr>
              <w:t>EXHIBIT</w:t>
            </w:r>
          </w:p>
        </w:tc>
        <w:tc>
          <w:tcPr>
            <w:tcW w:w="4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r>
      <w:tr>
        <w:trPr>
          <w:trHeight w:val="117"/>
        </w:trPr>
        <w:tc>
          <w:tcPr>
            <w:tcW w:w="400" w:type="dxa"/>
            <w:vAlign w:val="bottom"/>
            <w:tcBorders>
              <w:bottom w:val="single" w:sz="8" w:color="auto"/>
            </w:tcBorders>
          </w:tcPr>
          <w:p>
            <w:pPr>
              <w:ind w:left="120"/>
              <w:spacing w:after="0"/>
              <w:rPr>
                <w:sz w:val="20"/>
                <w:szCs w:val="20"/>
                <w:color w:val="auto"/>
              </w:rPr>
            </w:pPr>
            <w:r>
              <w:rPr>
                <w:rFonts w:ascii="Arial" w:cs="Arial" w:eastAsia="Arial" w:hAnsi="Arial"/>
                <w:sz w:val="10"/>
                <w:szCs w:val="10"/>
                <w:color w:val="auto"/>
              </w:rPr>
              <w:t>NO.</w:t>
            </w:r>
          </w:p>
        </w:tc>
        <w:tc>
          <w:tcPr>
            <w:tcW w:w="4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93"/>
              </w:rPr>
              <w:t>DESCRIPTION</w:t>
            </w:r>
          </w:p>
        </w:tc>
      </w:tr>
      <w:tr>
        <w:trPr>
          <w:trHeight w:val="188"/>
        </w:trPr>
        <w:tc>
          <w:tcPr>
            <w:tcW w:w="400" w:type="dxa"/>
            <w:vAlign w:val="bottom"/>
          </w:tcPr>
          <w:p>
            <w:pPr>
              <w:spacing w:after="0"/>
              <w:rPr>
                <w:sz w:val="20"/>
                <w:szCs w:val="20"/>
                <w:color w:val="auto"/>
              </w:rPr>
            </w:pPr>
            <w:r>
              <w:rPr>
                <w:rFonts w:ascii="Arial" w:cs="Arial" w:eastAsia="Arial" w:hAnsi="Arial"/>
                <w:sz w:val="13"/>
                <w:szCs w:val="13"/>
                <w:color w:val="auto"/>
              </w:rPr>
              <w:t>99.1</w:t>
            </w:r>
          </w:p>
        </w:tc>
        <w:tc>
          <w:tcPr>
            <w:tcW w:w="460" w:type="dxa"/>
            <w:vAlign w:val="bottom"/>
          </w:tcPr>
          <w:p>
            <w:pPr>
              <w:spacing w:after="0"/>
              <w:rPr>
                <w:sz w:val="16"/>
                <w:szCs w:val="16"/>
                <w:color w:val="auto"/>
              </w:rPr>
            </w:pPr>
          </w:p>
        </w:tc>
        <w:tc>
          <w:tcPr>
            <w:tcW w:w="2640" w:type="dxa"/>
            <w:vAlign w:val="bottom"/>
            <w:tcBorders>
              <w:bottom w:val="single" w:sz="8" w:color="0000EE"/>
            </w:tcBorders>
            <w:gridSpan w:val="2"/>
          </w:tcPr>
          <w:p>
            <w:pPr>
              <w:spacing w:after="0"/>
              <w:rPr>
                <w:rFonts w:ascii="Arial" w:cs="Arial" w:eastAsia="Arial" w:hAnsi="Arial"/>
                <w:sz w:val="13"/>
                <w:szCs w:val="13"/>
                <w:color w:val="0000EE"/>
                <w:w w:val="86"/>
              </w:rPr>
            </w:pPr>
            <w:hyperlink w:anchor="page4">
              <w:r>
                <w:rPr>
                  <w:rFonts w:ascii="Arial" w:cs="Arial" w:eastAsia="Arial" w:hAnsi="Arial"/>
                  <w:sz w:val="13"/>
                  <w:szCs w:val="13"/>
                  <w:color w:val="0000EE"/>
                  <w:w w:val="86"/>
                </w:rPr>
                <w:t>Amdocs Limited Press Release dated May 11, 2022.</w:t>
              </w:r>
            </w:hyperlink>
          </w:p>
        </w:tc>
        <w:tc>
          <w:tcPr>
            <w:tcW w:w="1120" w:type="dxa"/>
            <w:vAlign w:val="bottom"/>
            <w:gridSpan w:val="2"/>
          </w:tcPr>
          <w:p>
            <w:pPr>
              <w:spacing w:after="0"/>
              <w:rPr>
                <w:sz w:val="16"/>
                <w:szCs w:val="16"/>
                <w:color w:val="auto"/>
              </w:rPr>
            </w:pPr>
          </w:p>
        </w:tc>
      </w:tr>
      <w:tr>
        <w:trPr>
          <w:trHeight w:val="207"/>
        </w:trPr>
        <w:tc>
          <w:tcPr>
            <w:tcW w:w="400" w:type="dxa"/>
            <w:vAlign w:val="bottom"/>
          </w:tcPr>
          <w:p>
            <w:pPr>
              <w:spacing w:after="0"/>
              <w:rPr>
                <w:sz w:val="20"/>
                <w:szCs w:val="20"/>
                <w:color w:val="auto"/>
              </w:rPr>
            </w:pPr>
            <w:r>
              <w:rPr>
                <w:rFonts w:ascii="Arial" w:cs="Arial" w:eastAsia="Arial" w:hAnsi="Arial"/>
                <w:sz w:val="13"/>
                <w:szCs w:val="13"/>
                <w:color w:val="auto"/>
              </w:rPr>
              <w:t>99.2</w:t>
            </w:r>
          </w:p>
        </w:tc>
        <w:tc>
          <w:tcPr>
            <w:tcW w:w="460" w:type="dxa"/>
            <w:vAlign w:val="bottom"/>
          </w:tcPr>
          <w:p>
            <w:pPr>
              <w:spacing w:after="0"/>
              <w:rPr>
                <w:sz w:val="18"/>
                <w:szCs w:val="18"/>
                <w:color w:val="auto"/>
              </w:rPr>
            </w:pPr>
          </w:p>
        </w:tc>
        <w:tc>
          <w:tcPr>
            <w:tcW w:w="1900" w:type="dxa"/>
            <w:vAlign w:val="bottom"/>
            <w:tcBorders>
              <w:bottom w:val="single" w:sz="8" w:color="0000EE"/>
            </w:tcBorders>
          </w:tcPr>
          <w:p>
            <w:pPr>
              <w:spacing w:after="0"/>
              <w:rPr>
                <w:rFonts w:ascii="Arial" w:cs="Arial" w:eastAsia="Arial" w:hAnsi="Arial"/>
                <w:sz w:val="13"/>
                <w:szCs w:val="13"/>
                <w:color w:val="0000EE"/>
                <w:w w:val="85"/>
              </w:rPr>
            </w:pPr>
            <w:hyperlink w:anchor="page21">
              <w:r>
                <w:rPr>
                  <w:rFonts w:ascii="Arial" w:cs="Arial" w:eastAsia="Arial" w:hAnsi="Arial"/>
                  <w:sz w:val="13"/>
                  <w:szCs w:val="13"/>
                  <w:color w:val="0000EE"/>
                  <w:w w:val="85"/>
                </w:rPr>
                <w:t>Fiscal Q2 2022 Earnings Presentation</w:t>
              </w:r>
            </w:hyperlink>
          </w:p>
        </w:tc>
        <w:tc>
          <w:tcPr>
            <w:tcW w:w="1860" w:type="dxa"/>
            <w:vAlign w:val="bottom"/>
            <w:gridSpan w:val="3"/>
          </w:tcPr>
          <w:p>
            <w:pPr>
              <w:spacing w:after="0"/>
              <w:rPr>
                <w:sz w:val="18"/>
                <w:szCs w:val="18"/>
                <w:color w:val="auto"/>
              </w:rPr>
            </w:pPr>
          </w:p>
        </w:tc>
      </w:tr>
    </w:tbl>
    <w:p>
      <w:pPr>
        <w:spacing w:after="0"/>
        <w:rPr>
          <w:sz w:val="20"/>
          <w:szCs w:val="20"/>
          <w:color w:val="auto"/>
        </w:rPr>
        <w:sectPr>
          <w:pgSz w:w="11900" w:h="16838" w:orient="portrait"/>
          <w:cols w:equalWidth="0" w:num="1">
            <w:col w:w="9019"/>
          </w:cols>
          <w:pgMar w:left="1440" w:top="235"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3" w:name="page4"/>
    <w:bookmarkEnd w:id="3"/>
    <w:p>
      <w:pPr>
        <w:jc w:val="right"/>
        <w:ind w:right="639"/>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501015</wp:posOffset>
            </wp:positionH>
            <wp:positionV relativeFrom="paragraph">
              <wp:posOffset>118110</wp:posOffset>
            </wp:positionV>
            <wp:extent cx="4723765" cy="1107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23765" cy="1107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Amdocs Limited Reports Second Quarter Fiscal 2022 Results</w:t>
      </w:r>
    </w:p>
    <w:p>
      <w:pPr>
        <w:spacing w:after="0" w:line="230" w:lineRule="exact"/>
        <w:rPr>
          <w:sz w:val="20"/>
          <w:szCs w:val="20"/>
          <w:color w:val="auto"/>
        </w:rPr>
      </w:pPr>
    </w:p>
    <w:p>
      <w:pPr>
        <w:jc w:val="center"/>
        <w:ind w:left="637" w:right="657"/>
        <w:spacing w:after="0" w:line="252" w:lineRule="auto"/>
        <w:rPr>
          <w:sz w:val="20"/>
          <w:szCs w:val="20"/>
          <w:color w:val="auto"/>
        </w:rPr>
      </w:pPr>
      <w:r>
        <w:rPr>
          <w:rFonts w:ascii="Arial" w:cs="Arial" w:eastAsia="Arial" w:hAnsi="Arial"/>
          <w:sz w:val="13"/>
          <w:szCs w:val="13"/>
          <w:i w:val="1"/>
          <w:iCs w:val="1"/>
          <w:color w:val="auto"/>
        </w:rPr>
        <w:t>Record Quarterly Revenue of $1.15 Billion, up 9.2% YoY as Reported and up 10.1% YoY in Constant Currency</w:t>
      </w:r>
      <w:r>
        <w:rPr>
          <w:rFonts w:ascii="Arial" w:cs="Arial" w:eastAsia="Arial" w:hAnsi="Arial"/>
          <w:sz w:val="10"/>
          <w:szCs w:val="10"/>
          <w:i w:val="1"/>
          <w:iCs w:val="1"/>
          <w:color w:val="auto"/>
        </w:rPr>
        <w:t>(3)</w:t>
      </w:r>
      <w:r>
        <w:rPr>
          <w:rFonts w:ascii="Arial" w:cs="Arial" w:eastAsia="Arial" w:hAnsi="Arial"/>
          <w:sz w:val="13"/>
          <w:szCs w:val="13"/>
          <w:i w:val="1"/>
          <w:iCs w:val="1"/>
          <w:color w:val="auto"/>
        </w:rPr>
        <w:t xml:space="preserve"> Strong Sales Momentum &amp; Record 12-Month Backlog of $3.89 Billion, up 9.9% YoY Tracking in Line with the High End of Fiscal 2022 Revenue Growth Outlook</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Second Quarter Fiscal 2022 Highlights</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(All comparisons are against the prior year)</w:t>
      </w:r>
    </w:p>
    <w:p>
      <w:pPr>
        <w:spacing w:after="0" w:line="87" w:lineRule="exact"/>
        <w:rPr>
          <w:sz w:val="20"/>
          <w:szCs w:val="20"/>
          <w:color w:val="auto"/>
        </w:rPr>
      </w:pPr>
    </w:p>
    <w:p>
      <w:pPr>
        <w:ind w:left="1320" w:right="859" w:hanging="303"/>
        <w:spacing w:after="0" w:line="261" w:lineRule="auto"/>
        <w:tabs>
          <w:tab w:leader="none" w:pos="1320" w:val="left"/>
        </w:tabs>
        <w:numPr>
          <w:ilvl w:val="1"/>
          <w:numId w:val="1"/>
        </w:numPr>
        <w:rPr>
          <w:rFonts w:ascii="Arial" w:cs="Arial" w:eastAsia="Arial" w:hAnsi="Arial"/>
          <w:sz w:val="13"/>
          <w:szCs w:val="13"/>
          <w:color w:val="auto"/>
        </w:rPr>
      </w:pPr>
      <w:r>
        <w:rPr>
          <w:rFonts w:ascii="Arial" w:cs="Arial" w:eastAsia="Arial" w:hAnsi="Arial"/>
          <w:sz w:val="13"/>
          <w:szCs w:val="13"/>
          <w:color w:val="auto"/>
        </w:rPr>
        <w:t>Tracking in line with the high end of fiscal 2022 revenue growth outlook of 5.2% -7.2% as reported and 8.0% -10.0% on a pro forma</w:t>
      </w:r>
      <w:r>
        <w:rPr>
          <w:rFonts w:ascii="Arial" w:cs="Arial" w:eastAsia="Arial" w:hAnsi="Arial"/>
          <w:sz w:val="10"/>
          <w:szCs w:val="10"/>
          <w:color w:val="auto"/>
        </w:rPr>
        <w:t>(2)</w:t>
      </w:r>
      <w:r>
        <w:rPr>
          <w:rFonts w:ascii="Arial" w:cs="Arial" w:eastAsia="Arial" w:hAnsi="Arial"/>
          <w:sz w:val="13"/>
          <w:szCs w:val="13"/>
          <w:color w:val="auto"/>
        </w:rPr>
        <w:t xml:space="preserve"> and constant currency</w:t>
      </w:r>
      <w:r>
        <w:rPr>
          <w:rFonts w:ascii="Arial" w:cs="Arial" w:eastAsia="Arial" w:hAnsi="Arial"/>
          <w:sz w:val="10"/>
          <w:szCs w:val="10"/>
          <w:color w:val="auto"/>
        </w:rPr>
        <w:t>(3)</w:t>
      </w:r>
      <w:r>
        <w:rPr>
          <w:rFonts w:ascii="Arial" w:cs="Arial" w:eastAsia="Arial" w:hAnsi="Arial"/>
          <w:sz w:val="13"/>
          <w:szCs w:val="13"/>
          <w:color w:val="auto"/>
        </w:rPr>
        <w:t xml:space="preserve"> basis</w:t>
      </w:r>
    </w:p>
    <w:p>
      <w:pPr>
        <w:spacing w:after="0" w:line="63" w:lineRule="exact"/>
        <w:rPr>
          <w:rFonts w:ascii="Arial" w:cs="Arial" w:eastAsia="Arial" w:hAnsi="Arial"/>
          <w:sz w:val="13"/>
          <w:szCs w:val="13"/>
          <w:color w:val="auto"/>
        </w:rPr>
      </w:pPr>
    </w:p>
    <w:p>
      <w:pPr>
        <w:ind w:left="1320" w:right="1159" w:hanging="303"/>
        <w:spacing w:after="0" w:line="261" w:lineRule="auto"/>
        <w:tabs>
          <w:tab w:leader="none" w:pos="1320" w:val="left"/>
        </w:tabs>
        <w:numPr>
          <w:ilvl w:val="1"/>
          <w:numId w:val="1"/>
        </w:numPr>
        <w:rPr>
          <w:rFonts w:ascii="Arial" w:cs="Arial" w:eastAsia="Arial" w:hAnsi="Arial"/>
          <w:sz w:val="13"/>
          <w:szCs w:val="13"/>
          <w:color w:val="auto"/>
        </w:rPr>
      </w:pPr>
      <w:r>
        <w:rPr>
          <w:rFonts w:ascii="Arial" w:cs="Arial" w:eastAsia="Arial" w:hAnsi="Arial"/>
          <w:sz w:val="13"/>
          <w:szCs w:val="13"/>
          <w:color w:val="auto"/>
        </w:rPr>
        <w:t>Tracking in line with the high end of fiscal 2022 adjusted GAAP diluted EPS growth</w:t>
      </w:r>
      <w:r>
        <w:rPr>
          <w:rFonts w:ascii="Arial" w:cs="Arial" w:eastAsia="Arial" w:hAnsi="Arial"/>
          <w:sz w:val="10"/>
          <w:szCs w:val="10"/>
          <w:color w:val="auto"/>
        </w:rPr>
        <w:t>(4)</w:t>
      </w:r>
      <w:r>
        <w:rPr>
          <w:rFonts w:ascii="Arial" w:cs="Arial" w:eastAsia="Arial" w:hAnsi="Arial"/>
          <w:sz w:val="13"/>
          <w:szCs w:val="13"/>
          <w:color w:val="auto"/>
        </w:rPr>
        <w:t xml:space="preserve"> outlook of 7.5% -12.5% and pro forma</w:t>
      </w:r>
      <w:r>
        <w:rPr>
          <w:rFonts w:ascii="Arial" w:cs="Arial" w:eastAsia="Arial" w:hAnsi="Arial"/>
          <w:sz w:val="10"/>
          <w:szCs w:val="10"/>
          <w:color w:val="auto"/>
        </w:rPr>
        <w:t>(2)</w:t>
      </w:r>
      <w:r>
        <w:rPr>
          <w:rFonts w:ascii="Arial" w:cs="Arial" w:eastAsia="Arial" w:hAnsi="Arial"/>
          <w:sz w:val="13"/>
          <w:szCs w:val="13"/>
          <w:color w:val="auto"/>
        </w:rPr>
        <w:t xml:space="preserve"> non-GAAP diluted EPS growth outlook of 9.0% -12.0%</w:t>
      </w:r>
    </w:p>
    <w:p>
      <w:pPr>
        <w:spacing w:after="0" w:line="63" w:lineRule="exact"/>
        <w:rPr>
          <w:rFonts w:ascii="Arial" w:cs="Arial" w:eastAsia="Arial" w:hAnsi="Arial"/>
          <w:sz w:val="13"/>
          <w:szCs w:val="13"/>
          <w:color w:val="auto"/>
        </w:rPr>
      </w:pPr>
    </w:p>
    <w:p>
      <w:pPr>
        <w:ind w:left="1320" w:right="719" w:hanging="303"/>
        <w:spacing w:after="0" w:line="261" w:lineRule="auto"/>
        <w:tabs>
          <w:tab w:leader="none" w:pos="1320" w:val="left"/>
        </w:tabs>
        <w:numPr>
          <w:ilvl w:val="1"/>
          <w:numId w:val="1"/>
        </w:numPr>
        <w:rPr>
          <w:rFonts w:ascii="Arial" w:cs="Arial" w:eastAsia="Arial" w:hAnsi="Arial"/>
          <w:sz w:val="13"/>
          <w:szCs w:val="13"/>
          <w:color w:val="auto"/>
        </w:rPr>
      </w:pPr>
      <w:r>
        <w:rPr>
          <w:rFonts w:ascii="Arial" w:cs="Arial" w:eastAsia="Arial" w:hAnsi="Arial"/>
          <w:sz w:val="13"/>
          <w:szCs w:val="13"/>
          <w:color w:val="auto"/>
        </w:rPr>
        <w:t>Record revenue of $1,145 million, up 9.2% as reported and up 10.1% in constant currency</w:t>
      </w:r>
      <w:r>
        <w:rPr>
          <w:rFonts w:ascii="Arial" w:cs="Arial" w:eastAsia="Arial" w:hAnsi="Arial"/>
          <w:sz w:val="10"/>
          <w:szCs w:val="10"/>
          <w:color w:val="auto"/>
        </w:rPr>
        <w:t>(3)</w:t>
      </w:r>
      <w:r>
        <w:rPr>
          <w:rFonts w:ascii="Arial" w:cs="Arial" w:eastAsia="Arial" w:hAnsi="Arial"/>
          <w:sz w:val="13"/>
          <w:szCs w:val="13"/>
          <w:color w:val="auto"/>
        </w:rPr>
        <w:t>; revenue growth has exceeded 10% for three consecutive quarters on a pro forma</w:t>
      </w:r>
      <w:r>
        <w:rPr>
          <w:rFonts w:ascii="Arial" w:cs="Arial" w:eastAsia="Arial" w:hAnsi="Arial"/>
          <w:sz w:val="10"/>
          <w:szCs w:val="10"/>
          <w:color w:val="auto"/>
        </w:rPr>
        <w:t>(2)</w:t>
      </w:r>
      <w:r>
        <w:rPr>
          <w:rFonts w:ascii="Arial" w:cs="Arial" w:eastAsia="Arial" w:hAnsi="Arial"/>
          <w:sz w:val="13"/>
          <w:szCs w:val="13"/>
          <w:color w:val="auto"/>
        </w:rPr>
        <w:t xml:space="preserve"> and constant currency</w:t>
      </w:r>
      <w:r>
        <w:rPr>
          <w:rFonts w:ascii="Arial" w:cs="Arial" w:eastAsia="Arial" w:hAnsi="Arial"/>
          <w:sz w:val="10"/>
          <w:szCs w:val="10"/>
          <w:color w:val="auto"/>
        </w:rPr>
        <w:t>(3)</w:t>
      </w:r>
      <w:r>
        <w:rPr>
          <w:rFonts w:ascii="Arial" w:cs="Arial" w:eastAsia="Arial" w:hAnsi="Arial"/>
          <w:sz w:val="13"/>
          <w:szCs w:val="13"/>
          <w:color w:val="auto"/>
        </w:rPr>
        <w:t xml:space="preserve"> basis</w:t>
      </w:r>
    </w:p>
    <w:p>
      <w:pPr>
        <w:spacing w:after="0" w:line="63" w:lineRule="exact"/>
        <w:rPr>
          <w:rFonts w:ascii="Arial" w:cs="Arial" w:eastAsia="Arial" w:hAnsi="Arial"/>
          <w:sz w:val="13"/>
          <w:szCs w:val="13"/>
          <w:color w:val="auto"/>
        </w:rPr>
      </w:pPr>
    </w:p>
    <w:p>
      <w:pPr>
        <w:ind w:left="1320" w:hanging="303"/>
        <w:spacing w:after="0"/>
        <w:tabs>
          <w:tab w:leader="none" w:pos="1320" w:val="left"/>
        </w:tabs>
        <w:numPr>
          <w:ilvl w:val="1"/>
          <w:numId w:val="1"/>
        </w:numPr>
        <w:rPr>
          <w:rFonts w:ascii="Arial" w:cs="Arial" w:eastAsia="Arial" w:hAnsi="Arial"/>
          <w:sz w:val="13"/>
          <w:szCs w:val="13"/>
          <w:color w:val="auto"/>
        </w:rPr>
      </w:pPr>
      <w:r>
        <w:rPr>
          <w:rFonts w:ascii="Arial" w:cs="Arial" w:eastAsia="Arial" w:hAnsi="Arial"/>
          <w:sz w:val="13"/>
          <w:szCs w:val="13"/>
          <w:color w:val="auto"/>
        </w:rPr>
        <w:t>Record revenue of $772 million in North America, up 13.7%</w:t>
      </w:r>
    </w:p>
    <w:p>
      <w:pPr>
        <w:spacing w:after="0" w:line="87" w:lineRule="exact"/>
        <w:rPr>
          <w:rFonts w:ascii="Arial" w:cs="Arial" w:eastAsia="Arial" w:hAnsi="Arial"/>
          <w:sz w:val="13"/>
          <w:szCs w:val="13"/>
          <w:color w:val="auto"/>
        </w:rPr>
      </w:pPr>
    </w:p>
    <w:p>
      <w:pPr>
        <w:ind w:left="1320" w:right="739" w:hanging="303"/>
        <w:spacing w:after="0" w:line="261" w:lineRule="auto"/>
        <w:tabs>
          <w:tab w:leader="none" w:pos="1320" w:val="left"/>
        </w:tabs>
        <w:numPr>
          <w:ilvl w:val="1"/>
          <w:numId w:val="1"/>
        </w:numPr>
        <w:rPr>
          <w:rFonts w:ascii="Arial" w:cs="Arial" w:eastAsia="Arial" w:hAnsi="Arial"/>
          <w:sz w:val="13"/>
          <w:szCs w:val="13"/>
          <w:color w:val="auto"/>
        </w:rPr>
      </w:pPr>
      <w:r>
        <w:rPr>
          <w:rFonts w:ascii="Arial" w:cs="Arial" w:eastAsia="Arial" w:hAnsi="Arial"/>
          <w:sz w:val="13"/>
          <w:szCs w:val="13"/>
          <w:color w:val="auto"/>
        </w:rPr>
        <w:t>GAAP diluted EPS of $1.28, above the $0.96 -$1.04 guidance range, primarily due to a lower GAAP effective tax rate than anticipated in quarterly guidance</w:t>
      </w:r>
      <w:r>
        <w:rPr>
          <w:rFonts w:ascii="Arial" w:cs="Arial" w:eastAsia="Arial" w:hAnsi="Arial"/>
          <w:sz w:val="10"/>
          <w:szCs w:val="10"/>
          <w:color w:val="auto"/>
        </w:rPr>
        <w:t>(5)</w:t>
      </w:r>
    </w:p>
    <w:p>
      <w:pPr>
        <w:spacing w:after="0" w:line="63" w:lineRule="exact"/>
        <w:rPr>
          <w:rFonts w:ascii="Arial" w:cs="Arial" w:eastAsia="Arial" w:hAnsi="Arial"/>
          <w:sz w:val="13"/>
          <w:szCs w:val="13"/>
          <w:color w:val="auto"/>
        </w:rPr>
      </w:pPr>
    </w:p>
    <w:p>
      <w:pPr>
        <w:ind w:left="1320" w:right="979" w:hanging="303"/>
        <w:spacing w:after="0" w:line="261" w:lineRule="auto"/>
        <w:tabs>
          <w:tab w:leader="none" w:pos="1320" w:val="left"/>
        </w:tabs>
        <w:numPr>
          <w:ilvl w:val="1"/>
          <w:numId w:val="1"/>
        </w:numPr>
        <w:rPr>
          <w:rFonts w:ascii="Arial" w:cs="Arial" w:eastAsia="Arial" w:hAnsi="Arial"/>
          <w:sz w:val="13"/>
          <w:szCs w:val="13"/>
          <w:color w:val="auto"/>
        </w:rPr>
      </w:pPr>
      <w:r>
        <w:rPr>
          <w:rFonts w:ascii="Arial" w:cs="Arial" w:eastAsia="Arial" w:hAnsi="Arial"/>
          <w:sz w:val="13"/>
          <w:szCs w:val="13"/>
          <w:color w:val="auto"/>
        </w:rPr>
        <w:t>Non-GAAP diluted EPS of $1.54, above the $1.22 -$1.28 guidance range, primarily due to a lower non-GAAP effective tax rate than anticipated in quarterly guidance</w:t>
      </w:r>
      <w:r>
        <w:rPr>
          <w:rFonts w:ascii="Arial" w:cs="Arial" w:eastAsia="Arial" w:hAnsi="Arial"/>
          <w:sz w:val="10"/>
          <w:szCs w:val="10"/>
          <w:color w:val="auto"/>
        </w:rPr>
        <w:t>(5)</w:t>
      </w:r>
    </w:p>
    <w:p>
      <w:pPr>
        <w:spacing w:after="0" w:line="63" w:lineRule="exact"/>
        <w:rPr>
          <w:rFonts w:ascii="Arial" w:cs="Arial" w:eastAsia="Arial" w:hAnsi="Arial"/>
          <w:sz w:val="13"/>
          <w:szCs w:val="13"/>
          <w:color w:val="auto"/>
        </w:rPr>
      </w:pPr>
    </w:p>
    <w:p>
      <w:pPr>
        <w:ind w:left="1320" w:hanging="303"/>
        <w:spacing w:after="0"/>
        <w:tabs>
          <w:tab w:leader="none" w:pos="1320" w:val="left"/>
        </w:tabs>
        <w:numPr>
          <w:ilvl w:val="1"/>
          <w:numId w:val="1"/>
        </w:numPr>
        <w:rPr>
          <w:rFonts w:ascii="Arial" w:cs="Arial" w:eastAsia="Arial" w:hAnsi="Arial"/>
          <w:sz w:val="13"/>
          <w:szCs w:val="13"/>
          <w:color w:val="auto"/>
        </w:rPr>
      </w:pPr>
      <w:r>
        <w:rPr>
          <w:rFonts w:ascii="Arial" w:cs="Arial" w:eastAsia="Arial" w:hAnsi="Arial"/>
          <w:sz w:val="13"/>
          <w:szCs w:val="13"/>
          <w:color w:val="auto"/>
        </w:rPr>
        <w:t>GAAP operating income of $164 million; GAAP operating margin of 14.3%</w:t>
      </w:r>
    </w:p>
    <w:p>
      <w:pPr>
        <w:spacing w:after="0" w:line="172" w:lineRule="exact"/>
        <w:rPr>
          <w:rFonts w:ascii="Arial" w:cs="Arial" w:eastAsia="Arial" w:hAnsi="Arial"/>
          <w:sz w:val="13"/>
          <w:szCs w:val="13"/>
          <w:color w:val="auto"/>
        </w:rPr>
      </w:pPr>
    </w:p>
    <w:p>
      <w:pPr>
        <w:ind w:left="940" w:hanging="303"/>
        <w:spacing w:after="0"/>
        <w:tabs>
          <w:tab w:leader="none" w:pos="940" w:val="left"/>
        </w:tabs>
        <w:numPr>
          <w:ilvl w:val="0"/>
          <w:numId w:val="1"/>
        </w:numPr>
        <w:rPr>
          <w:rFonts w:ascii="Arial" w:cs="Arial" w:eastAsia="Arial" w:hAnsi="Arial"/>
          <w:sz w:val="13"/>
          <w:szCs w:val="13"/>
          <w:color w:val="auto"/>
        </w:rPr>
      </w:pPr>
      <w:r>
        <w:rPr>
          <w:rFonts w:ascii="Arial" w:cs="Arial" w:eastAsia="Arial" w:hAnsi="Arial"/>
          <w:sz w:val="13"/>
          <w:szCs w:val="13"/>
          <w:color w:val="auto"/>
        </w:rPr>
        <w:t>Please refer to the Selected Financial Metrics tables below (figures may not sum because of rounding).</w:t>
      </w:r>
    </w:p>
    <w:p>
      <w:pPr>
        <w:spacing w:after="0" w:line="11" w:lineRule="exact"/>
        <w:rPr>
          <w:rFonts w:ascii="Arial" w:cs="Arial" w:eastAsia="Arial" w:hAnsi="Arial"/>
          <w:sz w:val="13"/>
          <w:szCs w:val="13"/>
          <w:color w:val="auto"/>
        </w:rPr>
      </w:pPr>
    </w:p>
    <w:p>
      <w:pPr>
        <w:ind w:left="940" w:hanging="303"/>
        <w:spacing w:after="0"/>
        <w:tabs>
          <w:tab w:leader="none" w:pos="940" w:val="left"/>
        </w:tabs>
        <w:numPr>
          <w:ilvl w:val="0"/>
          <w:numId w:val="1"/>
        </w:numPr>
        <w:rPr>
          <w:rFonts w:ascii="Arial" w:cs="Arial" w:eastAsia="Arial" w:hAnsi="Arial"/>
          <w:sz w:val="12"/>
          <w:szCs w:val="12"/>
          <w:color w:val="auto"/>
        </w:rPr>
      </w:pPr>
      <w:r>
        <w:rPr>
          <w:rFonts w:ascii="Arial" w:cs="Arial" w:eastAsia="Arial" w:hAnsi="Arial"/>
          <w:sz w:val="12"/>
          <w:szCs w:val="12"/>
          <w:color w:val="auto"/>
        </w:rPr>
        <w:t>Pro forma growth rate excludes the financial impact of OpenMarket (which was divested on December 31, 2020) from fiscal year 2021</w:t>
      </w:r>
    </w:p>
    <w:p>
      <w:pPr>
        <w:spacing w:after="0" w:line="13" w:lineRule="exact"/>
        <w:rPr>
          <w:rFonts w:ascii="Arial" w:cs="Arial" w:eastAsia="Arial" w:hAnsi="Arial"/>
          <w:sz w:val="12"/>
          <w:szCs w:val="12"/>
          <w:color w:val="auto"/>
        </w:rPr>
      </w:pPr>
    </w:p>
    <w:p>
      <w:pPr>
        <w:ind w:left="940" w:hanging="303"/>
        <w:spacing w:after="0"/>
        <w:tabs>
          <w:tab w:leader="none" w:pos="9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Revenue on a constant currency basis assumes exchange rates in the current period were unchanged from the prior period</w:t>
      </w:r>
    </w:p>
    <w:p>
      <w:pPr>
        <w:spacing w:after="0" w:line="2" w:lineRule="exact"/>
        <w:rPr>
          <w:rFonts w:ascii="Arial" w:cs="Arial" w:eastAsia="Arial" w:hAnsi="Arial"/>
          <w:sz w:val="13"/>
          <w:szCs w:val="13"/>
          <w:color w:val="auto"/>
        </w:rPr>
      </w:pPr>
    </w:p>
    <w:p>
      <w:pPr>
        <w:ind w:left="940" w:right="879" w:hanging="303"/>
        <w:spacing w:after="0" w:line="263" w:lineRule="auto"/>
        <w:tabs>
          <w:tab w:leader="none" w:pos="940" w:val="left"/>
        </w:tabs>
        <w:numPr>
          <w:ilvl w:val="0"/>
          <w:numId w:val="1"/>
        </w:numPr>
        <w:rPr>
          <w:rFonts w:ascii="Arial" w:cs="Arial" w:eastAsia="Arial" w:hAnsi="Arial"/>
          <w:sz w:val="12"/>
          <w:szCs w:val="12"/>
          <w:color w:val="auto"/>
        </w:rPr>
      </w:pPr>
      <w:r>
        <w:rPr>
          <w:rFonts w:ascii="Arial" w:cs="Arial" w:eastAsia="Arial" w:hAnsi="Arial"/>
          <w:sz w:val="12"/>
          <w:szCs w:val="12"/>
          <w:color w:val="auto"/>
        </w:rPr>
        <w:t>Adjusted GAAP excludes the gain from the sale of OpenMarket, which was divested on December 31, 2020, from the current and comparable fiscal years; fiscal 2022 GAAP diluted EPS growth outlook is expected to be (20.5)%-(17.0)% on a non-adjusted basis</w:t>
      </w:r>
    </w:p>
    <w:p>
      <w:pPr>
        <w:ind w:left="940" w:right="739" w:hanging="303"/>
        <w:spacing w:after="0" w:line="244" w:lineRule="auto"/>
        <w:tabs>
          <w:tab w:leader="none" w:pos="9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Effective tax rate on a GAAP and non-GAAP basis in the second quarter fiscal 2022 was lower than anticipated in quarterly guidance primarily due to the release of tax reserves connected with funding decisions for the construction of the new Israel campus. This tax benefit was among the scenarios contemplated in non-GAAP effective tax rate guidance for the full fiscal year 2022, which is still anticipated to be within a range of 13.0% to 17.0%.</w:t>
      </w:r>
    </w:p>
    <w:p>
      <w:pPr>
        <w:sectPr>
          <w:pgSz w:w="11900" w:h="16838" w:orient="portrait"/>
          <w:cols w:equalWidth="0" w:num="1">
            <w:col w:w="9019"/>
          </w:cols>
          <w:pgMar w:left="1440" w:top="127" w:right="1440" w:bottom="1440" w:gutter="0" w:footer="0" w:header="0"/>
        </w:sectPr>
      </w:pPr>
    </w:p>
    <w:bookmarkStart w:id="4" w:name="page5"/>
    <w:bookmarkEnd w:id="4"/>
    <w:p>
      <w:pPr>
        <w:ind w:left="1320" w:right="799" w:hanging="303"/>
        <w:spacing w:after="0" w:line="261" w:lineRule="auto"/>
        <w:tabs>
          <w:tab w:leader="none" w:pos="1320" w:val="left"/>
        </w:tabs>
        <w:numPr>
          <w:ilvl w:val="0"/>
          <w:numId w:val="2"/>
        </w:numPr>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Non-GAAP operating income of $202 million; non-GAAP operating margin of 17.6%, up 10 basis points sequentially and unchanged as compared to last year’s second fiscal quarter while accelerating R&amp;D investments</w:t>
      </w:r>
    </w:p>
    <w:p>
      <w:pPr>
        <w:spacing w:after="0" w:line="63" w:lineRule="exact"/>
        <w:rPr>
          <w:rFonts w:ascii="Arial" w:cs="Arial" w:eastAsia="Arial" w:hAnsi="Arial"/>
          <w:sz w:val="13"/>
          <w:szCs w:val="13"/>
          <w:color w:val="auto"/>
        </w:rPr>
      </w:pPr>
    </w:p>
    <w:p>
      <w:pPr>
        <w:ind w:left="1320" w:right="979" w:hanging="303"/>
        <w:spacing w:after="0" w:line="261" w:lineRule="auto"/>
        <w:tabs>
          <w:tab w:leader="none" w:pos="1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Free cash flow of $122 million, reflecting healthy cash collections, and comprised of cash flow from operations of $169 million, less $47 million in net capital expenditures and other</w:t>
      </w:r>
      <w:r>
        <w:rPr>
          <w:rFonts w:ascii="Arial" w:cs="Arial" w:eastAsia="Arial" w:hAnsi="Arial"/>
          <w:sz w:val="10"/>
          <w:szCs w:val="10"/>
          <w:color w:val="auto"/>
        </w:rPr>
        <w:t>(1)</w:t>
      </w:r>
    </w:p>
    <w:p>
      <w:pPr>
        <w:spacing w:after="0" w:line="63" w:lineRule="exact"/>
        <w:rPr>
          <w:rFonts w:ascii="Arial" w:cs="Arial" w:eastAsia="Arial" w:hAnsi="Arial"/>
          <w:sz w:val="13"/>
          <w:szCs w:val="13"/>
          <w:color w:val="auto"/>
        </w:rPr>
      </w:pPr>
    </w:p>
    <w:p>
      <w:pPr>
        <w:ind w:left="1320" w:hanging="303"/>
        <w:spacing w:after="0"/>
        <w:tabs>
          <w:tab w:leader="none" w:pos="1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Normalized free cash flow of $160 million</w:t>
      </w:r>
      <w:r>
        <w:rPr>
          <w:rFonts w:ascii="Arial" w:cs="Arial" w:eastAsia="Arial" w:hAnsi="Arial"/>
          <w:sz w:val="10"/>
          <w:szCs w:val="10"/>
          <w:color w:val="auto"/>
        </w:rPr>
        <w:t>(1)</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Repurchased $130 million of ordinary shares during the second fiscal quarter</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Record twelve-month backlog of $3.89 billion, up approximately $60 million sequentially and up 9.9%</w:t>
      </w:r>
    </w:p>
    <w:p>
      <w:pPr>
        <w:spacing w:after="0" w:line="150" w:lineRule="exact"/>
        <w:rPr>
          <w:sz w:val="20"/>
          <w:szCs w:val="20"/>
          <w:color w:val="auto"/>
        </w:rPr>
      </w:pPr>
    </w:p>
    <w:p>
      <w:pPr>
        <w:ind w:left="640" w:right="759"/>
        <w:spacing w:after="0" w:line="267" w:lineRule="auto"/>
        <w:rPr>
          <w:sz w:val="20"/>
          <w:szCs w:val="20"/>
          <w:color w:val="auto"/>
        </w:rPr>
      </w:pPr>
      <w:r>
        <w:rPr>
          <w:rFonts w:ascii="Arial" w:cs="Arial" w:eastAsia="Arial" w:hAnsi="Arial"/>
          <w:sz w:val="13"/>
          <w:szCs w:val="13"/>
          <w:b w:val="1"/>
          <w:bCs w:val="1"/>
          <w:color w:val="auto"/>
        </w:rPr>
        <w:t xml:space="preserve">JERSEY CITY, NJ – May 11, 2022 </w:t>
      </w:r>
      <w:r>
        <w:rPr>
          <w:rFonts w:ascii="Arial" w:cs="Arial" w:eastAsia="Arial" w:hAnsi="Arial"/>
          <w:sz w:val="13"/>
          <w:szCs w:val="13"/>
          <w:color w:val="auto"/>
        </w:rPr>
        <w:t>– Amdocs Limited (NASDAQ: DOX), a leading provider of software and services to communications and media</w:t>
      </w:r>
      <w:r>
        <w:rPr>
          <w:rFonts w:ascii="Arial" w:cs="Arial" w:eastAsia="Arial" w:hAnsi="Arial"/>
          <w:sz w:val="13"/>
          <w:szCs w:val="13"/>
          <w:b w:val="1"/>
          <w:bCs w:val="1"/>
          <w:color w:val="auto"/>
        </w:rPr>
        <w:t xml:space="preserve"> </w:t>
      </w:r>
      <w:r>
        <w:rPr>
          <w:rFonts w:ascii="Arial" w:cs="Arial" w:eastAsia="Arial" w:hAnsi="Arial"/>
          <w:sz w:val="13"/>
          <w:szCs w:val="13"/>
          <w:color w:val="auto"/>
        </w:rPr>
        <w:t>companies, today reported operating results for the three months ended March 31, 2022.</w:t>
      </w:r>
    </w:p>
    <w:p>
      <w:pPr>
        <w:spacing w:after="0" w:line="126" w:lineRule="exact"/>
        <w:rPr>
          <w:sz w:val="20"/>
          <w:szCs w:val="20"/>
          <w:color w:val="auto"/>
        </w:rPr>
      </w:pPr>
    </w:p>
    <w:p>
      <w:pPr>
        <w:ind w:left="640" w:right="739"/>
        <w:spacing w:after="0" w:line="298" w:lineRule="auto"/>
        <w:rPr>
          <w:sz w:val="20"/>
          <w:szCs w:val="20"/>
          <w:color w:val="auto"/>
        </w:rPr>
      </w:pPr>
      <w:r>
        <w:rPr>
          <w:rFonts w:ascii="Arial" w:cs="Arial" w:eastAsia="Arial" w:hAnsi="Arial"/>
          <w:sz w:val="11"/>
          <w:szCs w:val="11"/>
          <w:color w:val="auto"/>
        </w:rPr>
        <w:t>“I am excited to report another very strong quarter for Amdocs as we continued to enable our customer’s strategy to provide a superior mobile and broadband experience by supporting their long-term investments in 5G monetization, cloud adoption, digital modernization, and network automation. Record revenue of $1.15 billion was up 10.1% in constant currency</w:t>
      </w:r>
      <w:r>
        <w:rPr>
          <w:rFonts w:ascii="Arial" w:cs="Arial" w:eastAsia="Arial" w:hAnsi="Arial"/>
          <w:sz w:val="8"/>
          <w:szCs w:val="8"/>
          <w:color w:val="auto"/>
        </w:rPr>
        <w:t>(3)</w:t>
      </w:r>
      <w:r>
        <w:rPr>
          <w:rFonts w:ascii="Arial" w:cs="Arial" w:eastAsia="Arial" w:hAnsi="Arial"/>
          <w:sz w:val="11"/>
          <w:szCs w:val="11"/>
          <w:color w:val="auto"/>
        </w:rPr>
        <w:t xml:space="preserve"> from a year ago, reflecting strong business activity building next-generation platforms for large customers like AT&amp;T, T-Mobile, and Vodafone Germany under multi-year programs. Sales momentum was also strong in Q2 and included a digital transformation project award with VodafoneZiggo in Netherlands, and a new 5G policy deal which expands our footprint at a leading Tier 1 European operator. Overall, we ended the fiscal second quarter with record-high 12-month backlog of $3.89 billion, which was up nearly 10% from a year ago,” said Shuky Sheffer, president and chief executive officer of Amdocs Management Limited.</w:t>
      </w:r>
    </w:p>
    <w:p>
      <w:pPr>
        <w:spacing w:after="0" w:line="114" w:lineRule="exact"/>
        <w:rPr>
          <w:sz w:val="20"/>
          <w:szCs w:val="20"/>
          <w:color w:val="auto"/>
        </w:rPr>
      </w:pPr>
    </w:p>
    <w:p>
      <w:pPr>
        <w:jc w:val="both"/>
        <w:ind w:left="640" w:right="679"/>
        <w:spacing w:after="0" w:line="252" w:lineRule="auto"/>
        <w:rPr>
          <w:sz w:val="20"/>
          <w:szCs w:val="20"/>
          <w:color w:val="auto"/>
        </w:rPr>
      </w:pPr>
      <w:r>
        <w:rPr>
          <w:rFonts w:ascii="Arial" w:cs="Arial" w:eastAsia="Arial" w:hAnsi="Arial"/>
          <w:sz w:val="13"/>
          <w:szCs w:val="13"/>
          <w:color w:val="auto"/>
        </w:rPr>
        <w:t>“Demonstrating great execution in Q2, we set another company record for the number of quarterly milestones deployed. Our accomplishments included the go-live of a major digital transformation project for Three UK in just 15 months, highlighting our unrivalled reputation for project delivery. This was also a record quarter in managed services, driven by</w:t>
      </w:r>
    </w:p>
    <w:p>
      <w:pPr>
        <w:sectPr>
          <w:pgSz w:w="11900" w:h="16838" w:orient="portrait"/>
          <w:cols w:equalWidth="0" w:num="1">
            <w:col w:w="9019"/>
          </w:cols>
          <w:pgMar w:left="1440" w:top="235" w:right="1440" w:bottom="1440" w:gutter="0" w:footer="0" w:header="0"/>
        </w:sectPr>
      </w:pPr>
    </w:p>
    <w:bookmarkStart w:id="5" w:name="page6"/>
    <w:bookmarkEnd w:id="5"/>
    <w:p>
      <w:pPr>
        <w:ind w:left="640" w:right="779"/>
        <w:spacing w:after="0" w:line="24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continued growth with new and existing customers. At Bell Canada, we signed a five-year managed services extension that expands our long-term strategic relationship in support of Bell’s continued cloud transformation. Additionally, we strengthened our partnership with PLDT in the Philippines, where this leading operator awarded Amdocs a three-year extension of our existing managed services agreement through 2028, in addition to future projects to support PLDT’s cloud journey,” said Tamar Rapaport-Dagim, chief financial officer &amp; chief operating officer of Amdocs Management Limited.</w:t>
      </w:r>
    </w:p>
    <w:p>
      <w:pPr>
        <w:spacing w:after="0" w:line="141" w:lineRule="exact"/>
        <w:rPr>
          <w:sz w:val="20"/>
          <w:szCs w:val="20"/>
          <w:color w:val="auto"/>
        </w:rPr>
      </w:pPr>
    </w:p>
    <w:p>
      <w:pPr>
        <w:ind w:left="640" w:right="779"/>
        <w:spacing w:after="0" w:line="309" w:lineRule="auto"/>
        <w:rPr>
          <w:sz w:val="20"/>
          <w:szCs w:val="20"/>
          <w:color w:val="auto"/>
        </w:rPr>
      </w:pPr>
      <w:r>
        <w:rPr>
          <w:rFonts w:ascii="Arial" w:cs="Arial" w:eastAsia="Arial" w:hAnsi="Arial"/>
          <w:sz w:val="11"/>
          <w:szCs w:val="11"/>
          <w:color w:val="auto"/>
        </w:rPr>
        <w:t>Sheffer concluded, “Our growth strategy is highly aligned with the needs of the market, and we see an expanding pipeline of opportunities ahead of us which we are well positioned to monetize with our market-leading products, best-in-class execution and highly talented people. Moreover, we are tracking in line with the high end of our fiscal 2022 revenue growth outlook of 8.0% to 10.0% on a pro forma</w:t>
      </w:r>
      <w:r>
        <w:rPr>
          <w:rFonts w:ascii="Arial" w:cs="Arial" w:eastAsia="Arial" w:hAnsi="Arial"/>
          <w:sz w:val="8"/>
          <w:szCs w:val="8"/>
          <w:color w:val="auto"/>
        </w:rPr>
        <w:t>(2)</w:t>
      </w:r>
      <w:r>
        <w:rPr>
          <w:rFonts w:ascii="Arial" w:cs="Arial" w:eastAsia="Arial" w:hAnsi="Arial"/>
          <w:sz w:val="11"/>
          <w:szCs w:val="11"/>
          <w:color w:val="auto"/>
        </w:rPr>
        <w:t>, constant currency</w:t>
      </w:r>
      <w:r>
        <w:rPr>
          <w:rFonts w:ascii="Arial" w:cs="Arial" w:eastAsia="Arial" w:hAnsi="Arial"/>
          <w:sz w:val="8"/>
          <w:szCs w:val="8"/>
          <w:color w:val="auto"/>
        </w:rPr>
        <w:t>(3)</w:t>
      </w:r>
      <w:r>
        <w:rPr>
          <w:rFonts w:ascii="Arial" w:cs="Arial" w:eastAsia="Arial" w:hAnsi="Arial"/>
          <w:sz w:val="11"/>
          <w:szCs w:val="11"/>
          <w:color w:val="auto"/>
        </w:rPr>
        <w:t xml:space="preserve"> basis, our confidence in which is supported by the business momentum reflected in our record 12-month backlog at the halfway point in the year.”</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Revenue</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3"/>
          <w:szCs w:val="13"/>
          <w:i w:val="1"/>
          <w:iCs w:val="1"/>
          <w:color w:val="auto"/>
        </w:rPr>
        <w:t>(All comparisons are against the prior year period)</w:t>
      </w:r>
    </w:p>
    <w:p>
      <w:pPr>
        <w:spacing w:after="0" w:line="156" w:lineRule="exact"/>
        <w:rPr>
          <w:sz w:val="20"/>
          <w:szCs w:val="20"/>
          <w:color w:val="auto"/>
        </w:rPr>
      </w:pPr>
    </w:p>
    <w:tbl>
      <w:tblPr>
        <w:tblLayout w:type="fixed"/>
        <w:tblInd w:w="1560" w:type="dxa"/>
        <w:tblCellMar>
          <w:top w:w="0" w:type="dxa"/>
          <w:left w:w="0" w:type="dxa"/>
          <w:bottom w:w="0" w:type="dxa"/>
          <w:right w:w="0" w:type="dxa"/>
        </w:tblCellMar>
      </w:tblPr>
      <w:tr>
        <w:trPr>
          <w:trHeight w:val="115"/>
        </w:trPr>
        <w:tc>
          <w:tcPr>
            <w:tcW w:w="3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jc w:val="center"/>
              <w:ind w:right="540"/>
              <w:spacing w:after="0"/>
              <w:rPr>
                <w:sz w:val="20"/>
                <w:szCs w:val="20"/>
                <w:color w:val="auto"/>
              </w:rPr>
            </w:pPr>
            <w:r>
              <w:rPr>
                <w:rFonts w:ascii="Arial" w:cs="Arial" w:eastAsia="Arial" w:hAnsi="Arial"/>
                <w:sz w:val="10"/>
                <w:szCs w:val="10"/>
                <w:b w:val="1"/>
                <w:bCs w:val="1"/>
                <w:color w:val="auto"/>
                <w:w w:val="98"/>
              </w:rPr>
              <w:t>In Millions</w:t>
            </w:r>
          </w:p>
        </w:tc>
      </w:tr>
      <w:tr>
        <w:trPr>
          <w:trHeight w:val="104"/>
        </w:trPr>
        <w:tc>
          <w:tcPr>
            <w:tcW w:w="31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560" w:type="dxa"/>
            <w:vAlign w:val="bottom"/>
            <w:gridSpan w:val="5"/>
          </w:tcPr>
          <w:p>
            <w:pPr>
              <w:jc w:val="center"/>
              <w:ind w:right="40"/>
              <w:spacing w:after="0" w:line="104" w:lineRule="exact"/>
              <w:rPr>
                <w:sz w:val="20"/>
                <w:szCs w:val="20"/>
                <w:color w:val="auto"/>
              </w:rPr>
            </w:pPr>
            <w:r>
              <w:rPr>
                <w:rFonts w:ascii="Arial" w:cs="Arial" w:eastAsia="Arial" w:hAnsi="Arial"/>
                <w:sz w:val="10"/>
                <w:szCs w:val="10"/>
                <w:b w:val="1"/>
                <w:bCs w:val="1"/>
                <w:color w:val="auto"/>
                <w:w w:val="89"/>
              </w:rPr>
              <w:t>Three months ended</w:t>
            </w:r>
          </w:p>
        </w:tc>
      </w:tr>
      <w:tr>
        <w:trPr>
          <w:trHeight w:val="119"/>
        </w:trPr>
        <w:tc>
          <w:tcPr>
            <w:tcW w:w="3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gridSpan w:val="4"/>
          </w:tcPr>
          <w:p>
            <w:pPr>
              <w:jc w:val="center"/>
              <w:ind w:right="380"/>
              <w:spacing w:after="0"/>
              <w:rPr>
                <w:sz w:val="20"/>
                <w:szCs w:val="20"/>
                <w:color w:val="auto"/>
              </w:rPr>
            </w:pPr>
            <w:r>
              <w:rPr>
                <w:rFonts w:ascii="Arial" w:cs="Arial" w:eastAsia="Arial" w:hAnsi="Arial"/>
                <w:sz w:val="10"/>
                <w:szCs w:val="10"/>
                <w:b w:val="1"/>
                <w:bCs w:val="1"/>
                <w:color w:val="auto"/>
                <w:w w:val="92"/>
              </w:rPr>
              <w:t>March 31, 2022</w:t>
            </w:r>
          </w:p>
        </w:tc>
      </w:tr>
      <w:tr>
        <w:trPr>
          <w:trHeight w:val="79"/>
        </w:trPr>
        <w:tc>
          <w:tcPr>
            <w:tcW w:w="31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jc w:val="center"/>
              <w:spacing w:after="0" w:line="79" w:lineRule="exact"/>
              <w:rPr>
                <w:sz w:val="20"/>
                <w:szCs w:val="20"/>
                <w:color w:val="auto"/>
              </w:rPr>
            </w:pPr>
            <w:r>
              <w:rPr>
                <w:rFonts w:ascii="Arial" w:cs="Arial" w:eastAsia="Arial" w:hAnsi="Arial"/>
                <w:sz w:val="9"/>
                <w:szCs w:val="9"/>
                <w:b w:val="1"/>
                <w:bCs w:val="1"/>
                <w:color w:val="auto"/>
                <w:w w:val="94"/>
              </w:rPr>
              <w:t>Previous</w:t>
            </w:r>
          </w:p>
        </w:tc>
        <w:tc>
          <w:tcPr>
            <w:tcW w:w="40" w:type="dxa"/>
            <w:vAlign w:val="bottom"/>
          </w:tcPr>
          <w:p>
            <w:pPr>
              <w:spacing w:after="0"/>
              <w:rPr>
                <w:sz w:val="6"/>
                <w:szCs w:val="6"/>
                <w:color w:val="auto"/>
              </w:rPr>
            </w:pPr>
          </w:p>
        </w:tc>
      </w:tr>
      <w:tr>
        <w:trPr>
          <w:trHeight w:val="119"/>
        </w:trPr>
        <w:tc>
          <w:tcPr>
            <w:tcW w:w="31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00" w:type="dxa"/>
            <w:vAlign w:val="bottom"/>
            <w:gridSpan w:val="2"/>
          </w:tcPr>
          <w:p>
            <w:pPr>
              <w:jc w:val="right"/>
              <w:ind w:right="129"/>
              <w:spacing w:after="0"/>
              <w:rPr>
                <w:sz w:val="20"/>
                <w:szCs w:val="20"/>
                <w:color w:val="auto"/>
              </w:rPr>
            </w:pPr>
            <w:r>
              <w:rPr>
                <w:rFonts w:ascii="Arial" w:cs="Arial" w:eastAsia="Arial" w:hAnsi="Arial"/>
                <w:sz w:val="10"/>
                <w:szCs w:val="10"/>
                <w:b w:val="1"/>
                <w:bCs w:val="1"/>
                <w:color w:val="auto"/>
                <w:w w:val="98"/>
              </w:rPr>
              <w:t>Actual</w:t>
            </w:r>
          </w:p>
        </w:tc>
        <w:tc>
          <w:tcPr>
            <w:tcW w:w="220" w:type="dxa"/>
            <w:vAlign w:val="bottom"/>
          </w:tcPr>
          <w:p>
            <w:pPr>
              <w:spacing w:after="0"/>
              <w:rPr>
                <w:sz w:val="10"/>
                <w:szCs w:val="10"/>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0"/>
                <w:szCs w:val="10"/>
                <w:b w:val="1"/>
                <w:bCs w:val="1"/>
                <w:color w:val="auto"/>
                <w:w w:val="87"/>
              </w:rPr>
              <w:t>Guidance</w:t>
            </w:r>
          </w:p>
        </w:tc>
      </w:tr>
      <w:tr>
        <w:trPr>
          <w:trHeight w:val="141"/>
        </w:trPr>
        <w:tc>
          <w:tcPr>
            <w:tcW w:w="312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Revenue</w:t>
            </w:r>
          </w:p>
        </w:tc>
        <w:tc>
          <w:tcPr>
            <w:tcW w:w="120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5"/>
              </w:rPr>
              <w:t>$1,145</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center"/>
              <w:spacing w:after="0" w:line="141" w:lineRule="exact"/>
              <w:rPr>
                <w:sz w:val="20"/>
                <w:szCs w:val="20"/>
                <w:color w:val="auto"/>
              </w:rPr>
            </w:pPr>
            <w:r>
              <w:rPr>
                <w:rFonts w:ascii="Arial" w:cs="Arial" w:eastAsia="Arial" w:hAnsi="Arial"/>
                <w:sz w:val="13"/>
                <w:szCs w:val="13"/>
                <w:color w:val="auto"/>
                <w:w w:val="87"/>
              </w:rPr>
              <w:t>$1,110 - $1,150</w:t>
            </w:r>
          </w:p>
        </w:tc>
        <w:tc>
          <w:tcPr>
            <w:tcW w:w="40" w:type="dxa"/>
            <w:vAlign w:val="bottom"/>
            <w:tcBorders>
              <w:top w:val="single" w:sz="8" w:color="CCEEFF"/>
            </w:tcBorders>
            <w:shd w:val="clear" w:color="auto" w:fill="CCEEFF"/>
          </w:tcPr>
          <w:p>
            <w:pPr>
              <w:spacing w:after="0"/>
              <w:rPr>
                <w:sz w:val="12"/>
                <w:szCs w:val="12"/>
                <w:color w:val="auto"/>
              </w:rPr>
            </w:pPr>
          </w:p>
        </w:tc>
      </w:tr>
      <w:tr>
        <w:trPr>
          <w:trHeight w:val="152"/>
        </w:trPr>
        <w:tc>
          <w:tcPr>
            <w:tcW w:w="3120" w:type="dxa"/>
            <w:vAlign w:val="bottom"/>
          </w:tcPr>
          <w:p>
            <w:pPr>
              <w:spacing w:after="0"/>
              <w:rPr>
                <w:sz w:val="20"/>
                <w:szCs w:val="20"/>
                <w:color w:val="auto"/>
              </w:rPr>
            </w:pPr>
            <w:r>
              <w:rPr>
                <w:rFonts w:ascii="Arial" w:cs="Arial" w:eastAsia="Arial" w:hAnsi="Arial"/>
                <w:sz w:val="13"/>
                <w:szCs w:val="13"/>
                <w:color w:val="auto"/>
              </w:rPr>
              <w:t>Revenue growth, as reported</w:t>
            </w:r>
          </w:p>
        </w:tc>
        <w:tc>
          <w:tcPr>
            <w:tcW w:w="1700" w:type="dxa"/>
            <w:vAlign w:val="bottom"/>
            <w:gridSpan w:val="3"/>
          </w:tcPr>
          <w:p>
            <w:pPr>
              <w:jc w:val="right"/>
              <w:spacing w:after="0"/>
              <w:rPr>
                <w:sz w:val="20"/>
                <w:szCs w:val="20"/>
                <w:color w:val="auto"/>
              </w:rPr>
            </w:pPr>
            <w:r>
              <w:rPr>
                <w:rFonts w:ascii="Arial" w:cs="Arial" w:eastAsia="Arial" w:hAnsi="Arial"/>
                <w:sz w:val="13"/>
                <w:szCs w:val="13"/>
                <w:color w:val="auto"/>
              </w:rPr>
              <w:t>9.2%</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3120" w:type="dxa"/>
            <w:vAlign w:val="bottom"/>
            <w:shd w:val="clear" w:color="auto" w:fill="CCEEFF"/>
          </w:tcPr>
          <w:p>
            <w:pPr>
              <w:spacing w:after="0"/>
              <w:rPr>
                <w:sz w:val="20"/>
                <w:szCs w:val="20"/>
                <w:color w:val="auto"/>
              </w:rPr>
            </w:pPr>
            <w:r>
              <w:rPr>
                <w:rFonts w:ascii="Arial" w:cs="Arial" w:eastAsia="Arial" w:hAnsi="Arial"/>
                <w:sz w:val="13"/>
                <w:szCs w:val="13"/>
                <w:color w:val="auto"/>
              </w:rPr>
              <w:t>Revenue growth, constant currency</w:t>
            </w:r>
            <w:r>
              <w:rPr>
                <w:rFonts w:ascii="Arial" w:cs="Arial" w:eastAsia="Arial" w:hAnsi="Arial"/>
                <w:sz w:val="10"/>
                <w:szCs w:val="10"/>
                <w:color w:val="auto"/>
              </w:rPr>
              <w:t>(3)</w:t>
            </w:r>
          </w:p>
        </w:tc>
        <w:tc>
          <w:tcPr>
            <w:tcW w:w="17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bl>
    <w:p>
      <w:pPr>
        <w:spacing w:after="0" w:line="162" w:lineRule="exact"/>
        <w:rPr>
          <w:sz w:val="20"/>
          <w:szCs w:val="20"/>
          <w:color w:val="auto"/>
        </w:rPr>
      </w:pPr>
    </w:p>
    <w:p>
      <w:pPr>
        <w:ind w:left="1320" w:right="959" w:hanging="303"/>
        <w:spacing w:after="0" w:line="261" w:lineRule="auto"/>
        <w:tabs>
          <w:tab w:leader="none" w:pos="1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Revenue for the second fiscal quarter of 2022 was at the high end of Amdocs’ guidance, including an immaterial impact from foreign currency movements compared to our guidance assumptions</w:t>
      </w:r>
    </w:p>
    <w:p>
      <w:pPr>
        <w:spacing w:after="0" w:line="63" w:lineRule="exact"/>
        <w:rPr>
          <w:rFonts w:ascii="Arial" w:cs="Arial" w:eastAsia="Arial" w:hAnsi="Arial"/>
          <w:sz w:val="13"/>
          <w:szCs w:val="13"/>
          <w:color w:val="auto"/>
        </w:rPr>
      </w:pPr>
    </w:p>
    <w:p>
      <w:pPr>
        <w:ind w:left="1320" w:right="1119" w:hanging="303"/>
        <w:spacing w:after="0" w:line="261" w:lineRule="auto"/>
        <w:tabs>
          <w:tab w:leader="none" w:pos="1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Revenue for the second fiscal quarter of 2022 includes an unfavorable impact from foreign currency movements of approximately $2 million relative to the first quarter of fiscal 2022</w:t>
      </w:r>
    </w:p>
    <w:p>
      <w:pPr>
        <w:sectPr>
          <w:pgSz w:w="11900" w:h="16838" w:orient="portrait"/>
          <w:cols w:equalWidth="0" w:num="1">
            <w:col w:w="9019"/>
          </w:cols>
          <w:pgMar w:left="1440" w:top="235" w:right="1440" w:bottom="1440" w:gutter="0" w:footer="0" w:header="0"/>
        </w:sectPr>
      </w:pPr>
    </w:p>
    <w:bookmarkStart w:id="6" w:name="page7"/>
    <w:bookmarkEnd w:id="6"/>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Net Income and Earnings Per Share</w:t>
      </w:r>
    </w:p>
    <w:p>
      <w:pPr>
        <w:spacing w:after="0" w:line="170" w:lineRule="exact"/>
        <w:rPr>
          <w:sz w:val="20"/>
          <w:szCs w:val="20"/>
          <w:color w:val="auto"/>
        </w:rPr>
      </w:pPr>
    </w:p>
    <w:p>
      <w:pPr>
        <w:jc w:val="center"/>
        <w:ind w:left="4380"/>
        <w:spacing w:after="0"/>
        <w:rPr>
          <w:sz w:val="20"/>
          <w:szCs w:val="20"/>
          <w:color w:val="auto"/>
        </w:rPr>
      </w:pPr>
      <w:r>
        <w:rPr>
          <w:rFonts w:ascii="Arial" w:cs="Arial" w:eastAsia="Arial" w:hAnsi="Arial"/>
          <w:sz w:val="10"/>
          <w:szCs w:val="10"/>
          <w:b w:val="1"/>
          <w:bCs w:val="1"/>
          <w:color w:val="auto"/>
        </w:rPr>
        <w:t>In thousands, except per share</w:t>
      </w:r>
    </w:p>
    <w:p>
      <w:pPr>
        <w:jc w:val="center"/>
        <w:ind w:left="4380"/>
        <w:spacing w:after="0" w:line="217" w:lineRule="auto"/>
        <w:rPr>
          <w:sz w:val="20"/>
          <w:szCs w:val="20"/>
          <w:color w:val="auto"/>
        </w:rPr>
      </w:pPr>
      <w:r>
        <w:rPr>
          <w:rFonts w:ascii="Arial" w:cs="Arial" w:eastAsia="Arial" w:hAnsi="Arial"/>
          <w:sz w:val="10"/>
          <w:szCs w:val="10"/>
          <w:b w:val="1"/>
          <w:bCs w:val="1"/>
          <w:color w:val="auto"/>
        </w:rPr>
        <w:t>data</w:t>
      </w:r>
    </w:p>
    <w:p>
      <w:pPr>
        <w:jc w:val="center"/>
        <w:ind w:left="4380"/>
        <w:spacing w:after="0" w:line="218" w:lineRule="auto"/>
        <w:rPr>
          <w:sz w:val="20"/>
          <w:szCs w:val="20"/>
          <w:color w:val="auto"/>
        </w:rPr>
      </w:pPr>
      <w:r>
        <w:rPr>
          <w:rFonts w:ascii="Arial" w:cs="Arial" w:eastAsia="Arial" w:hAnsi="Arial"/>
          <w:sz w:val="10"/>
          <w:szCs w:val="10"/>
          <w:b w:val="1"/>
          <w:bCs w:val="1"/>
          <w:color w:val="auto"/>
        </w:rPr>
        <w:t>Three months ended</w:t>
      </w:r>
    </w:p>
    <w:p>
      <w:pPr>
        <w:jc w:val="center"/>
        <w:ind w:left="4380"/>
        <w:spacing w:after="0" w:line="227" w:lineRule="auto"/>
        <w:rPr>
          <w:sz w:val="20"/>
          <w:szCs w:val="20"/>
          <w:color w:val="auto"/>
        </w:rPr>
      </w:pPr>
      <w:r>
        <w:rPr>
          <w:rFonts w:ascii="Arial" w:cs="Arial" w:eastAsia="Arial" w:hAnsi="Arial"/>
          <w:sz w:val="10"/>
          <w:szCs w:val="10"/>
          <w:b w:val="1"/>
          <w:bCs w:val="1"/>
          <w:color w:val="auto"/>
        </w:rPr>
        <w:t>March 31,</w:t>
      </w:r>
    </w:p>
    <w:tbl>
      <w:tblPr>
        <w:tblLayout w:type="fixed"/>
        <w:tblInd w:w="1560" w:type="dxa"/>
        <w:tblCellMar>
          <w:top w:w="0" w:type="dxa"/>
          <w:left w:w="0" w:type="dxa"/>
          <w:bottom w:w="0" w:type="dxa"/>
          <w:right w:w="0" w:type="dxa"/>
        </w:tblCellMar>
      </w:tblPr>
      <w:tr>
        <w:trPr>
          <w:trHeight w:val="94"/>
        </w:trPr>
        <w:tc>
          <w:tcPr>
            <w:tcW w:w="2880" w:type="dxa"/>
            <w:vAlign w:val="bottom"/>
            <w:tcBorders>
              <w:bottom w:val="single" w:sz="8" w:color="CCEEFF"/>
            </w:tcBorders>
          </w:tcPr>
          <w:p>
            <w:pPr>
              <w:spacing w:after="0"/>
              <w:rPr>
                <w:sz w:val="8"/>
                <w:szCs w:val="8"/>
                <w:color w:val="auto"/>
              </w:rPr>
            </w:pPr>
          </w:p>
        </w:tc>
        <w:tc>
          <w:tcPr>
            <w:tcW w:w="1560" w:type="dxa"/>
            <w:vAlign w:val="bottom"/>
            <w:tcBorders>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39"/>
              <w:spacing w:after="0" w:line="94" w:lineRule="exact"/>
              <w:rPr>
                <w:sz w:val="20"/>
                <w:szCs w:val="20"/>
                <w:color w:val="auto"/>
              </w:rPr>
            </w:pPr>
            <w:r>
              <w:rPr>
                <w:rFonts w:ascii="Arial" w:cs="Arial" w:eastAsia="Arial" w:hAnsi="Arial"/>
                <w:sz w:val="10"/>
                <w:szCs w:val="10"/>
                <w:b w:val="1"/>
                <w:bCs w:val="1"/>
                <w:color w:val="auto"/>
              </w:rPr>
              <w:t>2022</w:t>
            </w:r>
          </w:p>
        </w:tc>
        <w:tc>
          <w:tcPr>
            <w:tcW w:w="200" w:type="dxa"/>
            <w:vAlign w:val="bottom"/>
            <w:tcBorders>
              <w:top w:val="single" w:sz="8" w:color="auto"/>
              <w:bottom w:val="single" w:sz="8" w:color="CCEEFF"/>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9"/>
              <w:spacing w:after="0" w:line="94" w:lineRule="exact"/>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CCEEFF"/>
            </w:tcBorders>
          </w:tcPr>
          <w:p>
            <w:pPr>
              <w:spacing w:after="0"/>
              <w:rPr>
                <w:sz w:val="8"/>
                <w:szCs w:val="8"/>
                <w:color w:val="auto"/>
              </w:rPr>
            </w:pPr>
          </w:p>
        </w:tc>
      </w:tr>
      <w:tr>
        <w:trPr>
          <w:trHeight w:val="132"/>
        </w:trPr>
        <w:tc>
          <w:tcPr>
            <w:tcW w:w="2880" w:type="dxa"/>
            <w:vAlign w:val="bottom"/>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GAAP Measures</w:t>
            </w:r>
          </w:p>
        </w:tc>
        <w:tc>
          <w:tcPr>
            <w:tcW w:w="1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2"/>
        </w:trPr>
        <w:tc>
          <w:tcPr>
            <w:tcW w:w="2880" w:type="dxa"/>
            <w:vAlign w:val="bottom"/>
          </w:tcPr>
          <w:p>
            <w:pPr>
              <w:spacing w:after="0"/>
              <w:rPr>
                <w:sz w:val="20"/>
                <w:szCs w:val="20"/>
                <w:color w:val="auto"/>
              </w:rPr>
            </w:pPr>
            <w:r>
              <w:rPr>
                <w:rFonts w:ascii="Arial" w:cs="Arial" w:eastAsia="Arial" w:hAnsi="Arial"/>
                <w:sz w:val="13"/>
                <w:szCs w:val="13"/>
                <w:color w:val="auto"/>
              </w:rPr>
              <w:t>Net income</w:t>
            </w:r>
          </w:p>
        </w:tc>
        <w:tc>
          <w:tcPr>
            <w:tcW w:w="1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w w:val="93"/>
              </w:rPr>
              <w:t>158,497</w:t>
            </w:r>
          </w:p>
        </w:tc>
        <w:tc>
          <w:tcPr>
            <w:tcW w:w="2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w w:val="97"/>
              </w:rPr>
              <w:t>119,067</w:t>
            </w:r>
          </w:p>
        </w:tc>
      </w:tr>
      <w:tr>
        <w:trPr>
          <w:trHeight w:val="152"/>
        </w:trPr>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per share</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0.91</w:t>
            </w:r>
          </w:p>
        </w:tc>
      </w:tr>
      <w:tr>
        <w:trPr>
          <w:trHeight w:val="152"/>
        </w:trPr>
        <w:tc>
          <w:tcPr>
            <w:tcW w:w="2880" w:type="dxa"/>
            <w:vAlign w:val="bottom"/>
          </w:tcPr>
          <w:p>
            <w:pPr>
              <w:spacing w:after="0"/>
              <w:rPr>
                <w:sz w:val="20"/>
                <w:szCs w:val="20"/>
                <w:color w:val="auto"/>
              </w:rPr>
            </w:pPr>
            <w:r>
              <w:rPr>
                <w:rFonts w:ascii="Arial" w:cs="Arial" w:eastAsia="Arial" w:hAnsi="Arial"/>
                <w:sz w:val="13"/>
                <w:szCs w:val="13"/>
                <w:b w:val="1"/>
                <w:bCs w:val="1"/>
                <w:color w:val="auto"/>
              </w:rPr>
              <w:t>Non-GAAP Measures</w:t>
            </w: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288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190,944</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7"/>
              </w:rPr>
              <w:t>148,095</w:t>
            </w:r>
          </w:p>
        </w:tc>
      </w:tr>
      <w:tr>
        <w:trPr>
          <w:trHeight w:val="161"/>
        </w:trPr>
        <w:tc>
          <w:tcPr>
            <w:tcW w:w="2880" w:type="dxa"/>
            <w:vAlign w:val="bottom"/>
          </w:tcPr>
          <w:p>
            <w:pPr>
              <w:spacing w:after="0"/>
              <w:rPr>
                <w:sz w:val="20"/>
                <w:szCs w:val="20"/>
                <w:color w:val="auto"/>
              </w:rPr>
            </w:pPr>
            <w:r>
              <w:rPr>
                <w:rFonts w:ascii="Arial" w:cs="Arial" w:eastAsia="Arial" w:hAnsi="Arial"/>
                <w:sz w:val="13"/>
                <w:szCs w:val="13"/>
                <w:color w:val="auto"/>
              </w:rPr>
              <w:t>Diluted earnings per share</w:t>
            </w:r>
          </w:p>
        </w:tc>
        <w:tc>
          <w:tcPr>
            <w:tcW w:w="16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1.54</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rPr>
              <w:t>1.13</w:t>
            </w:r>
          </w:p>
        </w:tc>
      </w:tr>
    </w:tbl>
    <w:p>
      <w:pPr>
        <w:spacing w:after="0" w:line="68" w:lineRule="exact"/>
        <w:rPr>
          <w:sz w:val="20"/>
          <w:szCs w:val="20"/>
          <w:color w:val="auto"/>
        </w:rPr>
      </w:pPr>
    </w:p>
    <w:p>
      <w:pPr>
        <w:ind w:left="1320" w:right="879" w:hanging="303"/>
        <w:spacing w:after="0" w:line="252" w:lineRule="auto"/>
        <w:tabs>
          <w:tab w:leader="none" w:pos="1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Non-GAAP net income excludes amortization of purchased intangible assets and other acquisition-related costs, changes in certain acquisition related liabilities measured at fair value, equity-based compensation expenses, and other, net of related tax effects, in all the periods presented</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3"/>
          <w:szCs w:val="13"/>
          <w:color w:val="auto"/>
        </w:rPr>
        <w:t>For further details of the reconciliation of selected financial metrics from GAAP to Non-GAAP, please refer to the tables below.</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Capital Allocation: Returning Cash to Shareholders</w:t>
      </w:r>
    </w:p>
    <w:p>
      <w:pPr>
        <w:spacing w:after="0" w:line="91" w:lineRule="exact"/>
        <w:rPr>
          <w:sz w:val="20"/>
          <w:szCs w:val="20"/>
          <w:color w:val="auto"/>
        </w:rPr>
      </w:pPr>
    </w:p>
    <w:p>
      <w:pPr>
        <w:ind w:left="1320" w:hanging="303"/>
        <w:spacing w:after="0"/>
        <w:tabs>
          <w:tab w:leader="none" w:pos="1320" w:val="left"/>
        </w:tabs>
        <w:numPr>
          <w:ilvl w:val="0"/>
          <w:numId w:val="5"/>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Quarterly Cash Dividend Program: </w:t>
      </w:r>
      <w:r>
        <w:rPr>
          <w:rFonts w:ascii="Arial" w:cs="Arial" w:eastAsia="Arial" w:hAnsi="Arial"/>
          <w:sz w:val="11"/>
          <w:szCs w:val="11"/>
          <w:color w:val="auto"/>
        </w:rPr>
        <w:t>On May 11, 2022, the Board approved the Company’s next quarterly cash dividend payment of</w:t>
      </w:r>
    </w:p>
    <w:p>
      <w:pPr>
        <w:spacing w:after="0" w:line="34" w:lineRule="exact"/>
        <w:rPr>
          <w:rFonts w:ascii="Arial" w:cs="Arial" w:eastAsia="Arial" w:hAnsi="Arial"/>
          <w:sz w:val="11"/>
          <w:szCs w:val="11"/>
          <w:color w:val="auto"/>
        </w:rPr>
      </w:pPr>
    </w:p>
    <w:p>
      <w:pPr>
        <w:ind w:left="1320" w:right="799"/>
        <w:spacing w:after="0" w:line="246" w:lineRule="auto"/>
        <w:rPr>
          <w:rFonts w:ascii="Arial" w:cs="Arial" w:eastAsia="Arial" w:hAnsi="Arial"/>
          <w:sz w:val="11"/>
          <w:szCs w:val="11"/>
          <w:color w:val="auto"/>
        </w:rPr>
      </w:pPr>
      <w:r>
        <w:rPr>
          <w:rFonts w:ascii="Arial" w:cs="Arial" w:eastAsia="Arial" w:hAnsi="Arial"/>
          <w:sz w:val="13"/>
          <w:szCs w:val="13"/>
          <w:color w:val="auto"/>
        </w:rPr>
        <w:t>$0.395 per share and set June 30, 2022 as the record date for determining the shareholders entitled to receive the dividend, which will be payable on July 29, 2022</w:t>
      </w:r>
    </w:p>
    <w:p>
      <w:pPr>
        <w:spacing w:after="0" w:line="73" w:lineRule="exact"/>
        <w:rPr>
          <w:rFonts w:ascii="Arial" w:cs="Arial" w:eastAsia="Arial" w:hAnsi="Arial"/>
          <w:sz w:val="11"/>
          <w:szCs w:val="11"/>
          <w:color w:val="auto"/>
        </w:rPr>
      </w:pPr>
    </w:p>
    <w:p>
      <w:pPr>
        <w:ind w:left="1320" w:hanging="303"/>
        <w:spacing w:after="0"/>
        <w:tabs>
          <w:tab w:leader="none" w:pos="1320"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Share Repurchase Activity: </w:t>
      </w:r>
      <w:r>
        <w:rPr>
          <w:rFonts w:ascii="Arial" w:cs="Arial" w:eastAsia="Arial" w:hAnsi="Arial"/>
          <w:sz w:val="13"/>
          <w:szCs w:val="13"/>
          <w:color w:val="auto"/>
        </w:rPr>
        <w:t>Repurchased $130 million of ordinary shares during the second quarter of fiscal 2022</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Twelve-month Backlog</w:t>
      </w:r>
    </w:p>
    <w:p>
      <w:pPr>
        <w:spacing w:after="0" w:line="82" w:lineRule="exact"/>
        <w:rPr>
          <w:sz w:val="20"/>
          <w:szCs w:val="20"/>
          <w:color w:val="auto"/>
        </w:rPr>
      </w:pPr>
    </w:p>
    <w:p>
      <w:pPr>
        <w:jc w:val="both"/>
        <w:ind w:left="640" w:right="939"/>
        <w:spacing w:after="0" w:line="252" w:lineRule="auto"/>
        <w:rPr>
          <w:sz w:val="20"/>
          <w:szCs w:val="20"/>
          <w:color w:val="auto"/>
        </w:rPr>
      </w:pPr>
      <w:r>
        <w:rPr>
          <w:rFonts w:ascii="Arial" w:cs="Arial" w:eastAsia="Arial" w:hAnsi="Arial"/>
          <w:sz w:val="13"/>
          <w:szCs w:val="13"/>
          <w:color w:val="auto"/>
        </w:rPr>
        <w:t>Twelve-month backlog was a record $3.89 billion at the end of the second quarter of fiscal 2022, up approximately 9.9% as compared to last year’s second fiscal quarter. Twelve-month backlog includes anticipated revenue related to contracts, estimated revenue from managed services contracts, letters of intent, maintenance and estimated on-going support activities.</w:t>
      </w:r>
    </w:p>
    <w:p>
      <w:pPr>
        <w:sectPr>
          <w:pgSz w:w="11900" w:h="16838" w:orient="portrait"/>
          <w:cols w:equalWidth="0" w:num="1">
            <w:col w:w="9019"/>
          </w:cols>
          <w:pgMar w:left="1440" w:top="231" w:right="1440" w:bottom="1440" w:gutter="0" w:footer="0" w:header="0"/>
        </w:sectPr>
      </w:pPr>
    </w:p>
    <w:bookmarkStart w:id="7" w:name="page8"/>
    <w:bookmarkEnd w:id="7"/>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Third Quarter Fiscal 2022 Outlook</w:t>
      </w:r>
    </w:p>
    <w:p>
      <w:pPr>
        <w:spacing w:after="0" w:line="160" w:lineRule="exact"/>
        <w:rPr>
          <w:sz w:val="20"/>
          <w:szCs w:val="20"/>
          <w:color w:val="auto"/>
        </w:rPr>
      </w:pPr>
    </w:p>
    <w:tbl>
      <w:tblPr>
        <w:tblLayout w:type="fixed"/>
        <w:tblInd w:w="1880" w:type="dxa"/>
        <w:tblCellMar>
          <w:top w:w="0" w:type="dxa"/>
          <w:left w:w="0" w:type="dxa"/>
          <w:bottom w:w="0" w:type="dxa"/>
          <w:right w:w="0" w:type="dxa"/>
        </w:tblCellMar>
      </w:tblPr>
      <w:tr>
        <w:trPr>
          <w:trHeight w:val="115"/>
        </w:trPr>
        <w:tc>
          <w:tcPr>
            <w:tcW w:w="3800" w:type="dxa"/>
            <w:vAlign w:val="bottom"/>
          </w:tcPr>
          <w:p>
            <w:pPr>
              <w:spacing w:after="0"/>
              <w:rPr>
                <w:sz w:val="10"/>
                <w:szCs w:val="10"/>
                <w:color w:val="auto"/>
              </w:rPr>
            </w:pPr>
          </w:p>
        </w:tc>
        <w:tc>
          <w:tcPr>
            <w:tcW w:w="1440" w:type="dxa"/>
            <w:vAlign w:val="bottom"/>
          </w:tcPr>
          <w:p>
            <w:pPr>
              <w:ind w:left="20"/>
              <w:spacing w:after="0"/>
              <w:rPr>
                <w:sz w:val="20"/>
                <w:szCs w:val="20"/>
                <w:color w:val="auto"/>
              </w:rPr>
            </w:pPr>
            <w:r>
              <w:rPr>
                <w:rFonts w:ascii="Arial" w:cs="Arial" w:eastAsia="Arial" w:hAnsi="Arial"/>
                <w:sz w:val="10"/>
                <w:szCs w:val="10"/>
                <w:b w:val="1"/>
                <w:bCs w:val="1"/>
                <w:color w:val="auto"/>
                <w:w w:val="88"/>
              </w:rPr>
              <w:t>In millions, except per share data</w:t>
            </w:r>
          </w:p>
        </w:tc>
      </w:tr>
      <w:tr>
        <w:trPr>
          <w:trHeight w:val="119"/>
        </w:trPr>
        <w:tc>
          <w:tcPr>
            <w:tcW w:w="3800" w:type="dxa"/>
            <w:vAlign w:val="bottom"/>
            <w:tcBorders>
              <w:bottom w:val="single" w:sz="8" w:color="CCEEFF"/>
            </w:tcBorders>
          </w:tcPr>
          <w:p>
            <w:pPr>
              <w:spacing w:after="0"/>
              <w:rPr>
                <w:sz w:val="10"/>
                <w:szCs w:val="1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Q3 2022</w:t>
            </w:r>
          </w:p>
        </w:tc>
      </w:tr>
      <w:tr>
        <w:trPr>
          <w:trHeight w:val="141"/>
        </w:trPr>
        <w:tc>
          <w:tcPr>
            <w:tcW w:w="38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Revenue</w:t>
            </w:r>
          </w:p>
        </w:tc>
        <w:tc>
          <w:tcPr>
            <w:tcW w:w="1440" w:type="dxa"/>
            <w:vAlign w:val="bottom"/>
            <w:shd w:val="clear" w:color="auto" w:fill="CCEEFF"/>
          </w:tcPr>
          <w:p>
            <w:pPr>
              <w:jc w:val="center"/>
              <w:spacing w:after="0" w:line="141" w:lineRule="exact"/>
              <w:rPr>
                <w:sz w:val="20"/>
                <w:szCs w:val="20"/>
                <w:color w:val="auto"/>
              </w:rPr>
            </w:pPr>
            <w:r>
              <w:rPr>
                <w:rFonts w:ascii="Arial" w:cs="Arial" w:eastAsia="Arial" w:hAnsi="Arial"/>
                <w:sz w:val="13"/>
                <w:szCs w:val="13"/>
                <w:color w:val="auto"/>
                <w:w w:val="88"/>
              </w:rPr>
              <w:t>$1,140-$1,180</w:t>
            </w:r>
          </w:p>
        </w:tc>
      </w:tr>
      <w:tr>
        <w:trPr>
          <w:trHeight w:val="152"/>
        </w:trPr>
        <w:tc>
          <w:tcPr>
            <w:tcW w:w="3800" w:type="dxa"/>
            <w:vAlign w:val="bottom"/>
          </w:tcPr>
          <w:p>
            <w:pPr>
              <w:spacing w:after="0"/>
              <w:rPr>
                <w:sz w:val="20"/>
                <w:szCs w:val="20"/>
                <w:color w:val="auto"/>
              </w:rPr>
            </w:pPr>
            <w:r>
              <w:rPr>
                <w:rFonts w:ascii="Arial" w:cs="Arial" w:eastAsia="Arial" w:hAnsi="Arial"/>
                <w:sz w:val="13"/>
                <w:szCs w:val="13"/>
                <w:color w:val="auto"/>
              </w:rPr>
              <w:t>GAAP diluted EPS</w:t>
            </w:r>
          </w:p>
        </w:tc>
        <w:tc>
          <w:tcPr>
            <w:tcW w:w="1440" w:type="dxa"/>
            <w:vAlign w:val="bottom"/>
          </w:tcPr>
          <w:p>
            <w:pPr>
              <w:jc w:val="center"/>
              <w:spacing w:after="0"/>
              <w:rPr>
                <w:sz w:val="20"/>
                <w:szCs w:val="20"/>
                <w:color w:val="auto"/>
              </w:rPr>
            </w:pPr>
            <w:r>
              <w:rPr>
                <w:rFonts w:ascii="Arial" w:cs="Arial" w:eastAsia="Arial" w:hAnsi="Arial"/>
                <w:sz w:val="13"/>
                <w:szCs w:val="13"/>
                <w:color w:val="auto"/>
                <w:w w:val="89"/>
              </w:rPr>
              <w:t>$0.97-$1.05</w:t>
            </w:r>
          </w:p>
        </w:tc>
      </w:tr>
      <w:tr>
        <w:trPr>
          <w:trHeight w:val="152"/>
        </w:trPr>
        <w:tc>
          <w:tcPr>
            <w:tcW w:w="3800" w:type="dxa"/>
            <w:vAlign w:val="bottom"/>
            <w:shd w:val="clear" w:color="auto" w:fill="CCEEFF"/>
          </w:tcPr>
          <w:p>
            <w:pPr>
              <w:spacing w:after="0"/>
              <w:rPr>
                <w:sz w:val="20"/>
                <w:szCs w:val="20"/>
                <w:color w:val="auto"/>
              </w:rPr>
            </w:pPr>
            <w:r>
              <w:rPr>
                <w:rFonts w:ascii="Arial" w:cs="Arial" w:eastAsia="Arial" w:hAnsi="Arial"/>
                <w:sz w:val="13"/>
                <w:szCs w:val="13"/>
                <w:color w:val="auto"/>
              </w:rPr>
              <w:t>Non-GAAP diluted EPS</w:t>
            </w:r>
          </w:p>
        </w:tc>
        <w:tc>
          <w:tcPr>
            <w:tcW w:w="14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$1.23-$1.29</w:t>
            </w:r>
          </w:p>
        </w:tc>
      </w:tr>
    </w:tbl>
    <w:p>
      <w:pPr>
        <w:spacing w:after="0" w:line="162" w:lineRule="exact"/>
        <w:rPr>
          <w:sz w:val="20"/>
          <w:szCs w:val="20"/>
          <w:color w:val="auto"/>
        </w:rPr>
      </w:pPr>
    </w:p>
    <w:p>
      <w:pPr>
        <w:ind w:left="1320" w:right="879" w:hanging="303"/>
        <w:spacing w:after="0" w:line="261" w:lineRule="auto"/>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Third quarter revenue guidance assumes approximately $1 million sequential unfavorable impact from foreign currency fluctuations as compared to the second quarter of fiscal 2022</w:t>
      </w:r>
    </w:p>
    <w:p>
      <w:pPr>
        <w:spacing w:after="0" w:line="63" w:lineRule="exact"/>
        <w:rPr>
          <w:rFonts w:ascii="Arial" w:cs="Arial" w:eastAsia="Arial" w:hAnsi="Arial"/>
          <w:sz w:val="13"/>
          <w:szCs w:val="13"/>
          <w:color w:val="auto"/>
        </w:rPr>
      </w:pPr>
    </w:p>
    <w:p>
      <w:pPr>
        <w:ind w:left="1320" w:right="819" w:hanging="303"/>
        <w:spacing w:after="0" w:line="252" w:lineRule="auto"/>
        <w:tabs>
          <w:tab w:leader="none" w:pos="1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Third quarter non-GAAP diluted EPS guidance excludes amortization of purchased intangible assets and other acquisition-related costs, changes in certain acquisitions related liabilities measured at fair value, and approximately $0.12 -$0.14 per share of equity-based compensation expense and other, net of related tax effects</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Full Year Fiscal 2022 Outlook</w:t>
      </w:r>
    </w:p>
    <w:p>
      <w:pPr>
        <w:spacing w:after="0" w:line="171" w:lineRule="exact"/>
        <w:rPr>
          <w:sz w:val="20"/>
          <w:szCs w:val="20"/>
          <w:color w:val="auto"/>
        </w:rPr>
      </w:pPr>
    </w:p>
    <w:tbl>
      <w:tblPr>
        <w:tblLayout w:type="fixed"/>
        <w:tblInd w:w="1560" w:type="dxa"/>
        <w:tblCellMar>
          <w:top w:w="0" w:type="dxa"/>
          <w:left w:w="0" w:type="dxa"/>
          <w:bottom w:w="0" w:type="dxa"/>
          <w:right w:w="0" w:type="dxa"/>
        </w:tblCellMar>
      </w:tblPr>
      <w:tr>
        <w:trPr>
          <w:trHeight w:val="119"/>
        </w:trPr>
        <w:tc>
          <w:tcPr>
            <w:tcW w:w="3460" w:type="dxa"/>
            <w:vAlign w:val="bottom"/>
          </w:tcPr>
          <w:p>
            <w:pPr>
              <w:spacing w:after="0"/>
              <w:rPr>
                <w:sz w:val="10"/>
                <w:szCs w:val="10"/>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2"/>
              </w:rPr>
              <w:t>FY 2022, year-over-year growth</w:t>
            </w:r>
          </w:p>
        </w:tc>
      </w:tr>
      <w:tr>
        <w:trPr>
          <w:trHeight w:val="94"/>
        </w:trPr>
        <w:tc>
          <w:tcPr>
            <w:tcW w:w="3460" w:type="dxa"/>
            <w:vAlign w:val="bottom"/>
          </w:tcPr>
          <w:p>
            <w:pPr>
              <w:spacing w:after="0"/>
              <w:rPr>
                <w:sz w:val="8"/>
                <w:szCs w:val="8"/>
                <w:color w:val="auto"/>
              </w:rPr>
            </w:pPr>
          </w:p>
        </w:tc>
        <w:tc>
          <w:tcPr>
            <w:tcW w:w="1520" w:type="dxa"/>
            <w:vAlign w:val="bottom"/>
            <w:gridSpan w:val="2"/>
          </w:tcPr>
          <w:p>
            <w:pPr>
              <w:ind w:left="60"/>
              <w:spacing w:after="0" w:line="94" w:lineRule="exact"/>
              <w:rPr>
                <w:sz w:val="20"/>
                <w:szCs w:val="20"/>
                <w:color w:val="auto"/>
              </w:rPr>
            </w:pPr>
            <w:r>
              <w:rPr>
                <w:rFonts w:ascii="Arial" w:cs="Arial" w:eastAsia="Arial" w:hAnsi="Arial"/>
                <w:sz w:val="10"/>
                <w:szCs w:val="10"/>
                <w:b w:val="1"/>
                <w:bCs w:val="1"/>
                <w:color w:val="auto"/>
              </w:rPr>
              <w:t>Current Guidance</w:t>
            </w:r>
          </w:p>
        </w:tc>
        <w:tc>
          <w:tcPr>
            <w:tcW w:w="900" w:type="dxa"/>
            <w:vAlign w:val="bottom"/>
          </w:tcPr>
          <w:p>
            <w:pPr>
              <w:ind w:left="40"/>
              <w:spacing w:after="0" w:line="94" w:lineRule="exact"/>
              <w:rPr>
                <w:sz w:val="20"/>
                <w:szCs w:val="20"/>
                <w:color w:val="auto"/>
              </w:rPr>
            </w:pPr>
            <w:r>
              <w:rPr>
                <w:rFonts w:ascii="Arial" w:cs="Arial" w:eastAsia="Arial" w:hAnsi="Arial"/>
                <w:sz w:val="10"/>
                <w:szCs w:val="10"/>
                <w:b w:val="1"/>
                <w:bCs w:val="1"/>
                <w:color w:val="auto"/>
                <w:w w:val="92"/>
              </w:rPr>
              <w:t>Previous Guidance</w:t>
            </w:r>
          </w:p>
        </w:tc>
      </w:tr>
      <w:tr>
        <w:trPr>
          <w:trHeight w:val="141"/>
        </w:trPr>
        <w:tc>
          <w:tcPr>
            <w:tcW w:w="346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Revenue growth, as reported</w:t>
            </w:r>
          </w:p>
        </w:tc>
        <w:tc>
          <w:tcPr>
            <w:tcW w:w="900" w:type="dxa"/>
            <w:vAlign w:val="bottom"/>
            <w:tcBorders>
              <w:top w:val="single" w:sz="8" w:color="auto"/>
            </w:tcBorders>
            <w:shd w:val="clear" w:color="auto" w:fill="CCEEFF"/>
          </w:tcPr>
          <w:p>
            <w:pPr>
              <w:jc w:val="center"/>
              <w:spacing w:after="0" w:line="141" w:lineRule="exact"/>
              <w:rPr>
                <w:sz w:val="20"/>
                <w:szCs w:val="20"/>
                <w:color w:val="auto"/>
              </w:rPr>
            </w:pPr>
            <w:r>
              <w:rPr>
                <w:rFonts w:ascii="Arial" w:cs="Arial" w:eastAsia="Arial" w:hAnsi="Arial"/>
                <w:sz w:val="13"/>
                <w:szCs w:val="13"/>
                <w:color w:val="auto"/>
                <w:w w:val="87"/>
              </w:rPr>
              <w:t>5.2%-7.2%</w:t>
            </w:r>
          </w:p>
        </w:tc>
        <w:tc>
          <w:tcPr>
            <w:tcW w:w="6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center"/>
              <w:spacing w:after="0" w:line="141" w:lineRule="exact"/>
              <w:rPr>
                <w:sz w:val="20"/>
                <w:szCs w:val="20"/>
                <w:color w:val="auto"/>
              </w:rPr>
            </w:pPr>
            <w:r>
              <w:rPr>
                <w:rFonts w:ascii="Arial" w:cs="Arial" w:eastAsia="Arial" w:hAnsi="Arial"/>
                <w:sz w:val="13"/>
                <w:szCs w:val="13"/>
                <w:color w:val="auto"/>
                <w:w w:val="91"/>
              </w:rPr>
              <w:t>3.4%-7.4%</w:t>
            </w:r>
          </w:p>
        </w:tc>
      </w:tr>
      <w:tr>
        <w:trPr>
          <w:trHeight w:val="152"/>
        </w:trPr>
        <w:tc>
          <w:tcPr>
            <w:tcW w:w="3460" w:type="dxa"/>
            <w:vAlign w:val="bottom"/>
          </w:tcPr>
          <w:p>
            <w:pPr>
              <w:spacing w:after="0"/>
              <w:rPr>
                <w:sz w:val="20"/>
                <w:szCs w:val="20"/>
                <w:color w:val="auto"/>
              </w:rPr>
            </w:pPr>
            <w:r>
              <w:rPr>
                <w:rFonts w:ascii="Arial" w:cs="Arial" w:eastAsia="Arial" w:hAnsi="Arial"/>
                <w:sz w:val="13"/>
                <w:szCs w:val="13"/>
                <w:color w:val="auto"/>
              </w:rPr>
              <w:t>Pro forma</w:t>
            </w:r>
            <w:r>
              <w:rPr>
                <w:rFonts w:ascii="Arial" w:cs="Arial" w:eastAsia="Arial" w:hAnsi="Arial"/>
                <w:sz w:val="10"/>
                <w:szCs w:val="10"/>
                <w:color w:val="auto"/>
              </w:rPr>
              <w:t>(2)</w:t>
            </w:r>
            <w:r>
              <w:rPr>
                <w:rFonts w:ascii="Arial" w:cs="Arial" w:eastAsia="Arial" w:hAnsi="Arial"/>
                <w:sz w:val="13"/>
                <w:szCs w:val="13"/>
                <w:color w:val="auto"/>
              </w:rPr>
              <w:t xml:space="preserve"> revenue growth, constant currency</w:t>
            </w:r>
            <w:r>
              <w:rPr>
                <w:rFonts w:ascii="Arial" w:cs="Arial" w:eastAsia="Arial" w:hAnsi="Arial"/>
                <w:sz w:val="10"/>
                <w:szCs w:val="10"/>
                <w:color w:val="auto"/>
              </w:rPr>
              <w:t>(3)</w:t>
            </w:r>
          </w:p>
        </w:tc>
        <w:tc>
          <w:tcPr>
            <w:tcW w:w="900" w:type="dxa"/>
            <w:vAlign w:val="bottom"/>
          </w:tcPr>
          <w:p>
            <w:pPr>
              <w:jc w:val="center"/>
              <w:spacing w:after="0"/>
              <w:rPr>
                <w:sz w:val="20"/>
                <w:szCs w:val="20"/>
                <w:color w:val="auto"/>
              </w:rPr>
            </w:pPr>
            <w:r>
              <w:rPr>
                <w:rFonts w:ascii="Arial" w:cs="Arial" w:eastAsia="Arial" w:hAnsi="Arial"/>
                <w:sz w:val="13"/>
                <w:szCs w:val="13"/>
                <w:color w:val="auto"/>
                <w:w w:val="90"/>
              </w:rPr>
              <w:t>8.0%-10.0%</w:t>
            </w:r>
          </w:p>
        </w:tc>
        <w:tc>
          <w:tcPr>
            <w:tcW w:w="6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7"/>
              </w:rPr>
              <w:t>6.0%-10.0%</w:t>
            </w:r>
          </w:p>
        </w:tc>
      </w:tr>
      <w:tr>
        <w:trPr>
          <w:trHeight w:val="152"/>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GAAP diluted EPS growth</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(20.5)% -(17.0)%</w:t>
            </w:r>
          </w:p>
        </w:tc>
        <w:tc>
          <w:tcPr>
            <w:tcW w:w="62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(23.0)% -(17.5)%</w:t>
            </w:r>
          </w:p>
        </w:tc>
      </w:tr>
      <w:tr>
        <w:trPr>
          <w:trHeight w:val="152"/>
        </w:trPr>
        <w:tc>
          <w:tcPr>
            <w:tcW w:w="3460" w:type="dxa"/>
            <w:vAlign w:val="bottom"/>
          </w:tcPr>
          <w:p>
            <w:pPr>
              <w:spacing w:after="0"/>
              <w:rPr>
                <w:sz w:val="20"/>
                <w:szCs w:val="20"/>
                <w:color w:val="auto"/>
              </w:rPr>
            </w:pPr>
            <w:r>
              <w:rPr>
                <w:rFonts w:ascii="Arial" w:cs="Arial" w:eastAsia="Arial" w:hAnsi="Arial"/>
                <w:sz w:val="13"/>
                <w:szCs w:val="13"/>
                <w:color w:val="auto"/>
              </w:rPr>
              <w:t>Adjusted GAAP diluted EPS growth</w:t>
            </w:r>
            <w:r>
              <w:rPr>
                <w:rFonts w:ascii="Arial" w:cs="Arial" w:eastAsia="Arial" w:hAnsi="Arial"/>
                <w:sz w:val="10"/>
                <w:szCs w:val="10"/>
                <w:color w:val="auto"/>
              </w:rPr>
              <w:t>(4)</w:t>
            </w:r>
          </w:p>
        </w:tc>
        <w:tc>
          <w:tcPr>
            <w:tcW w:w="900" w:type="dxa"/>
            <w:vAlign w:val="bottom"/>
          </w:tcPr>
          <w:p>
            <w:pPr>
              <w:jc w:val="center"/>
              <w:spacing w:after="0"/>
              <w:rPr>
                <w:sz w:val="20"/>
                <w:szCs w:val="20"/>
                <w:color w:val="auto"/>
              </w:rPr>
            </w:pPr>
            <w:r>
              <w:rPr>
                <w:rFonts w:ascii="Arial" w:cs="Arial" w:eastAsia="Arial" w:hAnsi="Arial"/>
                <w:sz w:val="13"/>
                <w:szCs w:val="13"/>
                <w:color w:val="auto"/>
                <w:w w:val="90"/>
              </w:rPr>
              <w:t>7.5%-12.5%</w:t>
            </w:r>
          </w:p>
        </w:tc>
        <w:tc>
          <w:tcPr>
            <w:tcW w:w="6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7"/>
              </w:rPr>
              <w:t>6.0%-13.0%</w:t>
            </w:r>
          </w:p>
        </w:tc>
      </w:tr>
      <w:tr>
        <w:trPr>
          <w:trHeight w:val="152"/>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Non-GAAP diluted EPS growth</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7.3%-10.3%</w:t>
            </w:r>
          </w:p>
        </w:tc>
        <w:tc>
          <w:tcPr>
            <w:tcW w:w="62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6.3%-10.3%</w:t>
            </w:r>
          </w:p>
        </w:tc>
      </w:tr>
      <w:tr>
        <w:trPr>
          <w:trHeight w:val="161"/>
        </w:trPr>
        <w:tc>
          <w:tcPr>
            <w:tcW w:w="3460" w:type="dxa"/>
            <w:vAlign w:val="bottom"/>
          </w:tcPr>
          <w:p>
            <w:pPr>
              <w:spacing w:after="0"/>
              <w:rPr>
                <w:sz w:val="20"/>
                <w:szCs w:val="20"/>
                <w:color w:val="auto"/>
              </w:rPr>
            </w:pPr>
            <w:r>
              <w:rPr>
                <w:rFonts w:ascii="Arial" w:cs="Arial" w:eastAsia="Arial" w:hAnsi="Arial"/>
                <w:sz w:val="13"/>
                <w:szCs w:val="13"/>
                <w:color w:val="auto"/>
              </w:rPr>
              <w:t>Pro forma</w:t>
            </w:r>
            <w:r>
              <w:rPr>
                <w:rFonts w:ascii="Arial" w:cs="Arial" w:eastAsia="Arial" w:hAnsi="Arial"/>
                <w:sz w:val="10"/>
                <w:szCs w:val="10"/>
                <w:color w:val="auto"/>
              </w:rPr>
              <w:t>(2)</w:t>
            </w:r>
            <w:r>
              <w:rPr>
                <w:rFonts w:ascii="Arial" w:cs="Arial" w:eastAsia="Arial" w:hAnsi="Arial"/>
                <w:sz w:val="13"/>
                <w:szCs w:val="13"/>
                <w:color w:val="auto"/>
              </w:rPr>
              <w:t xml:space="preserve"> non-GAAP diluted EPS growth</w:t>
            </w:r>
          </w:p>
        </w:tc>
        <w:tc>
          <w:tcPr>
            <w:tcW w:w="900" w:type="dxa"/>
            <w:vAlign w:val="bottom"/>
          </w:tcPr>
          <w:p>
            <w:pPr>
              <w:jc w:val="center"/>
              <w:spacing w:after="0"/>
              <w:rPr>
                <w:sz w:val="20"/>
                <w:szCs w:val="20"/>
                <w:color w:val="auto"/>
              </w:rPr>
            </w:pPr>
            <w:r>
              <w:rPr>
                <w:rFonts w:ascii="Arial" w:cs="Arial" w:eastAsia="Arial" w:hAnsi="Arial"/>
                <w:sz w:val="13"/>
                <w:szCs w:val="13"/>
                <w:color w:val="auto"/>
                <w:w w:val="90"/>
              </w:rPr>
              <w:t>9.0%-12.0%</w:t>
            </w:r>
          </w:p>
        </w:tc>
        <w:tc>
          <w:tcPr>
            <w:tcW w:w="6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7"/>
              </w:rPr>
              <w:t>8.0%-12.0%</w:t>
            </w:r>
          </w:p>
        </w:tc>
      </w:tr>
      <w:tr>
        <w:trPr>
          <w:trHeight w:val="232"/>
        </w:trPr>
        <w:tc>
          <w:tcPr>
            <w:tcW w:w="3460" w:type="dxa"/>
            <w:vAlign w:val="bottom"/>
          </w:tcPr>
          <w:p>
            <w:pPr>
              <w:spacing w:after="0"/>
              <w:rPr>
                <w:sz w:val="20"/>
                <w:szCs w:val="20"/>
                <w:color w:val="auto"/>
              </w:rPr>
            </w:pPr>
          </w:p>
        </w:tc>
        <w:tc>
          <w:tcPr>
            <w:tcW w:w="2420" w:type="dxa"/>
            <w:vAlign w:val="bottom"/>
            <w:gridSpan w:val="3"/>
          </w:tcPr>
          <w:p>
            <w:pPr>
              <w:jc w:val="center"/>
              <w:spacing w:after="0"/>
              <w:rPr>
                <w:sz w:val="20"/>
                <w:szCs w:val="20"/>
                <w:color w:val="auto"/>
              </w:rPr>
            </w:pPr>
            <w:r>
              <w:rPr>
                <w:rFonts w:ascii="Arial" w:cs="Arial" w:eastAsia="Arial" w:hAnsi="Arial"/>
                <w:sz w:val="10"/>
                <w:szCs w:val="10"/>
                <w:b w:val="1"/>
                <w:bCs w:val="1"/>
                <w:color w:val="auto"/>
                <w:w w:val="92"/>
              </w:rPr>
              <w:t>FY 2022, in millions</w:t>
            </w:r>
          </w:p>
        </w:tc>
      </w:tr>
      <w:tr>
        <w:trPr>
          <w:trHeight w:val="119"/>
        </w:trPr>
        <w:tc>
          <w:tcPr>
            <w:tcW w:w="3460" w:type="dxa"/>
            <w:vAlign w:val="bottom"/>
          </w:tcPr>
          <w:p>
            <w:pPr>
              <w:spacing w:after="0"/>
              <w:rPr>
                <w:sz w:val="10"/>
                <w:szCs w:val="10"/>
                <w:color w:val="auto"/>
              </w:rPr>
            </w:pPr>
          </w:p>
        </w:tc>
        <w:tc>
          <w:tcPr>
            <w:tcW w:w="1520" w:type="dxa"/>
            <w:vAlign w:val="bottom"/>
            <w:gridSpan w:val="2"/>
          </w:tcPr>
          <w:p>
            <w:pPr>
              <w:ind w:left="60"/>
              <w:spacing w:after="0"/>
              <w:rPr>
                <w:sz w:val="20"/>
                <w:szCs w:val="20"/>
                <w:color w:val="auto"/>
              </w:rPr>
            </w:pPr>
            <w:r>
              <w:rPr>
                <w:rFonts w:ascii="Arial" w:cs="Arial" w:eastAsia="Arial" w:hAnsi="Arial"/>
                <w:sz w:val="10"/>
                <w:szCs w:val="10"/>
                <w:b w:val="1"/>
                <w:bCs w:val="1"/>
                <w:color w:val="auto"/>
              </w:rPr>
              <w:t>Current Guidance</w:t>
            </w:r>
          </w:p>
        </w:tc>
        <w:tc>
          <w:tcPr>
            <w:tcW w:w="900" w:type="dxa"/>
            <w:vAlign w:val="bottom"/>
          </w:tcPr>
          <w:p>
            <w:pPr>
              <w:ind w:left="40"/>
              <w:spacing w:after="0"/>
              <w:rPr>
                <w:sz w:val="20"/>
                <w:szCs w:val="20"/>
                <w:color w:val="auto"/>
              </w:rPr>
            </w:pPr>
            <w:r>
              <w:rPr>
                <w:rFonts w:ascii="Arial" w:cs="Arial" w:eastAsia="Arial" w:hAnsi="Arial"/>
                <w:sz w:val="10"/>
                <w:szCs w:val="10"/>
                <w:b w:val="1"/>
                <w:bCs w:val="1"/>
                <w:color w:val="auto"/>
                <w:w w:val="92"/>
              </w:rPr>
              <w:t>Previous Guidance</w:t>
            </w:r>
          </w:p>
        </w:tc>
      </w:tr>
      <w:tr>
        <w:trPr>
          <w:trHeight w:val="152"/>
        </w:trPr>
        <w:tc>
          <w:tcPr>
            <w:tcW w:w="3460" w:type="dxa"/>
            <w:vAlign w:val="bottom"/>
            <w:shd w:val="clear" w:color="auto" w:fill="CCEEFF"/>
          </w:tcPr>
          <w:p>
            <w:pPr>
              <w:spacing w:after="0"/>
              <w:rPr>
                <w:sz w:val="20"/>
                <w:szCs w:val="20"/>
                <w:color w:val="auto"/>
              </w:rPr>
            </w:pPr>
            <w:r>
              <w:rPr>
                <w:rFonts w:ascii="Arial" w:cs="Arial" w:eastAsia="Arial" w:hAnsi="Arial"/>
                <w:sz w:val="13"/>
                <w:szCs w:val="13"/>
                <w:color w:val="auto"/>
              </w:rPr>
              <w:t>Free cash flow</w:t>
            </w:r>
            <w:r>
              <w:rPr>
                <w:rFonts w:ascii="Arial" w:cs="Arial" w:eastAsia="Arial" w:hAnsi="Arial"/>
                <w:sz w:val="10"/>
                <w:szCs w:val="10"/>
                <w:color w:val="auto"/>
              </w:rPr>
              <w:t>(1)</w:t>
            </w: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~$500</w:t>
            </w:r>
          </w:p>
        </w:tc>
        <w:tc>
          <w:tcPr>
            <w:tcW w:w="62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~$500</w:t>
            </w:r>
          </w:p>
        </w:tc>
      </w:tr>
      <w:tr>
        <w:trPr>
          <w:trHeight w:val="161"/>
        </w:trPr>
        <w:tc>
          <w:tcPr>
            <w:tcW w:w="3460" w:type="dxa"/>
            <w:vAlign w:val="bottom"/>
          </w:tcPr>
          <w:p>
            <w:pPr>
              <w:spacing w:after="0"/>
              <w:rPr>
                <w:sz w:val="20"/>
                <w:szCs w:val="20"/>
                <w:color w:val="auto"/>
              </w:rPr>
            </w:pPr>
            <w:r>
              <w:rPr>
                <w:rFonts w:ascii="Arial" w:cs="Arial" w:eastAsia="Arial" w:hAnsi="Arial"/>
                <w:sz w:val="13"/>
                <w:szCs w:val="13"/>
                <w:color w:val="auto"/>
              </w:rPr>
              <w:t>Normalized free cash flow</w:t>
            </w:r>
            <w:r>
              <w:rPr>
                <w:rFonts w:ascii="Arial" w:cs="Arial" w:eastAsia="Arial" w:hAnsi="Arial"/>
                <w:sz w:val="10"/>
                <w:szCs w:val="10"/>
                <w:color w:val="auto"/>
              </w:rPr>
              <w:t>(1)</w:t>
            </w:r>
          </w:p>
        </w:tc>
        <w:tc>
          <w:tcPr>
            <w:tcW w:w="900" w:type="dxa"/>
            <w:vAlign w:val="bottom"/>
          </w:tcPr>
          <w:p>
            <w:pPr>
              <w:jc w:val="center"/>
              <w:spacing w:after="0"/>
              <w:rPr>
                <w:sz w:val="20"/>
                <w:szCs w:val="20"/>
                <w:color w:val="auto"/>
              </w:rPr>
            </w:pPr>
            <w:r>
              <w:rPr>
                <w:rFonts w:ascii="Arial" w:cs="Arial" w:eastAsia="Arial" w:hAnsi="Arial"/>
                <w:sz w:val="13"/>
                <w:szCs w:val="13"/>
                <w:color w:val="auto"/>
                <w:w w:val="87"/>
              </w:rPr>
              <w:t>~$650</w:t>
            </w:r>
          </w:p>
        </w:tc>
        <w:tc>
          <w:tcPr>
            <w:tcW w:w="6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auto"/>
                <w:w w:val="87"/>
              </w:rPr>
              <w:t>~$650</w:t>
            </w:r>
          </w:p>
        </w:tc>
      </w:tr>
    </w:tbl>
    <w:p>
      <w:pPr>
        <w:spacing w:after="0" w:line="153" w:lineRule="exact"/>
        <w:rPr>
          <w:sz w:val="20"/>
          <w:szCs w:val="20"/>
          <w:color w:val="auto"/>
        </w:rPr>
      </w:pPr>
    </w:p>
    <w:p>
      <w:pPr>
        <w:ind w:left="1320" w:right="759" w:hanging="303"/>
        <w:spacing w:after="0" w:line="261" w:lineRule="auto"/>
        <w:tabs>
          <w:tab w:leader="none" w:pos="1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Full year fiscal 2022 revenue guidance incorporates an expected unfavorable impact from foreign currency fluctuations of approximately 0.8% year-over-year as compared with an unfavorable impact of about 0.6% year-over-year previously</w:t>
      </w:r>
    </w:p>
    <w:p>
      <w:pPr>
        <w:sectPr>
          <w:pgSz w:w="11900" w:h="16838" w:orient="portrait"/>
          <w:cols w:equalWidth="0" w:num="1">
            <w:col w:w="9019"/>
          </w:cols>
          <w:pgMar w:left="1440" w:top="231" w:right="1440" w:bottom="1440" w:gutter="0" w:footer="0" w:header="0"/>
        </w:sectPr>
      </w:pPr>
    </w:p>
    <w:bookmarkStart w:id="8" w:name="page9"/>
    <w:bookmarkEnd w:id="8"/>
    <w:p>
      <w:pPr>
        <w:ind w:left="1320" w:right="699" w:hanging="303"/>
        <w:spacing w:after="0" w:line="309" w:lineRule="auto"/>
        <w:tabs>
          <w:tab w:leader="none" w:pos="1320" w:val="left"/>
        </w:tabs>
        <w:numPr>
          <w:ilvl w:val="0"/>
          <w:numId w:val="8"/>
        </w:numPr>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Non-GAAP diluted earnings per share growth, and pro forma</w:t>
      </w:r>
      <w:r>
        <w:rPr>
          <w:rFonts w:ascii="Arial" w:cs="Arial" w:eastAsia="Arial" w:hAnsi="Arial"/>
          <w:sz w:val="8"/>
          <w:szCs w:val="8"/>
          <w:color w:val="auto"/>
        </w:rPr>
        <w:t>(2)</w:t>
      </w:r>
      <w:r>
        <w:rPr>
          <w:rFonts w:ascii="Arial" w:cs="Arial" w:eastAsia="Arial" w:hAnsi="Arial"/>
          <w:sz w:val="11"/>
          <w:szCs w:val="11"/>
          <w:color w:val="auto"/>
        </w:rPr>
        <w:t xml:space="preserve"> non-GAAP diluted earnings per share growth, excludes amortization of purchased intangible assets and other acquisition-related costs, changes in certain acquisitions related liabilities measured at fair value, approximately $0.46-$0.50 per share of equity-based compensation expense, gain from divestiture of OpenMarket and other, net of related tax effects. Adjusted GAAP diluted earnings per share growth</w:t>
      </w:r>
      <w:r>
        <w:rPr>
          <w:rFonts w:ascii="Arial" w:cs="Arial" w:eastAsia="Arial" w:hAnsi="Arial"/>
          <w:sz w:val="8"/>
          <w:szCs w:val="8"/>
          <w:color w:val="auto"/>
        </w:rPr>
        <w:t>(4)</w:t>
      </w:r>
      <w:r>
        <w:rPr>
          <w:rFonts w:ascii="Arial" w:cs="Arial" w:eastAsia="Arial" w:hAnsi="Arial"/>
          <w:sz w:val="11"/>
          <w:szCs w:val="11"/>
          <w:color w:val="auto"/>
        </w:rPr>
        <w:t>, excludes gain from divestiture of OpenMarket, net of related tax effects</w:t>
      </w:r>
    </w:p>
    <w:p>
      <w:pPr>
        <w:spacing w:after="0" w:line="40" w:lineRule="exact"/>
        <w:rPr>
          <w:rFonts w:ascii="Arial" w:cs="Arial" w:eastAsia="Arial" w:hAnsi="Arial"/>
          <w:sz w:val="11"/>
          <w:szCs w:val="11"/>
          <w:color w:val="auto"/>
        </w:rPr>
      </w:pPr>
    </w:p>
    <w:p>
      <w:pPr>
        <w:ind w:left="1320" w:hanging="303"/>
        <w:spacing w:after="0"/>
        <w:tabs>
          <w:tab w:leader="none" w:pos="1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Non-GAAP effective tax rate is anticipated to be within a range of 13.0% to 17.0% for the full year fiscal 2022</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Free cash flow</w:t>
      </w:r>
      <w:r>
        <w:rPr>
          <w:rFonts w:ascii="Arial" w:cs="Arial" w:eastAsia="Arial" w:hAnsi="Arial"/>
          <w:sz w:val="10"/>
          <w:szCs w:val="10"/>
          <w:color w:val="auto"/>
        </w:rPr>
        <w:t>(1)</w:t>
      </w:r>
      <w:r>
        <w:rPr>
          <w:rFonts w:ascii="Arial" w:cs="Arial" w:eastAsia="Arial" w:hAnsi="Arial"/>
          <w:sz w:val="13"/>
          <w:szCs w:val="13"/>
          <w:color w:val="auto"/>
        </w:rPr>
        <w:t xml:space="preserve"> is comprised of cash flow from operations, less net capital expenditures and other</w:t>
      </w:r>
    </w:p>
    <w:p>
      <w:pPr>
        <w:spacing w:after="0" w:line="87" w:lineRule="exact"/>
        <w:rPr>
          <w:rFonts w:ascii="Arial" w:cs="Arial" w:eastAsia="Arial" w:hAnsi="Arial"/>
          <w:sz w:val="13"/>
          <w:szCs w:val="13"/>
          <w:color w:val="auto"/>
        </w:rPr>
      </w:pPr>
    </w:p>
    <w:p>
      <w:pPr>
        <w:ind w:left="1320" w:right="859" w:hanging="303"/>
        <w:spacing w:after="0" w:line="261" w:lineRule="auto"/>
        <w:tabs>
          <w:tab w:leader="none" w:pos="1320" w:val="left"/>
        </w:tabs>
        <w:numPr>
          <w:ilvl w:val="0"/>
          <w:numId w:val="8"/>
        </w:numPr>
        <w:rPr>
          <w:rFonts w:ascii="Arial" w:cs="Arial" w:eastAsia="Arial" w:hAnsi="Arial"/>
          <w:sz w:val="13"/>
          <w:szCs w:val="13"/>
          <w:color w:val="auto"/>
        </w:rPr>
      </w:pPr>
      <w:r>
        <w:rPr>
          <w:rFonts w:ascii="Arial" w:cs="Arial" w:eastAsia="Arial" w:hAnsi="Arial"/>
          <w:sz w:val="13"/>
          <w:szCs w:val="13"/>
          <w:color w:val="auto"/>
        </w:rPr>
        <w:t>Normalized free cash flow excludes expected capital expenditure of $131 million related to the new campus development in Israel, and other items</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Three Year Fiscal 2022-2024 Outlook</w:t>
      </w:r>
    </w:p>
    <w:p>
      <w:pPr>
        <w:spacing w:after="0" w:line="91" w:lineRule="exact"/>
        <w:rPr>
          <w:sz w:val="20"/>
          <w:szCs w:val="20"/>
          <w:color w:val="auto"/>
        </w:rPr>
      </w:pPr>
    </w:p>
    <w:p>
      <w:pPr>
        <w:ind w:left="1320" w:right="1159" w:hanging="303"/>
        <w:spacing w:after="0" w:line="261" w:lineRule="auto"/>
        <w:tabs>
          <w:tab w:leader="none" w:pos="132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 addition to our full year fiscal 2022 revenue guidance, we project revenue growth of 6.0% to 10% year-over-year on a constant currency</w:t>
      </w:r>
      <w:r>
        <w:rPr>
          <w:rFonts w:ascii="Arial" w:cs="Arial" w:eastAsia="Arial" w:hAnsi="Arial"/>
          <w:sz w:val="10"/>
          <w:szCs w:val="10"/>
          <w:color w:val="auto"/>
        </w:rPr>
        <w:t>(3)</w:t>
      </w:r>
      <w:r>
        <w:rPr>
          <w:rFonts w:ascii="Arial" w:cs="Arial" w:eastAsia="Arial" w:hAnsi="Arial"/>
          <w:sz w:val="13"/>
          <w:szCs w:val="13"/>
          <w:color w:val="auto"/>
        </w:rPr>
        <w:t xml:space="preserve"> basis in each of fiscal years 2023 and 2024</w:t>
      </w:r>
    </w:p>
    <w:p>
      <w:pPr>
        <w:spacing w:after="0" w:line="63" w:lineRule="exact"/>
        <w:rPr>
          <w:rFonts w:ascii="Arial" w:cs="Arial" w:eastAsia="Arial" w:hAnsi="Arial"/>
          <w:sz w:val="13"/>
          <w:szCs w:val="13"/>
          <w:color w:val="auto"/>
        </w:rPr>
      </w:pPr>
    </w:p>
    <w:p>
      <w:pPr>
        <w:ind w:left="1320" w:right="719" w:hanging="303"/>
        <w:spacing w:after="0" w:line="352" w:lineRule="auto"/>
        <w:tabs>
          <w:tab w:leader="none" w:pos="1320" w:val="left"/>
        </w:tabs>
        <w:numPr>
          <w:ilvl w:val="0"/>
          <w:numId w:val="9"/>
        </w:numPr>
        <w:rPr>
          <w:rFonts w:ascii="Arial" w:cs="Arial" w:eastAsia="Arial" w:hAnsi="Arial"/>
          <w:sz w:val="11"/>
          <w:szCs w:val="11"/>
          <w:color w:val="auto"/>
        </w:rPr>
      </w:pPr>
      <w:r>
        <w:rPr>
          <w:rFonts w:ascii="Arial" w:cs="Arial" w:eastAsia="Arial" w:hAnsi="Arial"/>
          <w:sz w:val="11"/>
          <w:szCs w:val="11"/>
          <w:color w:val="auto"/>
        </w:rPr>
        <w:t>Projecting revenue growth on an as reported basis in each of fiscal years 2023 and 2024 is not possible without unreasonable efforts given the uncertain impact of foreign exchange rates and acquisition activity which cannot be reasonably predicted at this time</w:t>
      </w:r>
    </w:p>
    <w:p>
      <w:pPr>
        <w:spacing w:after="0" w:line="84" w:lineRule="exact"/>
        <w:rPr>
          <w:sz w:val="20"/>
          <w:szCs w:val="20"/>
          <w:color w:val="auto"/>
        </w:rPr>
      </w:pPr>
    </w:p>
    <w:p>
      <w:pPr>
        <w:ind w:left="640" w:right="699"/>
        <w:spacing w:after="0" w:line="273" w:lineRule="auto"/>
        <w:rPr>
          <w:sz w:val="20"/>
          <w:szCs w:val="20"/>
          <w:color w:val="auto"/>
        </w:rPr>
      </w:pPr>
      <w:r>
        <w:rPr>
          <w:rFonts w:ascii="Arial" w:cs="Arial" w:eastAsia="Arial" w:hAnsi="Arial"/>
          <w:sz w:val="12"/>
          <w:szCs w:val="12"/>
          <w:color w:val="auto"/>
        </w:rPr>
        <w:t>Our third fiscal quarter 2022 and full year fiscal 2022, 2023 and 2024 forward looking projections take into consideration the Company’s current expectations regarding macro and industry specific risks and various uncertainties and certain assumptions that we will discuss on our earnings conference call. However, we note that market dynamics continue to shift rapidly and we cannot predict all possible outcomes, including those resulting from the COVID-19 pandemic, including its novel strains, which has created, and continues to create, a significant amount of uncertainty, or from current and potential customer consolidation or their other strategic corporate activities.</w:t>
      </w:r>
    </w:p>
    <w:p>
      <w:pPr>
        <w:sectPr>
          <w:pgSz w:w="11900" w:h="16838" w:orient="portrait"/>
          <w:cols w:equalWidth="0" w:num="1">
            <w:col w:w="9019"/>
          </w:cols>
          <w:pgMar w:left="1440" w:top="235" w:right="1440" w:bottom="1440" w:gutter="0" w:footer="0" w:header="0"/>
        </w:sectPr>
      </w:pPr>
    </w:p>
    <w:bookmarkStart w:id="9" w:name="page10"/>
    <w:bookmarkEnd w:id="9"/>
    <w:p>
      <w:pPr>
        <w:ind w:left="64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Conference Call and Earnings Webcast Presentation Details</w:t>
      </w:r>
    </w:p>
    <w:p>
      <w:pPr>
        <w:spacing w:after="0" w:line="82" w:lineRule="exact"/>
        <w:rPr>
          <w:sz w:val="20"/>
          <w:szCs w:val="20"/>
          <w:color w:val="auto"/>
        </w:rPr>
      </w:pPr>
    </w:p>
    <w:p>
      <w:pPr>
        <w:ind w:left="640" w:right="759"/>
        <w:spacing w:after="0" w:line="276" w:lineRule="auto"/>
        <w:rPr>
          <w:sz w:val="20"/>
          <w:szCs w:val="20"/>
          <w:color w:val="auto"/>
        </w:rPr>
      </w:pPr>
      <w:r>
        <w:rPr>
          <w:rFonts w:ascii="Arial" w:cs="Arial" w:eastAsia="Arial" w:hAnsi="Arial"/>
          <w:sz w:val="12"/>
          <w:szCs w:val="12"/>
          <w:color w:val="auto"/>
        </w:rPr>
        <w:t>Amdocs will host a conference call and earnings webcast presentation on May 11, 2022 at 5:00 p.m. Eastern Time to discuss the Company’s second quarter of fiscal 2022 results. To participate, please dial +1 (844) 513-7152, or +1 (508) 637-5600 outside the United States, approximately 15 minutes before the call and enter passcode 4136629. The conference call and webcast will also be carried live on the Internet and may be accessed via the Amdocs website at https://investors.amdocs.com. Presentation slides will be available shortly before the webcast.</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Non-GAAP Financial Measures</w:t>
      </w:r>
    </w:p>
    <w:p>
      <w:pPr>
        <w:spacing w:after="0" w:line="82" w:lineRule="exact"/>
        <w:rPr>
          <w:sz w:val="20"/>
          <w:szCs w:val="20"/>
          <w:color w:val="auto"/>
        </w:rPr>
      </w:pPr>
    </w:p>
    <w:p>
      <w:pPr>
        <w:ind w:left="640" w:right="719"/>
        <w:spacing w:after="0" w:line="247" w:lineRule="auto"/>
        <w:rPr>
          <w:sz w:val="20"/>
          <w:szCs w:val="20"/>
          <w:color w:val="auto"/>
        </w:rPr>
      </w:pPr>
      <w:r>
        <w:rPr>
          <w:rFonts w:ascii="Arial" w:cs="Arial" w:eastAsia="Arial" w:hAnsi="Arial"/>
          <w:sz w:val="13"/>
          <w:szCs w:val="13"/>
          <w:color w:val="auto"/>
        </w:rPr>
        <w:t>This release includes non-GAAP diluted earnings per share and other non-GAAP financial measures, including free cash flow and normalized free cash flow, revenue on a constant currency</w:t>
      </w:r>
      <w:r>
        <w:rPr>
          <w:rFonts w:ascii="Arial" w:cs="Arial" w:eastAsia="Arial" w:hAnsi="Arial"/>
          <w:sz w:val="10"/>
          <w:szCs w:val="10"/>
          <w:color w:val="auto"/>
        </w:rPr>
        <w:t>(3)</w:t>
      </w:r>
      <w:r>
        <w:rPr>
          <w:rFonts w:ascii="Arial" w:cs="Arial" w:eastAsia="Arial" w:hAnsi="Arial"/>
          <w:sz w:val="13"/>
          <w:szCs w:val="13"/>
          <w:color w:val="auto"/>
        </w:rPr>
        <w:t xml:space="preserve"> basis,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These other non-GAAP measures exclude the following items:</w:t>
      </w:r>
    </w:p>
    <w:p>
      <w:pPr>
        <w:spacing w:after="0" w:line="74" w:lineRule="exact"/>
        <w:rPr>
          <w:sz w:val="20"/>
          <w:szCs w:val="20"/>
          <w:color w:val="auto"/>
        </w:rPr>
      </w:pPr>
    </w:p>
    <w:p>
      <w:pPr>
        <w:ind w:left="1320" w:hanging="303"/>
        <w:spacing w:after="0"/>
        <w:tabs>
          <w:tab w:leader="none" w:pos="1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amortization of purchased intangible assets and other acquisition-related costs;</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changes in certain acquisition-related liabilities measured at fair value;</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non-recurring and unusual charges or benefits (such as a gain from divestiture of OpenMarket);</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equity-based compensation expense;</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other; and</w:t>
      </w:r>
    </w:p>
    <w:p>
      <w:pPr>
        <w:spacing w:after="0" w:line="87" w:lineRule="exact"/>
        <w:rPr>
          <w:rFonts w:ascii="Arial" w:cs="Arial" w:eastAsia="Arial" w:hAnsi="Arial"/>
          <w:sz w:val="13"/>
          <w:szCs w:val="13"/>
          <w:color w:val="auto"/>
        </w:rPr>
      </w:pPr>
    </w:p>
    <w:p>
      <w:pPr>
        <w:ind w:left="1320" w:hanging="303"/>
        <w:spacing w:after="0"/>
        <w:tabs>
          <w:tab w:leader="none" w:pos="1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tax effects related to the above.</w:t>
      </w:r>
    </w:p>
    <w:p>
      <w:pPr>
        <w:spacing w:after="0" w:line="154" w:lineRule="exact"/>
        <w:rPr>
          <w:sz w:val="20"/>
          <w:szCs w:val="20"/>
          <w:color w:val="auto"/>
        </w:rPr>
      </w:pPr>
    </w:p>
    <w:p>
      <w:pPr>
        <w:ind w:left="640" w:right="779"/>
        <w:spacing w:after="0" w:line="320" w:lineRule="auto"/>
        <w:rPr>
          <w:sz w:val="20"/>
          <w:szCs w:val="20"/>
          <w:color w:val="auto"/>
        </w:rPr>
      </w:pPr>
      <w:r>
        <w:rPr>
          <w:rFonts w:ascii="Arial" w:cs="Arial" w:eastAsia="Arial" w:hAnsi="Arial"/>
          <w:sz w:val="11"/>
          <w:szCs w:val="11"/>
          <w:color w:val="auto"/>
        </w:rPr>
        <w:t>Free cash flow equals cash generated by operating activities less net capital expenditures and other. Normalized free cash flow, a measure of our operating performance, is further adjusted to exclude net capital expenditures related to the new campus development, payments for non-recurring and unusual charges (such as capital gains tax in relation to the divestiture of OpenMarket), and payments of acquisition related liabilities. These non-</w:t>
      </w:r>
    </w:p>
    <w:p>
      <w:pPr>
        <w:sectPr>
          <w:pgSz w:w="11900" w:h="16838" w:orient="portrait"/>
          <w:cols w:equalWidth="0" w:num="1">
            <w:col w:w="9019"/>
          </w:cols>
          <w:pgMar w:left="1440" w:top="231" w:right="1440" w:bottom="1440" w:gutter="0" w:footer="0" w:header="0"/>
        </w:sectPr>
      </w:pPr>
    </w:p>
    <w:bookmarkStart w:id="10" w:name="page11"/>
    <w:bookmarkEnd w:id="10"/>
    <w:p>
      <w:pPr>
        <w:ind w:left="640" w:right="859"/>
        <w:spacing w:after="0" w:line="27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25" w:lineRule="exact"/>
        <w:rPr>
          <w:sz w:val="20"/>
          <w:szCs w:val="20"/>
          <w:color w:val="auto"/>
        </w:rPr>
      </w:pPr>
    </w:p>
    <w:p>
      <w:pPr>
        <w:ind w:left="640" w:right="679"/>
        <w:spacing w:after="0" w:line="300" w:lineRule="auto"/>
        <w:rPr>
          <w:sz w:val="20"/>
          <w:szCs w:val="20"/>
          <w:color w:val="auto"/>
        </w:rPr>
      </w:pPr>
      <w:r>
        <w:rPr>
          <w:rFonts w:ascii="Arial" w:cs="Arial" w:eastAsia="Arial" w:hAnsi="Arial"/>
          <w:sz w:val="11"/>
          <w:szCs w:val="11"/>
          <w:color w:val="auto"/>
        </w:rPr>
        <w:t>Amdocs believes that the presentation of non-GAAP diluted earnings per share and other financial measures, including free cash flow and normalized free cash flow,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13" w:lineRule="exact"/>
        <w:rPr>
          <w:sz w:val="20"/>
          <w:szCs w:val="20"/>
          <w:color w:val="auto"/>
        </w:rPr>
      </w:pPr>
    </w:p>
    <w:p>
      <w:pPr>
        <w:ind w:left="640" w:right="679"/>
        <w:spacing w:after="0" w:line="300" w:lineRule="auto"/>
        <w:rPr>
          <w:sz w:val="20"/>
          <w:szCs w:val="20"/>
          <w:color w:val="auto"/>
        </w:rPr>
      </w:pPr>
      <w:r>
        <w:rPr>
          <w:rFonts w:ascii="Arial" w:cs="Arial" w:eastAsia="Arial" w:hAnsi="Arial"/>
          <w:sz w:val="11"/>
          <w:szCs w:val="11"/>
          <w:color w:val="auto"/>
        </w:rPr>
        <w:t>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non-recurring and unusual charges or benefits,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ectPr>
          <w:pgSz w:w="11900" w:h="16838" w:orient="portrait"/>
          <w:cols w:equalWidth="0" w:num="1">
            <w:col w:w="9019"/>
          </w:cols>
          <w:pgMar w:left="1440" w:top="235" w:right="1440" w:bottom="1440" w:gutter="0" w:footer="0" w:header="0"/>
        </w:sectPr>
      </w:pPr>
    </w:p>
    <w:bookmarkStart w:id="11" w:name="page12"/>
    <w:bookmarkEnd w:id="11"/>
    <w:p>
      <w:pPr>
        <w:ind w:left="640" w:right="719"/>
        <w:spacing w:after="0" w:line="247"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Supporting Resources</w:t>
      </w:r>
    </w:p>
    <w:p>
      <w:pPr>
        <w:spacing w:after="0" w:line="91" w:lineRule="exact"/>
        <w:rPr>
          <w:sz w:val="20"/>
          <w:szCs w:val="20"/>
          <w:color w:val="auto"/>
        </w:rPr>
      </w:pPr>
    </w:p>
    <w:p>
      <w:pPr>
        <w:ind w:left="940" w:hanging="227"/>
        <w:spacing w:after="0"/>
        <w:tabs>
          <w:tab w:leader="none" w:pos="9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 xml:space="preserve">Keep up with Amdocs news by visiting the Company’s </w:t>
      </w:r>
      <w:r>
        <w:rPr>
          <w:rFonts w:ascii="Arial" w:cs="Arial" w:eastAsia="Arial" w:hAnsi="Arial"/>
          <w:sz w:val="13"/>
          <w:szCs w:val="13"/>
          <w:u w:val="single" w:color="auto"/>
          <w:color w:val="auto"/>
        </w:rPr>
        <w:t>website</w:t>
      </w:r>
    </w:p>
    <w:p>
      <w:pPr>
        <w:spacing w:after="0" w:line="87" w:lineRule="exact"/>
        <w:rPr>
          <w:rFonts w:ascii="Arial" w:cs="Arial" w:eastAsia="Arial" w:hAnsi="Arial"/>
          <w:sz w:val="13"/>
          <w:szCs w:val="13"/>
          <w:color w:val="auto"/>
        </w:rPr>
      </w:pPr>
    </w:p>
    <w:p>
      <w:pPr>
        <w:ind w:left="940" w:hanging="227"/>
        <w:spacing w:after="0"/>
        <w:tabs>
          <w:tab w:leader="none" w:pos="9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 xml:space="preserve">Subscribe to Amdocs’ </w:t>
      </w:r>
      <w:r>
        <w:rPr>
          <w:rFonts w:ascii="Arial" w:cs="Arial" w:eastAsia="Arial" w:hAnsi="Arial"/>
          <w:sz w:val="13"/>
          <w:szCs w:val="13"/>
          <w:u w:val="single" w:color="auto"/>
          <w:color w:val="auto"/>
        </w:rPr>
        <w:t>RSS Feed</w:t>
      </w:r>
      <w:r>
        <w:rPr>
          <w:rFonts w:ascii="Arial" w:cs="Arial" w:eastAsia="Arial" w:hAnsi="Arial"/>
          <w:sz w:val="13"/>
          <w:szCs w:val="13"/>
          <w:color w:val="auto"/>
        </w:rPr>
        <w:t xml:space="preserve"> and follow us on </w:t>
      </w:r>
      <w:r>
        <w:rPr>
          <w:rFonts w:ascii="Arial" w:cs="Arial" w:eastAsia="Arial" w:hAnsi="Arial"/>
          <w:sz w:val="13"/>
          <w:szCs w:val="13"/>
          <w:u w:val="single" w:color="auto"/>
          <w:color w:val="auto"/>
        </w:rPr>
        <w:t>Twitter</w:t>
      </w:r>
      <w:r>
        <w:rPr>
          <w:rFonts w:ascii="Arial" w:cs="Arial" w:eastAsia="Arial" w:hAnsi="Arial"/>
          <w:sz w:val="13"/>
          <w:szCs w:val="13"/>
          <w:color w:val="auto"/>
        </w:rPr>
        <w:t xml:space="preserve">, </w:t>
      </w:r>
      <w:r>
        <w:rPr>
          <w:rFonts w:ascii="Arial" w:cs="Arial" w:eastAsia="Arial" w:hAnsi="Arial"/>
          <w:sz w:val="13"/>
          <w:szCs w:val="13"/>
          <w:u w:val="single" w:color="auto"/>
          <w:color w:val="auto"/>
        </w:rPr>
        <w:t>Facebook</w:t>
      </w:r>
      <w:r>
        <w:rPr>
          <w:rFonts w:ascii="Arial" w:cs="Arial" w:eastAsia="Arial" w:hAnsi="Arial"/>
          <w:sz w:val="13"/>
          <w:szCs w:val="13"/>
          <w:color w:val="auto"/>
        </w:rPr>
        <w:t xml:space="preserve">, </w:t>
      </w:r>
      <w:r>
        <w:rPr>
          <w:rFonts w:ascii="Arial" w:cs="Arial" w:eastAsia="Arial" w:hAnsi="Arial"/>
          <w:sz w:val="13"/>
          <w:szCs w:val="13"/>
          <w:u w:val="single" w:color="auto"/>
          <w:color w:val="auto"/>
        </w:rPr>
        <w:t>LinkedIn</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YouTube</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About Amdocs</w:t>
      </w:r>
    </w:p>
    <w:p>
      <w:pPr>
        <w:spacing w:after="0" w:line="82" w:lineRule="exact"/>
        <w:rPr>
          <w:sz w:val="20"/>
          <w:szCs w:val="20"/>
          <w:color w:val="auto"/>
        </w:rPr>
      </w:pPr>
    </w:p>
    <w:p>
      <w:pPr>
        <w:ind w:left="640" w:right="759"/>
        <w:spacing w:after="0" w:line="247" w:lineRule="auto"/>
        <w:rPr>
          <w:sz w:val="20"/>
          <w:szCs w:val="20"/>
          <w:color w:val="auto"/>
        </w:rPr>
      </w:pPr>
      <w:r>
        <w:rPr>
          <w:rFonts w:ascii="Arial" w:cs="Arial" w:eastAsia="Arial" w:hAnsi="Arial"/>
          <w:sz w:val="13"/>
          <w:szCs w:val="13"/>
          <w:color w:val="auto"/>
        </w:rPr>
        <w:t>Amdocs helps those who build the future to make it amazing. With our market-leading portfolio of software products and services, we unlock our customers’ innovative potential, empowering them to provide next-generation communication and media experiences for both the individual end user and large enterprise customers. Our 30,000 employees around the globe are here to accelerate service providers’ migration to the cloud, enable them to differentiate in the 5G era, and digitalize and automate their operations. Listed on the NASDAQ Global Select Market, Amdocs had revenue of $4.3 billion in fiscal 2021.</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3"/>
          <w:szCs w:val="13"/>
          <w:color w:val="auto"/>
        </w:rPr>
        <w:t xml:space="preserve">For more information, visit Amdocs at </w:t>
      </w:r>
      <w:r>
        <w:rPr>
          <w:rFonts w:ascii="Arial" w:cs="Arial" w:eastAsia="Arial" w:hAnsi="Arial"/>
          <w:sz w:val="13"/>
          <w:szCs w:val="13"/>
          <w:u w:val="single" w:color="auto"/>
          <w:color w:val="auto"/>
        </w:rPr>
        <w:t>www.amdocs.com</w:t>
      </w:r>
      <w:r>
        <w:rPr>
          <w:rFonts w:ascii="Arial" w:cs="Arial" w:eastAsia="Arial" w:hAnsi="Arial"/>
          <w:sz w:val="13"/>
          <w:szCs w:val="13"/>
          <w:color w:val="auto"/>
        </w:rPr>
        <w:t>.</w:t>
      </w:r>
    </w:p>
    <w:p>
      <w:pPr>
        <w:sectPr>
          <w:pgSz w:w="11900" w:h="16838" w:orient="portrait"/>
          <w:cols w:equalWidth="0" w:num="1">
            <w:col w:w="9019"/>
          </w:cols>
          <w:pgMar w:left="1440" w:top="235" w:right="1440" w:bottom="1440" w:gutter="0" w:footer="0" w:header="0"/>
        </w:sectPr>
      </w:pPr>
    </w:p>
    <w:bookmarkStart w:id="12" w:name="page13"/>
    <w:bookmarkEnd w:id="12"/>
    <w:p>
      <w:pPr>
        <w:ind w:left="640" w:right="679"/>
        <w:spacing w:after="0" w:line="267"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press release includes information that constitutes forward-looking statements made pursuant to the safe harbor provision of the Private Securities Litigation Reform Act of 1995, including statements about Amdocs’ growth and business results in future quarters and years.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the duration and severity of the COVID-19 pandemic, and its impact on the global economy,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2021 filed on December 9, 2021 and our Form 6-K furnished for the first quarter of fiscal 2022 on February 14, 2022.</w:t>
      </w:r>
    </w:p>
    <w:p>
      <w:pPr>
        <w:spacing w:after="0" w:line="125" w:lineRule="exact"/>
        <w:rPr>
          <w:sz w:val="20"/>
          <w:szCs w:val="20"/>
          <w:color w:val="auto"/>
        </w:rPr>
      </w:pPr>
    </w:p>
    <w:p>
      <w:pPr>
        <w:ind w:left="640"/>
        <w:spacing w:after="0"/>
        <w:rPr>
          <w:sz w:val="20"/>
          <w:szCs w:val="20"/>
          <w:color w:val="auto"/>
        </w:rPr>
      </w:pPr>
      <w:r>
        <w:rPr>
          <w:rFonts w:ascii="Arial" w:cs="Arial" w:eastAsia="Arial" w:hAnsi="Arial"/>
          <w:sz w:val="13"/>
          <w:szCs w:val="13"/>
          <w:b w:val="1"/>
          <w:bCs w:val="1"/>
          <w:color w:val="auto"/>
        </w:rPr>
        <w:t>Contact</w:t>
      </w:r>
      <w:r>
        <w:rPr>
          <w:rFonts w:ascii="Arial" w:cs="Arial" w:eastAsia="Arial" w:hAnsi="Arial"/>
          <w:sz w:val="13"/>
          <w:szCs w:val="13"/>
          <w:color w:val="auto"/>
        </w:rPr>
        <w:t>:</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3"/>
          <w:szCs w:val="13"/>
          <w:color w:val="auto"/>
        </w:rPr>
        <w:t>Matthew Smith</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Head of Investor Relations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Amdocs</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314-212-8328</w:t>
      </w:r>
    </w:p>
    <w:p>
      <w:pPr>
        <w:spacing w:after="0" w:line="2" w:lineRule="exact"/>
        <w:rPr>
          <w:sz w:val="20"/>
          <w:szCs w:val="20"/>
          <w:color w:val="auto"/>
        </w:rPr>
      </w:pPr>
    </w:p>
    <w:p>
      <w:pPr>
        <w:ind w:left="640"/>
        <w:spacing w:after="0"/>
        <w:rPr>
          <w:sz w:val="20"/>
          <w:szCs w:val="20"/>
          <w:color w:val="auto"/>
        </w:rPr>
      </w:pPr>
      <w:r>
        <w:rPr>
          <w:rFonts w:ascii="Arial" w:cs="Arial" w:eastAsia="Arial" w:hAnsi="Arial"/>
          <w:sz w:val="13"/>
          <w:szCs w:val="13"/>
          <w:color w:val="auto"/>
        </w:rPr>
        <w:t>E-mail: dox_info@amdocs.com</w:t>
      </w:r>
    </w:p>
    <w:p>
      <w:pPr>
        <w:sectPr>
          <w:pgSz w:w="11900" w:h="16838" w:orient="portrait"/>
          <w:cols w:equalWidth="0" w:num="1">
            <w:col w:w="9019"/>
          </w:cols>
          <w:pgMar w:left="1440" w:top="235"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Income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 except per share data)</w:t>
      </w:r>
    </w:p>
    <w:p>
      <w:pPr>
        <w:spacing w:after="0" w:line="147"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4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6"/>
          </w:tcPr>
          <w:p>
            <w:pPr>
              <w:jc w:val="right"/>
              <w:ind w:right="360"/>
              <w:spacing w:after="0"/>
              <w:rPr>
                <w:sz w:val="20"/>
                <w:szCs w:val="20"/>
                <w:color w:val="auto"/>
              </w:rPr>
            </w:pPr>
            <w:r>
              <w:rPr>
                <w:rFonts w:ascii="Arial" w:cs="Arial" w:eastAsia="Arial" w:hAnsi="Arial"/>
                <w:sz w:val="10"/>
                <w:szCs w:val="10"/>
                <w:b w:val="1"/>
                <w:bCs w:val="1"/>
                <w:color w:val="auto"/>
              </w:rPr>
              <w:t>Three months ended</w:t>
            </w:r>
          </w:p>
        </w:tc>
        <w:tc>
          <w:tcPr>
            <w:tcW w:w="80" w:type="dxa"/>
            <w:vAlign w:val="bottom"/>
          </w:tcPr>
          <w:p>
            <w:pPr>
              <w:spacing w:after="0"/>
              <w:rPr>
                <w:sz w:val="10"/>
                <w:szCs w:val="10"/>
                <w:color w:val="auto"/>
              </w:rPr>
            </w:pPr>
          </w:p>
        </w:tc>
        <w:tc>
          <w:tcPr>
            <w:tcW w:w="1320" w:type="dxa"/>
            <w:vAlign w:val="bottom"/>
            <w:gridSpan w:val="6"/>
          </w:tcPr>
          <w:p>
            <w:pPr>
              <w:jc w:val="right"/>
              <w:ind w:right="36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gridSpan w:val="6"/>
          </w:tcPr>
          <w:p>
            <w:pPr>
              <w:jc w:val="right"/>
              <w:ind w:right="580"/>
              <w:spacing w:after="0"/>
              <w:rPr>
                <w:sz w:val="20"/>
                <w:szCs w:val="20"/>
                <w:color w:val="auto"/>
              </w:rPr>
            </w:pPr>
            <w:r>
              <w:rPr>
                <w:rFonts w:ascii="Arial" w:cs="Arial" w:eastAsia="Arial" w:hAnsi="Arial"/>
                <w:sz w:val="10"/>
                <w:szCs w:val="10"/>
                <w:b w:val="1"/>
                <w:bCs w:val="1"/>
                <w:color w:val="auto"/>
              </w:rPr>
              <w:t>March 31,</w:t>
            </w:r>
          </w:p>
        </w:tc>
        <w:tc>
          <w:tcPr>
            <w:tcW w:w="80" w:type="dxa"/>
            <w:vAlign w:val="bottom"/>
          </w:tcPr>
          <w:p>
            <w:pPr>
              <w:spacing w:after="0"/>
              <w:rPr>
                <w:sz w:val="10"/>
                <w:szCs w:val="10"/>
                <w:color w:val="auto"/>
              </w:rPr>
            </w:pPr>
          </w:p>
        </w:tc>
        <w:tc>
          <w:tcPr>
            <w:tcW w:w="1320" w:type="dxa"/>
            <w:vAlign w:val="bottom"/>
            <w:gridSpan w:val="6"/>
          </w:tcPr>
          <w:p>
            <w:pPr>
              <w:jc w:val="right"/>
              <w:ind w:right="520"/>
              <w:spacing w:after="0"/>
              <w:rPr>
                <w:sz w:val="20"/>
                <w:szCs w:val="20"/>
                <w:color w:val="auto"/>
              </w:rPr>
            </w:pPr>
            <w:r>
              <w:rPr>
                <w:rFonts w:ascii="Arial" w:cs="Arial" w:eastAsia="Arial" w:hAnsi="Arial"/>
                <w:sz w:val="10"/>
                <w:szCs w:val="10"/>
                <w:b w:val="1"/>
                <w:bCs w:val="1"/>
                <w:color w:val="auto"/>
              </w:rPr>
              <w:t>March 31,</w:t>
            </w:r>
          </w:p>
        </w:tc>
        <w:tc>
          <w:tcPr>
            <w:tcW w:w="0" w:type="dxa"/>
            <w:vAlign w:val="bottom"/>
          </w:tcPr>
          <w:p>
            <w:pPr>
              <w:spacing w:after="0"/>
              <w:rPr>
                <w:sz w:val="1"/>
                <w:szCs w:val="1"/>
                <w:color w:val="auto"/>
              </w:rPr>
            </w:pPr>
          </w:p>
        </w:tc>
      </w:tr>
      <w:tr>
        <w:trPr>
          <w:trHeight w:val="103"/>
        </w:trPr>
        <w:tc>
          <w:tcPr>
            <w:tcW w:w="490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19"/>
              <w:spacing w:after="0" w:line="104" w:lineRule="exact"/>
              <w:rPr>
                <w:sz w:val="20"/>
                <w:szCs w:val="20"/>
                <w:color w:val="auto"/>
              </w:rPr>
            </w:pPr>
            <w:r>
              <w:rPr>
                <w:rFonts w:ascii="Arial" w:cs="Arial" w:eastAsia="Arial" w:hAnsi="Arial"/>
                <w:sz w:val="10"/>
                <w:szCs w:val="10"/>
                <w:b w:val="1"/>
                <w:bCs w:val="1"/>
                <w:color w:val="auto"/>
              </w:rPr>
              <w:t>2022</w:t>
            </w:r>
          </w:p>
        </w:tc>
        <w:tc>
          <w:tcPr>
            <w:tcW w:w="10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38"/>
              <w:spacing w:after="0" w:line="104" w:lineRule="exact"/>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19"/>
              <w:spacing w:after="0" w:line="104" w:lineRule="exact"/>
              <w:rPr>
                <w:sz w:val="20"/>
                <w:szCs w:val="20"/>
                <w:color w:val="auto"/>
              </w:rPr>
            </w:pPr>
            <w:r>
              <w:rPr>
                <w:rFonts w:ascii="Arial" w:cs="Arial" w:eastAsia="Arial" w:hAnsi="Arial"/>
                <w:sz w:val="10"/>
                <w:szCs w:val="10"/>
                <w:b w:val="1"/>
                <w:bCs w:val="1"/>
                <w:color w:val="auto"/>
              </w:rPr>
              <w:t>2022</w:t>
            </w:r>
          </w:p>
        </w:tc>
        <w:tc>
          <w:tcPr>
            <w:tcW w:w="10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78"/>
              <w:spacing w:after="0" w:line="104" w:lineRule="exact"/>
              <w:rPr>
                <w:sz w:val="20"/>
                <w:szCs w:val="20"/>
                <w:color w:val="auto"/>
              </w:rPr>
            </w:pPr>
            <w:r>
              <w:rPr>
                <w:rFonts w:ascii="Arial" w:cs="Arial" w:eastAsia="Arial" w:hAnsi="Arial"/>
                <w:sz w:val="10"/>
                <w:szCs w:val="10"/>
                <w:b w:val="1"/>
                <w:bCs w:val="1"/>
                <w:color w:val="auto"/>
              </w:rPr>
              <w:t>2021</w:t>
            </w:r>
            <w:r>
              <w:rPr>
                <w:rFonts w:ascii="Arial" w:cs="Arial" w:eastAsia="Arial" w:hAnsi="Arial"/>
                <w:sz w:val="8"/>
                <w:szCs w:val="8"/>
                <w:b w:val="1"/>
                <w:bCs w:val="1"/>
                <w:color w:val="auto"/>
              </w:rPr>
              <w:t>(a)</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4900" w:type="dxa"/>
            <w:vAlign w:val="bottom"/>
            <w:tcBorders>
              <w:right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Revenue</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1,145,271</w:t>
            </w:r>
          </w:p>
        </w:tc>
        <w:tc>
          <w:tcPr>
            <w:tcW w:w="100" w:type="dxa"/>
            <w:vAlign w:val="bottom"/>
            <w:tcBorders>
              <w:lef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6"/>
              </w:rPr>
              <w:t>1,048,734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2,249,903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6"/>
              </w:rPr>
              <w:t>2,135,077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900" w:type="dxa"/>
            <w:vAlign w:val="bottom"/>
          </w:tcPr>
          <w:p>
            <w:pPr>
              <w:spacing w:after="0"/>
              <w:rPr>
                <w:sz w:val="20"/>
                <w:szCs w:val="20"/>
                <w:color w:val="auto"/>
              </w:rPr>
            </w:pPr>
            <w:r>
              <w:rPr>
                <w:rFonts w:ascii="Arial" w:cs="Arial" w:eastAsia="Arial" w:hAnsi="Arial"/>
                <w:sz w:val="13"/>
                <w:szCs w:val="13"/>
                <w:color w:val="auto"/>
              </w:rPr>
              <w:t>Operating expenses:</w:t>
            </w: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90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Cost of revenue</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741,257</w:t>
            </w: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685,515</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1,457,975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86"/>
              </w:rPr>
              <w:t>1,414,231</w:t>
            </w:r>
          </w:p>
        </w:tc>
        <w:tc>
          <w:tcPr>
            <w:tcW w:w="0" w:type="dxa"/>
            <w:vAlign w:val="bottom"/>
          </w:tcPr>
          <w:p>
            <w:pPr>
              <w:spacing w:after="0"/>
              <w:rPr>
                <w:sz w:val="1"/>
                <w:szCs w:val="1"/>
                <w:color w:val="auto"/>
              </w:rPr>
            </w:pPr>
          </w:p>
        </w:tc>
      </w:tr>
      <w:tr>
        <w:trPr>
          <w:trHeight w:val="152"/>
        </w:trPr>
        <w:tc>
          <w:tcPr>
            <w:tcW w:w="4900" w:type="dxa"/>
            <w:vAlign w:val="bottom"/>
          </w:tcPr>
          <w:p>
            <w:pPr>
              <w:ind w:left="260"/>
              <w:spacing w:after="0"/>
              <w:rPr>
                <w:sz w:val="20"/>
                <w:szCs w:val="20"/>
                <w:color w:val="auto"/>
              </w:rPr>
            </w:pPr>
            <w:r>
              <w:rPr>
                <w:rFonts w:ascii="Arial" w:cs="Arial" w:eastAsia="Arial" w:hAnsi="Arial"/>
                <w:sz w:val="13"/>
                <w:szCs w:val="13"/>
                <w:color w:val="auto"/>
              </w:rPr>
              <w:t>Research and development</w:t>
            </w:r>
          </w:p>
        </w:tc>
        <w:tc>
          <w:tcPr>
            <w:tcW w:w="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87,064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75,154</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169,009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150,823</w:t>
            </w:r>
          </w:p>
        </w:tc>
        <w:tc>
          <w:tcPr>
            <w:tcW w:w="0" w:type="dxa"/>
            <w:vAlign w:val="bottom"/>
          </w:tcPr>
          <w:p>
            <w:pPr>
              <w:spacing w:after="0"/>
              <w:rPr>
                <w:sz w:val="1"/>
                <w:szCs w:val="1"/>
                <w:color w:val="auto"/>
              </w:rPr>
            </w:pPr>
          </w:p>
        </w:tc>
      </w:tr>
      <w:tr>
        <w:trPr>
          <w:trHeight w:val="152"/>
        </w:trPr>
        <w:tc>
          <w:tcPr>
            <w:tcW w:w="4900" w:type="dxa"/>
            <w:vAlign w:val="bottom"/>
            <w:tcBorders>
              <w:right w:val="single" w:sz="8" w:color="CCEEFF"/>
            </w:tcBorders>
            <w:shd w:val="clear" w:color="auto" w:fill="CCEEFF"/>
          </w:tcPr>
          <w:p>
            <w:pPr>
              <w:ind w:left="260"/>
              <w:spacing w:after="0"/>
              <w:rPr>
                <w:sz w:val="20"/>
                <w:szCs w:val="20"/>
                <w:color w:val="auto"/>
              </w:rPr>
            </w:pPr>
            <w:r>
              <w:rPr>
                <w:rFonts w:ascii="Arial" w:cs="Arial" w:eastAsia="Arial" w:hAnsi="Arial"/>
                <w:sz w:val="13"/>
                <w:szCs w:val="13"/>
                <w:color w:val="auto"/>
              </w:rPr>
              <w:t>Selling, general and administrative</w:t>
            </w:r>
          </w:p>
        </w:tc>
        <w:tc>
          <w:tcPr>
            <w:tcW w:w="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134,982</w:t>
            </w: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116,951</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263,058</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238,839</w:t>
            </w:r>
          </w:p>
        </w:tc>
        <w:tc>
          <w:tcPr>
            <w:tcW w:w="0" w:type="dxa"/>
            <w:vAlign w:val="bottom"/>
          </w:tcPr>
          <w:p>
            <w:pPr>
              <w:spacing w:after="0"/>
              <w:rPr>
                <w:sz w:val="1"/>
                <w:szCs w:val="1"/>
                <w:color w:val="auto"/>
              </w:rPr>
            </w:pPr>
          </w:p>
        </w:tc>
      </w:tr>
      <w:tr>
        <w:trPr>
          <w:trHeight w:val="152"/>
        </w:trPr>
        <w:tc>
          <w:tcPr>
            <w:tcW w:w="4900" w:type="dxa"/>
            <w:vAlign w:val="bottom"/>
          </w:tcPr>
          <w:p>
            <w:pPr>
              <w:ind w:left="260"/>
              <w:spacing w:after="0"/>
              <w:rPr>
                <w:sz w:val="20"/>
                <w:szCs w:val="20"/>
                <w:color w:val="auto"/>
              </w:rPr>
            </w:pPr>
            <w:r>
              <w:rPr>
                <w:rFonts w:ascii="Arial" w:cs="Arial" w:eastAsia="Arial" w:hAnsi="Arial"/>
                <w:sz w:val="13"/>
                <w:szCs w:val="13"/>
                <w:color w:val="auto"/>
              </w:rPr>
              <w:t>Amortization of purchased intangible assets and other</w:t>
            </w:r>
          </w:p>
        </w:tc>
        <w:tc>
          <w:tcPr>
            <w:tcW w:w="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18,317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21,870</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36,064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41,740</w:t>
            </w:r>
          </w:p>
        </w:tc>
        <w:tc>
          <w:tcPr>
            <w:tcW w:w="0" w:type="dxa"/>
            <w:vAlign w:val="bottom"/>
          </w:tcPr>
          <w:p>
            <w:pPr>
              <w:spacing w:after="0"/>
              <w:rPr>
                <w:sz w:val="1"/>
                <w:szCs w:val="1"/>
                <w:color w:val="auto"/>
              </w:rPr>
            </w:pPr>
          </w:p>
        </w:tc>
      </w:tr>
      <w:tr>
        <w:trPr>
          <w:trHeight w:val="151"/>
        </w:trPr>
        <w:tc>
          <w:tcPr>
            <w:tcW w:w="4900" w:type="dxa"/>
            <w:vAlign w:val="bottom"/>
            <w:tcBorders>
              <w:right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981,620</w:t>
            </w: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899,490</w:t>
            </w:r>
          </w:p>
        </w:tc>
        <w:tc>
          <w:tcPr>
            <w:tcW w:w="14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1,926,106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6"/>
              </w:rPr>
              <w:t>1,845,633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4900" w:type="dxa"/>
            <w:vAlign w:val="bottom"/>
          </w:tcPr>
          <w:p>
            <w:pPr>
              <w:spacing w:after="0"/>
              <w:rPr>
                <w:sz w:val="20"/>
                <w:szCs w:val="20"/>
                <w:color w:val="auto"/>
              </w:rPr>
            </w:pPr>
            <w:r>
              <w:rPr>
                <w:rFonts w:ascii="Arial" w:cs="Arial" w:eastAsia="Arial" w:hAnsi="Arial"/>
                <w:sz w:val="13"/>
                <w:szCs w:val="13"/>
                <w:color w:val="auto"/>
              </w:rPr>
              <w:t>Operating income</w:t>
            </w: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163,651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149,244</w:t>
            </w: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323,797</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289,444</w:t>
            </w:r>
          </w:p>
        </w:tc>
        <w:tc>
          <w:tcPr>
            <w:tcW w:w="0" w:type="dxa"/>
            <w:vAlign w:val="bottom"/>
          </w:tcPr>
          <w:p>
            <w:pPr>
              <w:spacing w:after="0"/>
              <w:rPr>
                <w:sz w:val="1"/>
                <w:szCs w:val="1"/>
                <w:color w:val="auto"/>
              </w:rPr>
            </w:pPr>
          </w:p>
        </w:tc>
      </w:tr>
      <w:tr>
        <w:trPr>
          <w:trHeight w:val="152"/>
        </w:trPr>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Interest and other expense, net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(8,619)</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(3,542)</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(11,181)</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(10,032)</w:t>
            </w:r>
          </w:p>
        </w:tc>
        <w:tc>
          <w:tcPr>
            <w:tcW w:w="0" w:type="dxa"/>
            <w:vAlign w:val="bottom"/>
          </w:tcPr>
          <w:p>
            <w:pPr>
              <w:spacing w:after="0"/>
              <w:rPr>
                <w:sz w:val="1"/>
                <w:szCs w:val="1"/>
                <w:color w:val="auto"/>
              </w:rPr>
            </w:pPr>
          </w:p>
        </w:tc>
      </w:tr>
      <w:tr>
        <w:trPr>
          <w:trHeight w:val="152"/>
        </w:trPr>
        <w:tc>
          <w:tcPr>
            <w:tcW w:w="4900" w:type="dxa"/>
            <w:vAlign w:val="bottom"/>
          </w:tcPr>
          <w:p>
            <w:pPr>
              <w:spacing w:after="0"/>
              <w:rPr>
                <w:sz w:val="20"/>
                <w:szCs w:val="20"/>
                <w:color w:val="auto"/>
              </w:rPr>
            </w:pPr>
            <w:r>
              <w:rPr>
                <w:rFonts w:ascii="Arial" w:cs="Arial" w:eastAsia="Arial" w:hAnsi="Arial"/>
                <w:sz w:val="13"/>
                <w:szCs w:val="13"/>
                <w:color w:val="auto"/>
              </w:rPr>
              <w:t>Gain from sale of a business</w:t>
            </w:r>
          </w:p>
        </w:tc>
        <w:tc>
          <w:tcPr>
            <w:tcW w:w="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10,000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226,410</w:t>
            </w:r>
          </w:p>
        </w:tc>
        <w:tc>
          <w:tcPr>
            <w:tcW w:w="0" w:type="dxa"/>
            <w:vAlign w:val="bottom"/>
          </w:tcPr>
          <w:p>
            <w:pPr>
              <w:spacing w:after="0"/>
              <w:rPr>
                <w:sz w:val="1"/>
                <w:szCs w:val="1"/>
                <w:color w:val="auto"/>
              </w:rPr>
            </w:pPr>
          </w:p>
        </w:tc>
      </w:tr>
      <w:tr>
        <w:trPr>
          <w:trHeight w:val="151"/>
        </w:trPr>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Income before income taxes</w:t>
            </w:r>
          </w:p>
        </w:tc>
        <w:tc>
          <w:tcPr>
            <w:tcW w:w="6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155,032</w:t>
            </w:r>
          </w:p>
        </w:tc>
        <w:tc>
          <w:tcPr>
            <w:tcW w:w="100" w:type="dxa"/>
            <w:vAlign w:val="bottom"/>
            <w:tcBorders>
              <w:lef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145,702</w:t>
            </w:r>
          </w:p>
        </w:tc>
        <w:tc>
          <w:tcPr>
            <w:tcW w:w="1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322,616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505,822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900" w:type="dxa"/>
            <w:vAlign w:val="bottom"/>
          </w:tcPr>
          <w:p>
            <w:pPr>
              <w:spacing w:after="0"/>
              <w:rPr>
                <w:sz w:val="20"/>
                <w:szCs w:val="20"/>
                <w:color w:val="auto"/>
              </w:rPr>
            </w:pPr>
            <w:r>
              <w:rPr>
                <w:rFonts w:ascii="Arial" w:cs="Arial" w:eastAsia="Arial" w:hAnsi="Arial"/>
                <w:sz w:val="13"/>
                <w:szCs w:val="13"/>
                <w:color w:val="auto"/>
              </w:rPr>
              <w:t>Income tax (benefit) expense</w:t>
            </w:r>
          </w:p>
        </w:tc>
        <w:tc>
          <w:tcPr>
            <w:tcW w:w="6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(3,465)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26,635</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30,517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87,123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income</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158,497</w:t>
            </w:r>
          </w:p>
        </w:tc>
        <w:tc>
          <w:tcPr>
            <w:tcW w:w="100" w:type="dxa"/>
            <w:vAlign w:val="bottom"/>
            <w:tcBorders>
              <w:left w:val="single" w:sz="8" w:color="CCEEFF"/>
            </w:tcBorders>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119,067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292,099</w:t>
            </w:r>
          </w:p>
        </w:tc>
        <w:tc>
          <w:tcPr>
            <w:tcW w:w="10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418,699</w:t>
            </w:r>
          </w:p>
        </w:tc>
        <w:tc>
          <w:tcPr>
            <w:tcW w:w="0" w:type="dxa"/>
            <w:vAlign w:val="bottom"/>
          </w:tcPr>
          <w:p>
            <w:pPr>
              <w:spacing w:after="0"/>
              <w:rPr>
                <w:sz w:val="1"/>
                <w:szCs w:val="1"/>
                <w:color w:val="auto"/>
              </w:rPr>
            </w:pPr>
          </w:p>
        </w:tc>
      </w:tr>
      <w:tr>
        <w:trPr>
          <w:trHeight w:val="28"/>
        </w:trPr>
        <w:tc>
          <w:tcPr>
            <w:tcW w:w="4900" w:type="dxa"/>
            <w:vAlign w:val="bottom"/>
            <w:vMerge w:val="restart"/>
          </w:tcPr>
          <w:p>
            <w:pPr>
              <w:spacing w:after="0"/>
              <w:rPr>
                <w:sz w:val="20"/>
                <w:szCs w:val="20"/>
                <w:color w:val="auto"/>
              </w:rPr>
            </w:pPr>
            <w:r>
              <w:rPr>
                <w:rFonts w:ascii="Arial" w:cs="Arial" w:eastAsia="Arial" w:hAnsi="Arial"/>
                <w:sz w:val="13"/>
                <w:szCs w:val="13"/>
                <w:color w:val="auto"/>
              </w:rPr>
              <w:t>Basic earnings per share</w:t>
            </w: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4900" w:type="dxa"/>
            <w:vAlign w:val="bottom"/>
            <w:vMerge w:val="continue"/>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1.29</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0.92</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2.36</w:t>
            </w: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3.21</w:t>
            </w:r>
          </w:p>
        </w:tc>
        <w:tc>
          <w:tcPr>
            <w:tcW w:w="0" w:type="dxa"/>
            <w:vAlign w:val="bottom"/>
          </w:tcPr>
          <w:p>
            <w:pPr>
              <w:spacing w:after="0"/>
              <w:rPr>
                <w:sz w:val="1"/>
                <w:szCs w:val="1"/>
                <w:color w:val="auto"/>
              </w:rPr>
            </w:pPr>
          </w:p>
        </w:tc>
      </w:tr>
      <w:tr>
        <w:trPr>
          <w:trHeight w:val="28"/>
        </w:trPr>
        <w:tc>
          <w:tcPr>
            <w:tcW w:w="4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Diluted earnings per share</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0.91</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3.19</w:t>
            </w:r>
          </w:p>
        </w:tc>
        <w:tc>
          <w:tcPr>
            <w:tcW w:w="0" w:type="dxa"/>
            <w:vAlign w:val="bottom"/>
          </w:tcPr>
          <w:p>
            <w:pPr>
              <w:spacing w:after="0"/>
              <w:rPr>
                <w:sz w:val="1"/>
                <w:szCs w:val="1"/>
                <w:color w:val="auto"/>
              </w:rPr>
            </w:pPr>
          </w:p>
        </w:tc>
      </w:tr>
      <w:tr>
        <w:trPr>
          <w:trHeight w:val="170"/>
        </w:trPr>
        <w:tc>
          <w:tcPr>
            <w:tcW w:w="4900" w:type="dxa"/>
            <w:vAlign w:val="bottom"/>
          </w:tcPr>
          <w:p>
            <w:pPr>
              <w:spacing w:after="0"/>
              <w:rPr>
                <w:sz w:val="20"/>
                <w:szCs w:val="20"/>
                <w:color w:val="auto"/>
              </w:rPr>
            </w:pPr>
            <w:r>
              <w:rPr>
                <w:rFonts w:ascii="Arial" w:cs="Arial" w:eastAsia="Arial" w:hAnsi="Arial"/>
                <w:sz w:val="13"/>
                <w:szCs w:val="13"/>
                <w:color w:val="auto"/>
              </w:rPr>
              <w:t>Basic weighted average number of shares outstanding</w:t>
            </w:r>
          </w:p>
        </w:tc>
        <w:tc>
          <w:tcPr>
            <w:tcW w:w="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122,977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129,774</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123,748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130,457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3"/>
                <w:szCs w:val="13"/>
                <w:color w:val="auto"/>
              </w:rPr>
              <w:t>Diluted weighted average number of shares outstanding</w:t>
            </w:r>
          </w:p>
        </w:tc>
        <w:tc>
          <w:tcPr>
            <w:tcW w:w="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123,821</w:t>
            </w:r>
          </w:p>
        </w:tc>
        <w:tc>
          <w:tcPr>
            <w:tcW w:w="100" w:type="dxa"/>
            <w:vAlign w:val="bottom"/>
            <w:tcBorders>
              <w:lef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130,696</w:t>
            </w:r>
          </w:p>
        </w:tc>
        <w:tc>
          <w:tcPr>
            <w:tcW w:w="14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124,571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131,147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20"/>
                <w:szCs w:val="20"/>
                <w:color w:val="auto"/>
              </w:rPr>
            </w:pPr>
            <w:r>
              <w:rPr>
                <w:rFonts w:ascii="Arial" w:cs="Arial" w:eastAsia="Arial" w:hAnsi="Arial"/>
                <w:sz w:val="13"/>
                <w:szCs w:val="13"/>
                <w:color w:val="auto"/>
              </w:rPr>
              <w:t>Cash dividends declared per share</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0.395</w:t>
            </w:r>
          </w:p>
        </w:tc>
        <w:tc>
          <w:tcPr>
            <w:tcW w:w="10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0.36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0.755</w:t>
            </w:r>
          </w:p>
        </w:tc>
        <w:tc>
          <w:tcPr>
            <w:tcW w:w="10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0.6875</w:t>
            </w:r>
          </w:p>
        </w:tc>
        <w:tc>
          <w:tcPr>
            <w:tcW w:w="0" w:type="dxa"/>
            <w:vAlign w:val="bottom"/>
          </w:tcPr>
          <w:p>
            <w:pPr>
              <w:spacing w:after="0"/>
              <w:rPr>
                <w:sz w:val="1"/>
                <w:szCs w:val="1"/>
                <w:color w:val="auto"/>
              </w:rPr>
            </w:pPr>
          </w:p>
        </w:tc>
      </w:tr>
      <w:tr>
        <w:trPr>
          <w:trHeight w:val="28"/>
        </w:trPr>
        <w:tc>
          <w:tcPr>
            <w:tcW w:w="490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31"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Selected Financial Metrics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 thousands, except per share data)</w:t>
      </w:r>
    </w:p>
    <w:p>
      <w:pPr>
        <w:spacing w:after="0" w:line="147"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6"/>
          </w:tcPr>
          <w:p>
            <w:pPr>
              <w:jc w:val="center"/>
              <w:ind w:right="400"/>
              <w:spacing w:after="0"/>
              <w:rPr>
                <w:sz w:val="20"/>
                <w:szCs w:val="20"/>
                <w:color w:val="auto"/>
              </w:rPr>
            </w:pPr>
            <w:r>
              <w:rPr>
                <w:rFonts w:ascii="Arial" w:cs="Arial" w:eastAsia="Arial" w:hAnsi="Arial"/>
                <w:sz w:val="10"/>
                <w:szCs w:val="10"/>
                <w:b w:val="1"/>
                <w:bCs w:val="1"/>
                <w:color w:val="auto"/>
                <w:w w:val="89"/>
              </w:rPr>
              <w:t>Three months ended</w:t>
            </w:r>
          </w:p>
        </w:tc>
        <w:tc>
          <w:tcPr>
            <w:tcW w:w="80" w:type="dxa"/>
            <w:vAlign w:val="bottom"/>
          </w:tcPr>
          <w:p>
            <w:pPr>
              <w:spacing w:after="0"/>
              <w:rPr>
                <w:sz w:val="10"/>
                <w:szCs w:val="10"/>
                <w:color w:val="auto"/>
              </w:rPr>
            </w:pPr>
          </w:p>
        </w:tc>
        <w:tc>
          <w:tcPr>
            <w:tcW w:w="1320" w:type="dxa"/>
            <w:vAlign w:val="bottom"/>
            <w:gridSpan w:val="6"/>
          </w:tcPr>
          <w:p>
            <w:pPr>
              <w:jc w:val="center"/>
              <w:ind w:right="120"/>
              <w:spacing w:after="0"/>
              <w:rPr>
                <w:sz w:val="20"/>
                <w:szCs w:val="20"/>
                <w:color w:val="auto"/>
              </w:rPr>
            </w:pPr>
            <w:r>
              <w:rPr>
                <w:rFonts w:ascii="Arial" w:cs="Arial" w:eastAsia="Arial" w:hAnsi="Arial"/>
                <w:sz w:val="10"/>
                <w:szCs w:val="10"/>
                <w:b w:val="1"/>
                <w:bCs w:val="1"/>
                <w:color w:val="auto"/>
                <w:w w:val="88"/>
              </w:rPr>
              <w:t>Six months ended</w:t>
            </w:r>
          </w:p>
        </w:tc>
      </w:tr>
      <w:tr>
        <w:trPr>
          <w:trHeight w:val="119"/>
        </w:trPr>
        <w:tc>
          <w:tcPr>
            <w:tcW w:w="3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4"/>
          </w:tcPr>
          <w:p>
            <w:pPr>
              <w:jc w:val="center"/>
              <w:ind w:left="162"/>
              <w:spacing w:after="0"/>
              <w:rPr>
                <w:sz w:val="20"/>
                <w:szCs w:val="20"/>
                <w:color w:val="auto"/>
              </w:rPr>
            </w:pPr>
            <w:r>
              <w:rPr>
                <w:rFonts w:ascii="Arial" w:cs="Arial" w:eastAsia="Arial" w:hAnsi="Arial"/>
                <w:sz w:val="10"/>
                <w:szCs w:val="10"/>
                <w:b w:val="1"/>
                <w:bCs w:val="1"/>
                <w:color w:val="auto"/>
                <w:w w:val="95"/>
              </w:rPr>
              <w:t>March 31,</w:t>
            </w:r>
          </w:p>
        </w:tc>
        <w:tc>
          <w:tcPr>
            <w:tcW w:w="4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3"/>
          </w:tcPr>
          <w:p>
            <w:pPr>
              <w:jc w:val="center"/>
              <w:ind w:left="321"/>
              <w:spacing w:after="0"/>
              <w:rPr>
                <w:sz w:val="20"/>
                <w:szCs w:val="20"/>
                <w:color w:val="auto"/>
              </w:rPr>
            </w:pPr>
            <w:r>
              <w:rPr>
                <w:rFonts w:ascii="Arial" w:cs="Arial" w:eastAsia="Arial" w:hAnsi="Arial"/>
                <w:sz w:val="10"/>
                <w:szCs w:val="10"/>
                <w:b w:val="1"/>
                <w:bCs w:val="1"/>
                <w:color w:val="auto"/>
                <w:w w:val="95"/>
              </w:rPr>
              <w:t>March 31,</w:t>
            </w:r>
          </w:p>
        </w:tc>
        <w:tc>
          <w:tcPr>
            <w:tcW w:w="4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4"/>
        </w:trPr>
        <w:tc>
          <w:tcPr>
            <w:tcW w:w="3360" w:type="dxa"/>
            <w:vAlign w:val="bottom"/>
            <w:tcBorders>
              <w:bottom w:val="single" w:sz="8" w:color="CCEEFF"/>
            </w:tcBorders>
          </w:tcPr>
          <w:p>
            <w:pPr>
              <w:spacing w:after="0"/>
              <w:rPr>
                <w:sz w:val="8"/>
                <w:szCs w:val="8"/>
                <w:color w:val="auto"/>
              </w:rPr>
            </w:pPr>
          </w:p>
        </w:tc>
        <w:tc>
          <w:tcPr>
            <w:tcW w:w="146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jc w:val="right"/>
              <w:ind w:right="122"/>
              <w:spacing w:after="0" w:line="94" w:lineRule="exact"/>
              <w:rPr>
                <w:sz w:val="20"/>
                <w:szCs w:val="20"/>
                <w:color w:val="auto"/>
              </w:rPr>
            </w:pPr>
            <w:r>
              <w:rPr>
                <w:rFonts w:ascii="Arial" w:cs="Arial" w:eastAsia="Arial" w:hAnsi="Arial"/>
                <w:sz w:val="10"/>
                <w:szCs w:val="10"/>
                <w:b w:val="1"/>
                <w:bCs w:val="1"/>
                <w:color w:val="auto"/>
              </w:rPr>
              <w:t>2022</w:t>
            </w:r>
          </w:p>
        </w:tc>
        <w:tc>
          <w:tcPr>
            <w:tcW w:w="12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79"/>
              <w:spacing w:after="0" w:line="94" w:lineRule="exact"/>
              <w:rPr>
                <w:sz w:val="20"/>
                <w:szCs w:val="20"/>
                <w:color w:val="auto"/>
              </w:rPr>
            </w:pPr>
            <w:r>
              <w:rPr>
                <w:rFonts w:ascii="Arial" w:cs="Arial" w:eastAsia="Arial" w:hAnsi="Arial"/>
                <w:sz w:val="10"/>
                <w:szCs w:val="10"/>
                <w:b w:val="1"/>
                <w:bCs w:val="1"/>
                <w:color w:val="auto"/>
                <w:w w:val="98"/>
              </w:rPr>
              <w:t>2021</w:t>
            </w:r>
          </w:p>
        </w:tc>
        <w:tc>
          <w:tcPr>
            <w:tcW w:w="14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41"/>
              <w:spacing w:after="0" w:line="94" w:lineRule="exact"/>
              <w:rPr>
                <w:sz w:val="20"/>
                <w:szCs w:val="20"/>
                <w:color w:val="auto"/>
              </w:rPr>
            </w:pPr>
            <w:r>
              <w:rPr>
                <w:rFonts w:ascii="Arial" w:cs="Arial" w:eastAsia="Arial" w:hAnsi="Arial"/>
                <w:sz w:val="10"/>
                <w:szCs w:val="10"/>
                <w:b w:val="1"/>
                <w:bCs w:val="1"/>
                <w:color w:val="auto"/>
              </w:rPr>
              <w:t>2022</w:t>
            </w:r>
          </w:p>
        </w:tc>
        <w:tc>
          <w:tcPr>
            <w:tcW w:w="18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jc w:val="right"/>
              <w:ind w:right="140"/>
              <w:spacing w:after="0" w:line="94" w:lineRule="exact"/>
              <w:rPr>
                <w:sz w:val="20"/>
                <w:szCs w:val="20"/>
                <w:color w:val="auto"/>
              </w:rPr>
            </w:pPr>
            <w:r>
              <w:rPr>
                <w:rFonts w:ascii="Arial" w:cs="Arial" w:eastAsia="Arial" w:hAnsi="Arial"/>
                <w:sz w:val="10"/>
                <w:szCs w:val="10"/>
                <w:b w:val="1"/>
                <w:bCs w:val="1"/>
                <w:color w:val="auto"/>
                <w:w w:val="93"/>
              </w:rPr>
              <w:t>2021</w:t>
            </w:r>
            <w:r>
              <w:rPr>
                <w:rFonts w:ascii="Arial" w:cs="Arial" w:eastAsia="Arial" w:hAnsi="Arial"/>
                <w:sz w:val="8"/>
                <w:szCs w:val="8"/>
                <w:b w:val="1"/>
                <w:bCs w:val="1"/>
                <w:color w:val="auto"/>
                <w:w w:val="93"/>
              </w:rPr>
              <w:t>(a)</w:t>
            </w:r>
          </w:p>
        </w:tc>
        <w:tc>
          <w:tcPr>
            <w:tcW w:w="40" w:type="dxa"/>
            <w:vAlign w:val="bottom"/>
            <w:tcBorders>
              <w:bottom w:val="single" w:sz="8" w:color="CCEEFF"/>
            </w:tcBorders>
          </w:tcPr>
          <w:p>
            <w:pPr>
              <w:spacing w:after="0"/>
              <w:rPr>
                <w:sz w:val="8"/>
                <w:szCs w:val="8"/>
                <w:color w:val="auto"/>
              </w:rPr>
            </w:pPr>
          </w:p>
        </w:tc>
      </w:tr>
      <w:tr>
        <w:trPr>
          <w:trHeight w:val="141"/>
        </w:trPr>
        <w:tc>
          <w:tcPr>
            <w:tcW w:w="33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Revenue</w:t>
            </w:r>
          </w:p>
        </w:tc>
        <w:tc>
          <w:tcPr>
            <w:tcW w:w="14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$1,145,271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tcBorders>
              <w:right w:val="single" w:sz="8" w:color="CCEEFF"/>
            </w:tcBorders>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w w:val="86"/>
              </w:rPr>
              <w:t>$1,048,734</w:t>
            </w:r>
          </w:p>
        </w:tc>
        <w:tc>
          <w:tcPr>
            <w:tcW w:w="14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w w:val="86"/>
              </w:rPr>
              <w:t>$2,249,903</w:t>
            </w:r>
          </w:p>
        </w:tc>
        <w:tc>
          <w:tcPr>
            <w:tcW w:w="1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spacing w:after="0" w:line="141" w:lineRule="exact"/>
              <w:rPr>
                <w:sz w:val="20"/>
                <w:szCs w:val="20"/>
                <w:color w:val="auto"/>
              </w:rPr>
            </w:pPr>
            <w:r>
              <w:rPr>
                <w:rFonts w:ascii="Arial" w:cs="Arial" w:eastAsia="Arial" w:hAnsi="Arial"/>
                <w:sz w:val="13"/>
                <w:szCs w:val="13"/>
                <w:color w:val="auto"/>
                <w:w w:val="86"/>
              </w:rPr>
              <w:t>$2,135,077</w:t>
            </w:r>
          </w:p>
        </w:tc>
        <w:tc>
          <w:tcPr>
            <w:tcW w:w="40" w:type="dxa"/>
            <w:vAlign w:val="bottom"/>
            <w:shd w:val="clear" w:color="auto" w:fill="CCEEFF"/>
          </w:tcPr>
          <w:p>
            <w:pPr>
              <w:spacing w:after="0"/>
              <w:rPr>
                <w:sz w:val="12"/>
                <w:szCs w:val="12"/>
                <w:color w:val="auto"/>
              </w:rPr>
            </w:pPr>
          </w:p>
        </w:tc>
      </w:tr>
      <w:tr>
        <w:trPr>
          <w:trHeight w:val="152"/>
        </w:trPr>
        <w:tc>
          <w:tcPr>
            <w:tcW w:w="3360" w:type="dxa"/>
            <w:vAlign w:val="bottom"/>
          </w:tcPr>
          <w:p>
            <w:pPr>
              <w:spacing w:after="0"/>
              <w:rPr>
                <w:sz w:val="20"/>
                <w:szCs w:val="20"/>
                <w:color w:val="auto"/>
              </w:rPr>
            </w:pPr>
            <w:r>
              <w:rPr>
                <w:rFonts w:ascii="Arial" w:cs="Arial" w:eastAsia="Arial" w:hAnsi="Arial"/>
                <w:sz w:val="13"/>
                <w:szCs w:val="13"/>
                <w:color w:val="auto"/>
              </w:rPr>
              <w:t>Non-GAAP operating income</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3"/>
          </w:tcPr>
          <w:p>
            <w:pPr>
              <w:jc w:val="right"/>
              <w:ind w:right="69"/>
              <w:spacing w:after="0"/>
              <w:rPr>
                <w:sz w:val="20"/>
                <w:szCs w:val="20"/>
                <w:color w:val="auto"/>
              </w:rPr>
            </w:pPr>
            <w:r>
              <w:rPr>
                <w:rFonts w:ascii="Arial" w:cs="Arial" w:eastAsia="Arial" w:hAnsi="Arial"/>
                <w:sz w:val="13"/>
                <w:szCs w:val="13"/>
                <w:color w:val="auto"/>
                <w:w w:val="93"/>
              </w:rPr>
              <w:t>201,625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89"/>
              </w:rPr>
              <w:t>184,883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395,232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w w:val="93"/>
              </w:rPr>
              <w:t>372,864</w:t>
            </w:r>
          </w:p>
        </w:tc>
        <w:tc>
          <w:tcPr>
            <w:tcW w:w="40" w:type="dxa"/>
            <w:vAlign w:val="bottom"/>
          </w:tcPr>
          <w:p>
            <w:pPr>
              <w:spacing w:after="0"/>
              <w:rPr>
                <w:sz w:val="13"/>
                <w:szCs w:val="13"/>
                <w:color w:val="auto"/>
              </w:rPr>
            </w:pPr>
          </w:p>
        </w:tc>
      </w:tr>
      <w:tr>
        <w:trPr>
          <w:trHeight w:val="152"/>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Non-GAAP net income</w:t>
            </w: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69"/>
              <w:spacing w:after="0"/>
              <w:rPr>
                <w:sz w:val="20"/>
                <w:szCs w:val="20"/>
                <w:color w:val="auto"/>
              </w:rPr>
            </w:pPr>
            <w:r>
              <w:rPr>
                <w:rFonts w:ascii="Arial" w:cs="Arial" w:eastAsia="Arial" w:hAnsi="Arial"/>
                <w:sz w:val="13"/>
                <w:szCs w:val="13"/>
                <w:color w:val="auto"/>
                <w:w w:val="93"/>
              </w:rPr>
              <w:t>190,944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9"/>
              </w:rPr>
              <w:t>148,095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341,079</w:t>
            </w:r>
          </w:p>
        </w:tc>
        <w:tc>
          <w:tcPr>
            <w:tcW w:w="1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3"/>
              </w:rPr>
              <w:t>301,067</w:t>
            </w:r>
          </w:p>
        </w:tc>
        <w:tc>
          <w:tcPr>
            <w:tcW w:w="40" w:type="dxa"/>
            <w:vAlign w:val="bottom"/>
            <w:shd w:val="clear" w:color="auto" w:fill="CCEEFF"/>
          </w:tcPr>
          <w:p>
            <w:pPr>
              <w:spacing w:after="0"/>
              <w:rPr>
                <w:sz w:val="13"/>
                <w:szCs w:val="13"/>
                <w:color w:val="auto"/>
              </w:rPr>
            </w:pPr>
          </w:p>
        </w:tc>
      </w:tr>
      <w:tr>
        <w:trPr>
          <w:trHeight w:val="152"/>
        </w:trPr>
        <w:tc>
          <w:tcPr>
            <w:tcW w:w="3360" w:type="dxa"/>
            <w:vAlign w:val="bottom"/>
          </w:tcPr>
          <w:p>
            <w:pPr>
              <w:spacing w:after="0"/>
              <w:rPr>
                <w:sz w:val="20"/>
                <w:szCs w:val="20"/>
                <w:color w:val="auto"/>
              </w:rPr>
            </w:pPr>
            <w:r>
              <w:rPr>
                <w:rFonts w:ascii="Arial" w:cs="Arial" w:eastAsia="Arial" w:hAnsi="Arial"/>
                <w:sz w:val="13"/>
                <w:szCs w:val="13"/>
                <w:color w:val="auto"/>
              </w:rPr>
              <w:t>Non-GAAP diluted earnings per share</w:t>
            </w:r>
          </w:p>
        </w:tc>
        <w:tc>
          <w:tcPr>
            <w:tcW w:w="15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69"/>
              <w:spacing w:after="0"/>
              <w:rPr>
                <w:sz w:val="20"/>
                <w:szCs w:val="20"/>
                <w:color w:val="auto"/>
              </w:rPr>
            </w:pPr>
            <w:r>
              <w:rPr>
                <w:rFonts w:ascii="Arial" w:cs="Arial" w:eastAsia="Arial" w:hAnsi="Arial"/>
                <w:sz w:val="13"/>
                <w:szCs w:val="13"/>
                <w:color w:val="auto"/>
              </w:rPr>
              <w:t>1.54</w:t>
            </w:r>
          </w:p>
        </w:tc>
        <w:tc>
          <w:tcPr>
            <w:tcW w:w="80" w:type="dxa"/>
            <w:vAlign w:val="bottom"/>
          </w:tcPr>
          <w:p>
            <w:pPr>
              <w:spacing w:after="0"/>
              <w:rPr>
                <w:sz w:val="13"/>
                <w:szCs w:val="13"/>
                <w:color w:val="auto"/>
              </w:rPr>
            </w:pPr>
          </w:p>
        </w:tc>
        <w:tc>
          <w:tcPr>
            <w:tcW w:w="140" w:type="dxa"/>
            <w:vAlign w:val="bottom"/>
          </w:tcPr>
          <w:p>
            <w:pPr>
              <w:jc w:val="center"/>
              <w:ind w:right="17"/>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1.13</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2.74</w:t>
            </w:r>
          </w:p>
        </w:tc>
        <w:tc>
          <w:tcPr>
            <w:tcW w:w="180" w:type="dxa"/>
            <w:vAlign w:val="bottom"/>
          </w:tcPr>
          <w:p>
            <w:pPr>
              <w:spacing w:after="0"/>
              <w:rPr>
                <w:sz w:val="13"/>
                <w:szCs w:val="13"/>
                <w:color w:val="auto"/>
              </w:rPr>
            </w:pPr>
          </w:p>
        </w:tc>
        <w:tc>
          <w:tcPr>
            <w:tcW w:w="120" w:type="dxa"/>
            <w:vAlign w:val="bottom"/>
          </w:tcPr>
          <w:p>
            <w:pPr>
              <w:jc w:val="right"/>
              <w:ind w:right="2"/>
              <w:spacing w:after="0"/>
              <w:rPr>
                <w:sz w:val="20"/>
                <w:szCs w:val="20"/>
                <w:color w:val="auto"/>
              </w:rPr>
            </w:pPr>
            <w:r>
              <w:rPr>
                <w:rFonts w:ascii="Arial" w:cs="Arial" w:eastAsia="Arial" w:hAnsi="Arial"/>
                <w:sz w:val="9"/>
                <w:szCs w:val="9"/>
                <w:color w:val="auto"/>
                <w:w w:val="78"/>
              </w:rPr>
              <w:t>$</w:t>
            </w:r>
          </w:p>
        </w:tc>
        <w:tc>
          <w:tcPr>
            <w:tcW w:w="500" w:type="dxa"/>
            <w:vAlign w:val="bottom"/>
            <w:gridSpan w:val="3"/>
          </w:tcPr>
          <w:p>
            <w:pPr>
              <w:jc w:val="right"/>
              <w:ind w:right="40"/>
              <w:spacing w:after="0"/>
              <w:rPr>
                <w:sz w:val="20"/>
                <w:szCs w:val="20"/>
                <w:color w:val="auto"/>
              </w:rPr>
            </w:pPr>
            <w:r>
              <w:rPr>
                <w:rFonts w:ascii="Arial" w:cs="Arial" w:eastAsia="Arial" w:hAnsi="Arial"/>
                <w:sz w:val="13"/>
                <w:szCs w:val="13"/>
                <w:color w:val="auto"/>
              </w:rPr>
              <w:t>2.30</w:t>
            </w:r>
          </w:p>
        </w:tc>
      </w:tr>
      <w:tr>
        <w:trPr>
          <w:trHeight w:val="152"/>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Diluted weighted average number of shares outstanding</w:t>
            </w: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69"/>
              <w:spacing w:after="0"/>
              <w:rPr>
                <w:sz w:val="20"/>
                <w:szCs w:val="20"/>
                <w:color w:val="auto"/>
              </w:rPr>
            </w:pPr>
            <w:r>
              <w:rPr>
                <w:rFonts w:ascii="Arial" w:cs="Arial" w:eastAsia="Arial" w:hAnsi="Arial"/>
                <w:sz w:val="13"/>
                <w:szCs w:val="13"/>
                <w:color w:val="auto"/>
                <w:w w:val="93"/>
              </w:rPr>
              <w:t>123,821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9"/>
              </w:rPr>
              <w:t>130,696</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124,571</w:t>
            </w:r>
          </w:p>
        </w:tc>
        <w:tc>
          <w:tcPr>
            <w:tcW w:w="180" w:type="dxa"/>
            <w:vAlign w:val="bottom"/>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3"/>
              </w:rPr>
              <w:t>131,147</w:t>
            </w:r>
          </w:p>
        </w:tc>
        <w:tc>
          <w:tcPr>
            <w:tcW w:w="40" w:type="dxa"/>
            <w:vAlign w:val="bottom"/>
            <w:shd w:val="clear" w:color="auto" w:fill="CCEEFF"/>
          </w:tcPr>
          <w:p>
            <w:pPr>
              <w:spacing w:after="0"/>
              <w:rPr>
                <w:sz w:val="13"/>
                <w:szCs w:val="13"/>
                <w:color w:val="auto"/>
              </w:rPr>
            </w:pPr>
          </w:p>
        </w:tc>
      </w:tr>
      <w:tr>
        <w:trPr>
          <w:trHeight w:val="442"/>
        </w:trPr>
        <w:tc>
          <w:tcPr>
            <w:tcW w:w="5580" w:type="dxa"/>
            <w:vAlign w:val="bottom"/>
            <w:gridSpan w:val="7"/>
          </w:tcPr>
          <w:p>
            <w:pPr>
              <w:jc w:val="center"/>
              <w:ind w:left="2077"/>
              <w:spacing w:after="0"/>
              <w:rPr>
                <w:sz w:val="20"/>
                <w:szCs w:val="20"/>
                <w:color w:val="auto"/>
              </w:rPr>
            </w:pPr>
            <w:r>
              <w:rPr>
                <w:rFonts w:ascii="Arial" w:cs="Arial" w:eastAsia="Arial" w:hAnsi="Arial"/>
                <w:sz w:val="13"/>
                <w:szCs w:val="13"/>
                <w:b w:val="1"/>
                <w:bCs w:val="1"/>
                <w:color w:val="auto"/>
                <w:w w:val="88"/>
              </w:rPr>
              <w:t>Free Cash Flows and Normalized Free Cash Flow</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5"/>
        </w:trPr>
        <w:tc>
          <w:tcPr>
            <w:tcW w:w="3360" w:type="dxa"/>
            <w:vAlign w:val="bottom"/>
          </w:tcPr>
          <w:p>
            <w:pPr>
              <w:spacing w:after="0"/>
              <w:rPr>
                <w:sz w:val="14"/>
                <w:szCs w:val="14"/>
                <w:color w:val="auto"/>
              </w:rPr>
            </w:pPr>
          </w:p>
        </w:tc>
        <w:tc>
          <w:tcPr>
            <w:tcW w:w="1560" w:type="dxa"/>
            <w:vAlign w:val="bottom"/>
            <w:gridSpan w:val="2"/>
          </w:tcPr>
          <w:p>
            <w:pPr>
              <w:jc w:val="center"/>
              <w:ind w:right="477"/>
              <w:spacing w:after="0"/>
              <w:rPr>
                <w:sz w:val="20"/>
                <w:szCs w:val="20"/>
                <w:color w:val="auto"/>
              </w:rPr>
            </w:pPr>
            <w:r>
              <w:rPr>
                <w:rFonts w:ascii="Arial" w:cs="Arial" w:eastAsia="Arial" w:hAnsi="Arial"/>
                <w:sz w:val="13"/>
                <w:szCs w:val="13"/>
                <w:b w:val="1"/>
                <w:bCs w:val="1"/>
                <w:color w:val="auto"/>
                <w:w w:val="87"/>
              </w:rPr>
              <w:t>(In thousands)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60"/>
        </w:trPr>
        <w:tc>
          <w:tcPr>
            <w:tcW w:w="33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6"/>
          </w:tcPr>
          <w:p>
            <w:pPr>
              <w:jc w:val="center"/>
              <w:ind w:right="120"/>
              <w:spacing w:after="0"/>
              <w:rPr>
                <w:sz w:val="20"/>
                <w:szCs w:val="20"/>
                <w:color w:val="auto"/>
              </w:rPr>
            </w:pPr>
            <w:r>
              <w:rPr>
                <w:rFonts w:ascii="Arial" w:cs="Arial" w:eastAsia="Arial" w:hAnsi="Arial"/>
                <w:sz w:val="10"/>
                <w:szCs w:val="10"/>
                <w:b w:val="1"/>
                <w:bCs w:val="1"/>
                <w:color w:val="auto"/>
                <w:w w:val="89"/>
              </w:rPr>
              <w:t>Three months ended</w:t>
            </w:r>
          </w:p>
        </w:tc>
        <w:tc>
          <w:tcPr>
            <w:tcW w:w="80" w:type="dxa"/>
            <w:vAlign w:val="bottom"/>
          </w:tcPr>
          <w:p>
            <w:pPr>
              <w:spacing w:after="0"/>
              <w:rPr>
                <w:sz w:val="22"/>
                <w:szCs w:val="22"/>
                <w:color w:val="auto"/>
              </w:rPr>
            </w:pPr>
          </w:p>
        </w:tc>
        <w:tc>
          <w:tcPr>
            <w:tcW w:w="1320" w:type="dxa"/>
            <w:vAlign w:val="bottom"/>
            <w:gridSpan w:val="6"/>
          </w:tcPr>
          <w:p>
            <w:pPr>
              <w:jc w:val="center"/>
              <w:ind w:right="80"/>
              <w:spacing w:after="0"/>
              <w:rPr>
                <w:sz w:val="20"/>
                <w:szCs w:val="20"/>
                <w:color w:val="auto"/>
              </w:rPr>
            </w:pPr>
            <w:r>
              <w:rPr>
                <w:rFonts w:ascii="Arial" w:cs="Arial" w:eastAsia="Arial" w:hAnsi="Arial"/>
                <w:sz w:val="10"/>
                <w:szCs w:val="10"/>
                <w:b w:val="1"/>
                <w:bCs w:val="1"/>
                <w:color w:val="auto"/>
                <w:w w:val="88"/>
              </w:rPr>
              <w:t>Six months ended</w:t>
            </w:r>
          </w:p>
        </w:tc>
      </w:tr>
      <w:tr>
        <w:trPr>
          <w:trHeight w:val="119"/>
        </w:trPr>
        <w:tc>
          <w:tcPr>
            <w:tcW w:w="3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gridSpan w:val="5"/>
          </w:tcPr>
          <w:p>
            <w:pPr>
              <w:jc w:val="center"/>
              <w:ind w:right="480"/>
              <w:spacing w:after="0"/>
              <w:rPr>
                <w:sz w:val="20"/>
                <w:szCs w:val="20"/>
                <w:color w:val="auto"/>
              </w:rPr>
            </w:pPr>
            <w:r>
              <w:rPr>
                <w:rFonts w:ascii="Arial" w:cs="Arial" w:eastAsia="Arial" w:hAnsi="Arial"/>
                <w:sz w:val="10"/>
                <w:szCs w:val="10"/>
                <w:b w:val="1"/>
                <w:bCs w:val="1"/>
                <w:color w:val="auto"/>
                <w:w w:val="95"/>
              </w:rPr>
              <w:t>March 31,</w:t>
            </w:r>
          </w:p>
        </w:tc>
        <w:tc>
          <w:tcPr>
            <w:tcW w:w="80" w:type="dxa"/>
            <w:vAlign w:val="bottom"/>
          </w:tcPr>
          <w:p>
            <w:pPr>
              <w:spacing w:after="0"/>
              <w:rPr>
                <w:sz w:val="10"/>
                <w:szCs w:val="10"/>
                <w:color w:val="auto"/>
              </w:rPr>
            </w:pPr>
          </w:p>
        </w:tc>
        <w:tc>
          <w:tcPr>
            <w:tcW w:w="1320" w:type="dxa"/>
            <w:vAlign w:val="bottom"/>
            <w:gridSpan w:val="6"/>
          </w:tcPr>
          <w:p>
            <w:pPr>
              <w:jc w:val="center"/>
              <w:ind w:right="80"/>
              <w:spacing w:after="0"/>
              <w:rPr>
                <w:sz w:val="20"/>
                <w:szCs w:val="20"/>
                <w:color w:val="auto"/>
              </w:rPr>
            </w:pPr>
            <w:r>
              <w:rPr>
                <w:rFonts w:ascii="Arial" w:cs="Arial" w:eastAsia="Arial" w:hAnsi="Arial"/>
                <w:sz w:val="10"/>
                <w:szCs w:val="10"/>
                <w:b w:val="1"/>
                <w:bCs w:val="1"/>
                <w:color w:val="auto"/>
                <w:w w:val="95"/>
              </w:rPr>
              <w:t>March 31,</w:t>
            </w:r>
          </w:p>
        </w:tc>
      </w:tr>
      <w:tr>
        <w:trPr>
          <w:trHeight w:val="94"/>
        </w:trPr>
        <w:tc>
          <w:tcPr>
            <w:tcW w:w="3360" w:type="dxa"/>
            <w:vAlign w:val="bottom"/>
            <w:tcBorders>
              <w:bottom w:val="single" w:sz="8" w:color="CCEEFF"/>
            </w:tcBorders>
          </w:tcPr>
          <w:p>
            <w:pPr>
              <w:spacing w:after="0"/>
              <w:rPr>
                <w:sz w:val="8"/>
                <w:szCs w:val="8"/>
                <w:color w:val="auto"/>
              </w:rPr>
            </w:pPr>
          </w:p>
        </w:tc>
        <w:tc>
          <w:tcPr>
            <w:tcW w:w="146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4" w:lineRule="exact"/>
              <w:rPr>
                <w:sz w:val="20"/>
                <w:szCs w:val="20"/>
                <w:color w:val="auto"/>
              </w:rPr>
            </w:pPr>
            <w:r>
              <w:rPr>
                <w:rFonts w:ascii="Arial" w:cs="Arial" w:eastAsia="Arial" w:hAnsi="Arial"/>
                <w:sz w:val="10"/>
                <w:szCs w:val="10"/>
                <w:b w:val="1"/>
                <w:bCs w:val="1"/>
                <w:color w:val="auto"/>
              </w:rPr>
              <w:t>2022</w:t>
            </w:r>
          </w:p>
        </w:tc>
        <w:tc>
          <w:tcPr>
            <w:tcW w:w="12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CCEEFF"/>
            </w:tcBorders>
          </w:tcPr>
          <w:p>
            <w:pPr>
              <w:spacing w:after="0"/>
              <w:rPr>
                <w:sz w:val="8"/>
                <w:szCs w:val="8"/>
                <w:color w:val="auto"/>
              </w:rPr>
            </w:pPr>
          </w:p>
        </w:tc>
        <w:tc>
          <w:tcPr>
            <w:tcW w:w="140" w:type="dxa"/>
            <w:vAlign w:val="bottom"/>
            <w:tcBorders>
              <w:top w:val="single" w:sz="8" w:color="auto"/>
              <w:bottom w:val="single" w:sz="8" w:color="CCEEFF"/>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79"/>
              <w:spacing w:after="0" w:line="94" w:lineRule="exact"/>
              <w:rPr>
                <w:sz w:val="20"/>
                <w:szCs w:val="20"/>
                <w:color w:val="auto"/>
              </w:rPr>
            </w:pPr>
            <w:r>
              <w:rPr>
                <w:rFonts w:ascii="Arial" w:cs="Arial" w:eastAsia="Arial" w:hAnsi="Arial"/>
                <w:sz w:val="10"/>
                <w:szCs w:val="10"/>
                <w:b w:val="1"/>
                <w:bCs w:val="1"/>
                <w:color w:val="auto"/>
              </w:rPr>
              <w:t>2021</w:t>
            </w:r>
          </w:p>
        </w:tc>
        <w:tc>
          <w:tcPr>
            <w:tcW w:w="14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01"/>
              <w:spacing w:after="0" w:line="94" w:lineRule="exact"/>
              <w:rPr>
                <w:sz w:val="20"/>
                <w:szCs w:val="20"/>
                <w:color w:val="auto"/>
              </w:rPr>
            </w:pPr>
            <w:r>
              <w:rPr>
                <w:rFonts w:ascii="Arial" w:cs="Arial" w:eastAsia="Arial" w:hAnsi="Arial"/>
                <w:sz w:val="10"/>
                <w:szCs w:val="10"/>
                <w:b w:val="1"/>
                <w:bCs w:val="1"/>
                <w:color w:val="auto"/>
              </w:rPr>
              <w:t>2022</w:t>
            </w:r>
          </w:p>
        </w:tc>
        <w:tc>
          <w:tcPr>
            <w:tcW w:w="180" w:type="dxa"/>
            <w:vAlign w:val="bottom"/>
            <w:tcBorders>
              <w:top w:val="single" w:sz="8" w:color="auto"/>
              <w:bottom w:val="single" w:sz="8" w:color="CCEEFF"/>
            </w:tcBorders>
          </w:tcPr>
          <w:p>
            <w:pPr>
              <w:spacing w:after="0"/>
              <w:rPr>
                <w:sz w:val="8"/>
                <w:szCs w:val="8"/>
                <w:color w:val="auto"/>
              </w:rPr>
            </w:pPr>
          </w:p>
        </w:tc>
        <w:tc>
          <w:tcPr>
            <w:tcW w:w="120" w:type="dxa"/>
            <w:vAlign w:val="bottom"/>
            <w:tcBorders>
              <w:top w:val="single" w:sz="8" w:color="auto"/>
              <w:bottom w:val="single" w:sz="8" w:color="CCEEFF"/>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39"/>
              <w:spacing w:after="0" w:line="94" w:lineRule="exact"/>
              <w:rPr>
                <w:sz w:val="20"/>
                <w:szCs w:val="20"/>
                <w:color w:val="auto"/>
              </w:rPr>
            </w:pPr>
            <w:r>
              <w:rPr>
                <w:rFonts w:ascii="Arial" w:cs="Arial" w:eastAsia="Arial" w:hAnsi="Arial"/>
                <w:sz w:val="10"/>
                <w:szCs w:val="10"/>
                <w:b w:val="1"/>
                <w:bCs w:val="1"/>
                <w:color w:val="auto"/>
                <w:w w:val="93"/>
              </w:rPr>
              <w:t>2021</w:t>
            </w:r>
            <w:r>
              <w:rPr>
                <w:rFonts w:ascii="Arial" w:cs="Arial" w:eastAsia="Arial" w:hAnsi="Arial"/>
                <w:sz w:val="8"/>
                <w:szCs w:val="8"/>
                <w:b w:val="1"/>
                <w:bCs w:val="1"/>
                <w:color w:val="auto"/>
                <w:w w:val="93"/>
              </w:rPr>
              <w:t>(a)</w:t>
            </w:r>
          </w:p>
        </w:tc>
        <w:tc>
          <w:tcPr>
            <w:tcW w:w="80" w:type="dxa"/>
            <w:vAlign w:val="bottom"/>
            <w:tcBorders>
              <w:bottom w:val="single" w:sz="8" w:color="CCEEFF"/>
            </w:tcBorders>
            <w:gridSpan w:val="2"/>
          </w:tcPr>
          <w:p>
            <w:pPr>
              <w:spacing w:after="0"/>
              <w:rPr>
                <w:sz w:val="8"/>
                <w:szCs w:val="8"/>
                <w:color w:val="auto"/>
              </w:rPr>
            </w:pPr>
          </w:p>
        </w:tc>
      </w:tr>
      <w:tr>
        <w:trPr>
          <w:trHeight w:val="141"/>
        </w:trPr>
        <w:tc>
          <w:tcPr>
            <w:tcW w:w="336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Net Cash Provided by Operating Activities</w:t>
            </w: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w w:val="84"/>
              </w:rPr>
              <w:t>$168,856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79"/>
              </w:rPr>
              <w:t>$ 119,736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w w:val="86"/>
              </w:rPr>
              <w:t>$ 372,974</w:t>
            </w:r>
          </w:p>
        </w:tc>
        <w:tc>
          <w:tcPr>
            <w:tcW w:w="18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4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73"/>
              </w:rPr>
              <w:t>$536,221</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2"/>
        </w:trPr>
        <w:tc>
          <w:tcPr>
            <w:tcW w:w="3360" w:type="dxa"/>
            <w:vAlign w:val="bottom"/>
          </w:tcPr>
          <w:p>
            <w:pPr>
              <w:spacing w:after="0"/>
              <w:rPr>
                <w:sz w:val="20"/>
                <w:szCs w:val="20"/>
                <w:color w:val="auto"/>
              </w:rPr>
            </w:pPr>
            <w:r>
              <w:rPr>
                <w:rFonts w:ascii="Arial" w:cs="Arial" w:eastAsia="Arial" w:hAnsi="Arial"/>
                <w:sz w:val="13"/>
                <w:szCs w:val="13"/>
                <w:color w:val="auto"/>
              </w:rPr>
              <w:t xml:space="preserve">Purchases of property and equipment, net </w:t>
            </w:r>
            <w:r>
              <w:rPr>
                <w:rFonts w:ascii="Arial" w:cs="Arial" w:eastAsia="Arial" w:hAnsi="Arial"/>
                <w:sz w:val="10"/>
                <w:szCs w:val="10"/>
                <w:color w:val="auto"/>
              </w:rPr>
              <w:t>(c)</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color w:val="auto"/>
              </w:rPr>
              <w:t>(47,271)</w:t>
            </w:r>
          </w:p>
        </w:tc>
        <w:tc>
          <w:tcPr>
            <w:tcW w:w="14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(49,245)</w:t>
            </w:r>
          </w:p>
        </w:tc>
        <w:tc>
          <w:tcPr>
            <w:tcW w:w="8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w w:val="96"/>
              </w:rPr>
              <w:t>(104,496)</w:t>
            </w:r>
          </w:p>
        </w:tc>
        <w:tc>
          <w:tcPr>
            <w:tcW w:w="120" w:type="dxa"/>
            <w:vAlign w:val="bottom"/>
          </w:tcPr>
          <w:p>
            <w:pPr>
              <w:spacing w:after="0"/>
              <w:rPr>
                <w:sz w:val="13"/>
                <w:szCs w:val="13"/>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3"/>
                <w:szCs w:val="13"/>
                <w:color w:val="auto"/>
                <w:w w:val="90"/>
              </w:rPr>
              <w:t>(99,310)</w:t>
            </w:r>
          </w:p>
        </w:tc>
      </w:tr>
      <w:tr>
        <w:trPr>
          <w:trHeight w:val="20"/>
        </w:trPr>
        <w:tc>
          <w:tcPr>
            <w:tcW w:w="3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Free Cash Flow</w:t>
            </w: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w w:val="97"/>
              </w:rPr>
              <w:t>121,585</w:t>
            </w: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70,491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268,478</w:t>
            </w:r>
          </w:p>
        </w:tc>
        <w:tc>
          <w:tcPr>
            <w:tcW w:w="120" w:type="dxa"/>
            <w:vAlign w:val="bottom"/>
            <w:tcBorders>
              <w:righ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85"/>
              </w:rPr>
              <w:t>436,911</w:t>
            </w:r>
          </w:p>
        </w:tc>
        <w:tc>
          <w:tcPr>
            <w:tcW w:w="40" w:type="dxa"/>
            <w:vAlign w:val="bottom"/>
            <w:shd w:val="clear" w:color="auto" w:fill="CCEEFF"/>
          </w:tcPr>
          <w:p>
            <w:pPr>
              <w:spacing w:after="0"/>
              <w:rPr>
                <w:sz w:val="13"/>
                <w:szCs w:val="13"/>
                <w:color w:val="auto"/>
              </w:rPr>
            </w:pPr>
          </w:p>
        </w:tc>
      </w:tr>
      <w:tr>
        <w:trPr>
          <w:trHeight w:val="152"/>
        </w:trPr>
        <w:tc>
          <w:tcPr>
            <w:tcW w:w="3360" w:type="dxa"/>
            <w:vAlign w:val="bottom"/>
          </w:tcPr>
          <w:p>
            <w:pPr>
              <w:spacing w:after="0"/>
              <w:rPr>
                <w:sz w:val="20"/>
                <w:szCs w:val="20"/>
                <w:color w:val="auto"/>
              </w:rPr>
            </w:pPr>
            <w:r>
              <w:rPr>
                <w:rFonts w:ascii="Arial" w:cs="Arial" w:eastAsia="Arial" w:hAnsi="Arial"/>
                <w:sz w:val="13"/>
                <w:szCs w:val="13"/>
                <w:color w:val="auto"/>
              </w:rPr>
              <w:t>Tax payment on sale of business</w:t>
            </w:r>
            <w:r>
              <w:rPr>
                <w:rFonts w:ascii="Arial" w:cs="Arial" w:eastAsia="Arial" w:hAnsi="Arial"/>
                <w:sz w:val="10"/>
                <w:szCs w:val="10"/>
                <w:color w:val="auto"/>
              </w:rPr>
              <w:t>(b)</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3"/>
                <w:szCs w:val="13"/>
                <w:color w:val="auto"/>
              </w:rPr>
              <w:t>3,193</w:t>
            </w:r>
          </w:p>
        </w:tc>
        <w:tc>
          <w:tcPr>
            <w:tcW w:w="14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25,190</w:t>
            </w: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3,193</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25,190</w:t>
            </w:r>
          </w:p>
        </w:tc>
        <w:tc>
          <w:tcPr>
            <w:tcW w:w="40" w:type="dxa"/>
            <w:vAlign w:val="bottom"/>
          </w:tcPr>
          <w:p>
            <w:pPr>
              <w:spacing w:after="0"/>
              <w:rPr>
                <w:sz w:val="13"/>
                <w:szCs w:val="13"/>
                <w:color w:val="auto"/>
              </w:rPr>
            </w:pPr>
          </w:p>
        </w:tc>
      </w:tr>
      <w:tr>
        <w:trPr>
          <w:trHeight w:val="152"/>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Payments of acquisition related liabilities</w:t>
            </w: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4"/>
            <w:shd w:val="clear" w:color="auto" w:fill="CCEEFF"/>
          </w:tcPr>
          <w:p>
            <w:pPr>
              <w:jc w:val="right"/>
              <w:ind w:right="80"/>
              <w:spacing w:after="0"/>
              <w:rPr>
                <w:sz w:val="20"/>
                <w:szCs w:val="20"/>
                <w:color w:val="auto"/>
              </w:rPr>
            </w:pPr>
            <w:r>
              <w:rPr>
                <w:rFonts w:ascii="Arial" w:cs="Arial" w:eastAsia="Arial" w:hAnsi="Arial"/>
                <w:sz w:val="13"/>
                <w:szCs w:val="13"/>
                <w:color w:val="auto"/>
              </w:rPr>
              <w:t>4,871</w:t>
            </w: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13,234</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14,350</w:t>
            </w:r>
          </w:p>
        </w:tc>
        <w:tc>
          <w:tcPr>
            <w:tcW w:w="120" w:type="dxa"/>
            <w:vAlign w:val="bottom"/>
            <w:tcBorders>
              <w:right w:val="single" w:sz="8" w:color="CCEEFF"/>
            </w:tcBorders>
            <w:shd w:val="clear" w:color="auto" w:fill="CCEEFF"/>
          </w:tcPr>
          <w:p>
            <w:pPr>
              <w:spacing w:after="0"/>
              <w:rPr>
                <w:sz w:val="13"/>
                <w:szCs w:val="13"/>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13,234</w:t>
            </w:r>
          </w:p>
        </w:tc>
        <w:tc>
          <w:tcPr>
            <w:tcW w:w="40" w:type="dxa"/>
            <w:vAlign w:val="bottom"/>
            <w:shd w:val="clear" w:color="auto" w:fill="CCEEFF"/>
          </w:tcPr>
          <w:p>
            <w:pPr>
              <w:spacing w:after="0"/>
              <w:rPr>
                <w:sz w:val="13"/>
                <w:szCs w:val="13"/>
                <w:color w:val="auto"/>
              </w:rPr>
            </w:pPr>
          </w:p>
        </w:tc>
      </w:tr>
      <w:tr>
        <w:trPr>
          <w:trHeight w:val="152"/>
        </w:trPr>
        <w:tc>
          <w:tcPr>
            <w:tcW w:w="3360" w:type="dxa"/>
            <w:vAlign w:val="bottom"/>
          </w:tcPr>
          <w:p>
            <w:pPr>
              <w:spacing w:after="0"/>
              <w:rPr>
                <w:sz w:val="20"/>
                <w:szCs w:val="20"/>
                <w:color w:val="auto"/>
              </w:rPr>
            </w:pPr>
            <w:r>
              <w:rPr>
                <w:rFonts w:ascii="Arial" w:cs="Arial" w:eastAsia="Arial" w:hAnsi="Arial"/>
                <w:sz w:val="13"/>
                <w:szCs w:val="13"/>
                <w:color w:val="auto"/>
                <w:w w:val="89"/>
              </w:rPr>
              <w:t>Net capital expenditures related to the new campus development</w:t>
            </w: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3"/>
                <w:szCs w:val="13"/>
                <w:color w:val="auto"/>
              </w:rPr>
              <w:t>30,109</w:t>
            </w:r>
          </w:p>
        </w:tc>
        <w:tc>
          <w:tcPr>
            <w:tcW w:w="14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24,221</w:t>
            </w:r>
          </w:p>
        </w:tc>
        <w:tc>
          <w:tcPr>
            <w:tcW w:w="8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59,416</w:t>
            </w:r>
          </w:p>
        </w:tc>
        <w:tc>
          <w:tcPr>
            <w:tcW w:w="120" w:type="dxa"/>
            <w:vAlign w:val="bottom"/>
          </w:tcPr>
          <w:p>
            <w:pPr>
              <w:spacing w:after="0"/>
              <w:rPr>
                <w:sz w:val="13"/>
                <w:szCs w:val="13"/>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3"/>
                <w:szCs w:val="13"/>
                <w:color w:val="auto"/>
              </w:rPr>
              <w:t>42,555</w:t>
            </w:r>
          </w:p>
        </w:tc>
        <w:tc>
          <w:tcPr>
            <w:tcW w:w="40" w:type="dxa"/>
            <w:vAlign w:val="bottom"/>
          </w:tcPr>
          <w:p>
            <w:pPr>
              <w:spacing w:after="0"/>
              <w:rPr>
                <w:sz w:val="13"/>
                <w:szCs w:val="13"/>
                <w:color w:val="auto"/>
              </w:rPr>
            </w:pPr>
          </w:p>
        </w:tc>
      </w:tr>
      <w:tr>
        <w:trPr>
          <w:trHeight w:val="20"/>
        </w:trPr>
        <w:tc>
          <w:tcPr>
            <w:tcW w:w="3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1"/>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Normalized Free Cash Flow</w:t>
            </w: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u w:val="single" w:color="auto"/>
                <w:color w:val="auto"/>
                <w:w w:val="84"/>
              </w:rPr>
              <w:t>$</w:t>
            </w:r>
            <w:r>
              <w:rPr>
                <w:rFonts w:ascii="Arial" w:cs="Arial" w:eastAsia="Arial" w:hAnsi="Arial"/>
                <w:sz w:val="13"/>
                <w:szCs w:val="13"/>
                <w:color w:val="auto"/>
                <w:w w:val="84"/>
              </w:rPr>
              <w:t>159,758</w:t>
            </w: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u w:val="single" w:color="auto"/>
                <w:color w:val="auto"/>
                <w:w w:val="84"/>
              </w:rPr>
              <w:t>$</w:t>
            </w:r>
            <w:r>
              <w:rPr>
                <w:rFonts w:ascii="Arial" w:cs="Arial" w:eastAsia="Arial" w:hAnsi="Arial"/>
                <w:sz w:val="13"/>
                <w:szCs w:val="13"/>
                <w:color w:val="auto"/>
                <w:w w:val="84"/>
              </w:rPr>
              <w:t>133,136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86"/>
              </w:rPr>
              <w:t>$ 345,437</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u w:val="single" w:color="auto"/>
                <w:color w:val="auto"/>
                <w:w w:val="95"/>
              </w:rPr>
              <w:t>$</w:t>
            </w:r>
            <w:r>
              <w:rPr>
                <w:rFonts w:ascii="Arial" w:cs="Arial" w:eastAsia="Arial" w:hAnsi="Arial"/>
                <w:sz w:val="13"/>
                <w:szCs w:val="13"/>
                <w:color w:val="auto"/>
                <w:w w:val="95"/>
              </w:rPr>
              <w:t>517,890</w:t>
            </w:r>
          </w:p>
        </w:tc>
        <w:tc>
          <w:tcPr>
            <w:tcW w:w="40" w:type="dxa"/>
            <w:vAlign w:val="bottom"/>
            <w:shd w:val="clear" w:color="auto" w:fill="CCEEFF"/>
          </w:tcPr>
          <w:p>
            <w:pPr>
              <w:spacing w:after="0"/>
              <w:rPr>
                <w:sz w:val="13"/>
                <w:szCs w:val="13"/>
                <w:color w:val="auto"/>
              </w:rPr>
            </w:pPr>
          </w:p>
        </w:tc>
      </w:tr>
      <w:tr>
        <w:trPr>
          <w:trHeight w:val="20"/>
        </w:trPr>
        <w:tc>
          <w:tcPr>
            <w:tcW w:w="3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66040</wp:posOffset>
            </wp:positionV>
            <wp:extent cx="54165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113" w:lineRule="exact"/>
        <w:rPr>
          <w:sz w:val="20"/>
          <w:szCs w:val="20"/>
          <w:color w:val="auto"/>
        </w:rPr>
      </w:pPr>
    </w:p>
    <w:p>
      <w:pPr>
        <w:ind w:left="940" w:hanging="303"/>
        <w:spacing w:after="0"/>
        <w:tabs>
          <w:tab w:leader="none" w:pos="9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Since January 1, 2021, OpenMarket results are not included in the Consolidated Statements of Income given its divestiture.</w:t>
      </w:r>
    </w:p>
    <w:p>
      <w:pPr>
        <w:spacing w:after="0" w:line="11" w:lineRule="exact"/>
        <w:rPr>
          <w:rFonts w:ascii="Arial" w:cs="Arial" w:eastAsia="Arial" w:hAnsi="Arial"/>
          <w:sz w:val="13"/>
          <w:szCs w:val="13"/>
          <w:color w:val="auto"/>
        </w:rPr>
      </w:pPr>
    </w:p>
    <w:p>
      <w:pPr>
        <w:ind w:left="940" w:hanging="303"/>
        <w:spacing w:after="0"/>
        <w:tabs>
          <w:tab w:leader="none" w:pos="9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Tax payment related to capital gain from divestiture of OpenMarket, which was completed on December 31, 2020.</w:t>
      </w:r>
    </w:p>
    <w:p>
      <w:pPr>
        <w:spacing w:after="0" w:line="2" w:lineRule="exact"/>
        <w:rPr>
          <w:rFonts w:ascii="Arial" w:cs="Arial" w:eastAsia="Arial" w:hAnsi="Arial"/>
          <w:sz w:val="13"/>
          <w:szCs w:val="13"/>
          <w:color w:val="auto"/>
        </w:rPr>
      </w:pPr>
    </w:p>
    <w:p>
      <w:pPr>
        <w:ind w:left="940" w:right="679" w:hanging="303"/>
        <w:spacing w:after="0" w:line="246" w:lineRule="auto"/>
        <w:tabs>
          <w:tab w:leader="none" w:pos="9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amounts under “Purchase of property and equipment, net” include proceeds from sale of property and equipment of $555 and $136 for the six months ended March 31, 2022 and 2021, respectively.</w:t>
      </w:r>
    </w:p>
    <w:p>
      <w:pPr>
        <w:sectPr>
          <w:pgSz w:w="11900" w:h="16838" w:orient="portrait"/>
          <w:cols w:equalWidth="0" w:num="1">
            <w:col w:w="9019"/>
          </w:cols>
          <w:pgMar w:left="1440" w:top="231" w:right="1440"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Reconciliation of Selected Financial Metrics from GAAP to Non-GAAP</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w:t>
      </w:r>
    </w:p>
    <w:p>
      <w:pPr>
        <w:spacing w:after="0" w:line="157" w:lineRule="exact"/>
        <w:rPr>
          <w:sz w:val="20"/>
          <w:szCs w:val="20"/>
          <w:color w:val="auto"/>
        </w:rPr>
      </w:pPr>
    </w:p>
    <w:p>
      <w:pPr>
        <w:jc w:val="center"/>
        <w:ind w:left="2720"/>
        <w:spacing w:after="0"/>
        <w:rPr>
          <w:sz w:val="20"/>
          <w:szCs w:val="20"/>
          <w:color w:val="auto"/>
        </w:rPr>
      </w:pPr>
      <w:r>
        <w:rPr>
          <w:rFonts w:ascii="Arial" w:cs="Arial" w:eastAsia="Arial" w:hAnsi="Arial"/>
          <w:sz w:val="10"/>
          <w:szCs w:val="10"/>
          <w:b w:val="1"/>
          <w:bCs w:val="1"/>
          <w:color w:val="auto"/>
        </w:rPr>
        <w:t>Three months ended</w:t>
      </w:r>
    </w:p>
    <w:p>
      <w:pPr>
        <w:jc w:val="center"/>
        <w:ind w:left="2720"/>
        <w:spacing w:after="0" w:line="227" w:lineRule="auto"/>
        <w:rPr>
          <w:sz w:val="20"/>
          <w:szCs w:val="20"/>
          <w:color w:val="auto"/>
        </w:rPr>
      </w:pPr>
      <w:r>
        <w:rPr>
          <w:rFonts w:ascii="Arial" w:cs="Arial" w:eastAsia="Arial" w:hAnsi="Arial"/>
          <w:sz w:val="10"/>
          <w:szCs w:val="10"/>
          <w:b w:val="1"/>
          <w:bCs w:val="1"/>
          <w:color w:val="auto"/>
        </w:rPr>
        <w:t>March 31, 2022</w:t>
      </w:r>
    </w:p>
    <w:tbl>
      <w:tblPr>
        <w:tblLayout w:type="fixed"/>
        <w:tblInd w:w="640" w:type="dxa"/>
        <w:tblCellMar>
          <w:top w:w="0" w:type="dxa"/>
          <w:left w:w="0" w:type="dxa"/>
          <w:bottom w:w="0" w:type="dxa"/>
          <w:right w:w="0" w:type="dxa"/>
        </w:tblCellMar>
      </w:tblPr>
      <w:tr>
        <w:trPr>
          <w:trHeight w:val="94"/>
        </w:trPr>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1640" w:type="dxa"/>
            <w:vAlign w:val="bottom"/>
            <w:tcBorders>
              <w:top w:val="single" w:sz="8" w:color="auto"/>
              <w:bottom w:val="single" w:sz="8" w:color="auto"/>
            </w:tcBorders>
            <w:gridSpan w:val="5"/>
          </w:tcPr>
          <w:p>
            <w:pPr>
              <w:ind w:left="380"/>
              <w:spacing w:after="0" w:line="94" w:lineRule="exact"/>
              <w:rPr>
                <w:sz w:val="20"/>
                <w:szCs w:val="20"/>
                <w:color w:val="auto"/>
              </w:rPr>
            </w:pPr>
            <w:r>
              <w:rPr>
                <w:rFonts w:ascii="Arial" w:cs="Arial" w:eastAsia="Arial" w:hAnsi="Arial"/>
                <w:sz w:val="10"/>
                <w:szCs w:val="10"/>
                <w:b w:val="1"/>
                <w:bCs w:val="1"/>
                <w:color w:val="auto"/>
              </w:rPr>
              <w:t>Reconciliation items</w:t>
            </w:r>
          </w:p>
        </w:tc>
        <w:tc>
          <w:tcPr>
            <w:tcW w:w="300" w:type="dxa"/>
            <w:vAlign w:val="bottom"/>
            <w:tcBorders>
              <w:top w:val="single" w:sz="8" w:color="auto"/>
              <w:bottom w:val="single" w:sz="8" w:color="auto"/>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tcPr>
          <w:p>
            <w:pPr>
              <w:jc w:val="center"/>
              <w:ind w:right="300"/>
              <w:spacing w:after="0" w:line="79" w:lineRule="exact"/>
              <w:rPr>
                <w:sz w:val="20"/>
                <w:szCs w:val="20"/>
                <w:color w:val="auto"/>
              </w:rPr>
            </w:pPr>
            <w:r>
              <w:rPr>
                <w:rFonts w:ascii="Arial" w:cs="Arial" w:eastAsia="Arial" w:hAnsi="Arial"/>
                <w:sz w:val="9"/>
                <w:szCs w:val="9"/>
                <w:b w:val="1"/>
                <w:bCs w:val="1"/>
                <w:color w:val="auto"/>
                <w:w w:val="98"/>
              </w:rPr>
              <w:t>Changes in</w:t>
            </w: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Amortization</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ind w:right="320"/>
              <w:spacing w:after="0" w:line="104" w:lineRule="exact"/>
              <w:rPr>
                <w:sz w:val="20"/>
                <w:szCs w:val="20"/>
                <w:color w:val="auto"/>
              </w:rPr>
            </w:pPr>
            <w:r>
              <w:rPr>
                <w:rFonts w:ascii="Arial" w:cs="Arial" w:eastAsia="Arial" w:hAnsi="Arial"/>
                <w:sz w:val="10"/>
                <w:szCs w:val="10"/>
                <w:b w:val="1"/>
                <w:bCs w:val="1"/>
                <w:color w:val="auto"/>
                <w:w w:val="91"/>
              </w:rPr>
              <w:t>certain</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right"/>
              <w:ind w:right="140"/>
              <w:spacing w:after="0" w:line="104" w:lineRule="exact"/>
              <w:rPr>
                <w:sz w:val="20"/>
                <w:szCs w:val="20"/>
                <w:color w:val="auto"/>
              </w:rPr>
            </w:pPr>
            <w:r>
              <w:rPr>
                <w:rFonts w:ascii="Arial" w:cs="Arial" w:eastAsia="Arial" w:hAnsi="Arial"/>
                <w:sz w:val="10"/>
                <w:szCs w:val="10"/>
                <w:b w:val="1"/>
                <w:bCs w:val="1"/>
                <w:color w:val="auto"/>
                <w:w w:val="76"/>
              </w:rPr>
              <w:t>of purchased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ind w:right="300"/>
              <w:spacing w:after="0" w:line="104" w:lineRule="exact"/>
              <w:rPr>
                <w:sz w:val="20"/>
                <w:szCs w:val="20"/>
                <w:color w:val="auto"/>
              </w:rPr>
            </w:pPr>
            <w:r>
              <w:rPr>
                <w:rFonts w:ascii="Arial" w:cs="Arial" w:eastAsia="Arial" w:hAnsi="Arial"/>
                <w:sz w:val="10"/>
                <w:szCs w:val="10"/>
                <w:b w:val="1"/>
                <w:bCs w:val="1"/>
                <w:color w:val="auto"/>
                <w:w w:val="89"/>
              </w:rPr>
              <w:t>acquisitions</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center"/>
              <w:ind w:right="220"/>
              <w:spacing w:after="0" w:line="104" w:lineRule="exact"/>
              <w:rPr>
                <w:sz w:val="20"/>
                <w:szCs w:val="20"/>
                <w:color w:val="auto"/>
              </w:rPr>
            </w:pPr>
            <w:r>
              <w:rPr>
                <w:rFonts w:ascii="Arial" w:cs="Arial" w:eastAsia="Arial" w:hAnsi="Arial"/>
                <w:sz w:val="10"/>
                <w:szCs w:val="10"/>
                <w:b w:val="1"/>
                <w:bCs w:val="1"/>
                <w:color w:val="auto"/>
                <w:w w:val="88"/>
              </w:rPr>
              <w:t>intangible</w:t>
            </w:r>
          </w:p>
        </w:tc>
        <w:tc>
          <w:tcPr>
            <w:tcW w:w="100" w:type="dxa"/>
            <w:vAlign w:val="bottom"/>
          </w:tcPr>
          <w:p>
            <w:pPr>
              <w:spacing w:after="0"/>
              <w:rPr>
                <w:sz w:val="9"/>
                <w:szCs w:val="9"/>
                <w:color w:val="auto"/>
              </w:rPr>
            </w:pPr>
          </w:p>
        </w:tc>
        <w:tc>
          <w:tcPr>
            <w:tcW w:w="78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rPr>
              <w:t>Equity based</w:t>
            </w:r>
          </w:p>
        </w:tc>
        <w:tc>
          <w:tcPr>
            <w:tcW w:w="940" w:type="dxa"/>
            <w:vAlign w:val="bottom"/>
            <w:gridSpan w:val="3"/>
          </w:tcPr>
          <w:p>
            <w:pPr>
              <w:jc w:val="center"/>
              <w:ind w:right="220"/>
              <w:spacing w:after="0" w:line="104" w:lineRule="exact"/>
              <w:rPr>
                <w:sz w:val="20"/>
                <w:szCs w:val="20"/>
                <w:color w:val="auto"/>
              </w:rPr>
            </w:pPr>
            <w:r>
              <w:rPr>
                <w:rFonts w:ascii="Arial" w:cs="Arial" w:eastAsia="Arial" w:hAnsi="Arial"/>
                <w:sz w:val="10"/>
                <w:szCs w:val="10"/>
                <w:b w:val="1"/>
                <w:bCs w:val="1"/>
                <w:color w:val="auto"/>
                <w:w w:val="91"/>
              </w:rPr>
              <w:t>related liabilities</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w w:val="85"/>
              </w:rPr>
              <w:t>assets and</w:t>
            </w:r>
          </w:p>
        </w:tc>
        <w:tc>
          <w:tcPr>
            <w:tcW w:w="100" w:type="dxa"/>
            <w:vAlign w:val="bottom"/>
          </w:tcPr>
          <w:p>
            <w:pPr>
              <w:spacing w:after="0"/>
              <w:rPr>
                <w:sz w:val="9"/>
                <w:szCs w:val="9"/>
                <w:color w:val="auto"/>
              </w:rPr>
            </w:pPr>
          </w:p>
        </w:tc>
        <w:tc>
          <w:tcPr>
            <w:tcW w:w="78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rPr>
              <w:t>compensation</w:t>
            </w:r>
          </w:p>
        </w:tc>
        <w:tc>
          <w:tcPr>
            <w:tcW w:w="940" w:type="dxa"/>
            <w:vAlign w:val="bottom"/>
            <w:gridSpan w:val="3"/>
          </w:tcPr>
          <w:p>
            <w:pPr>
              <w:jc w:val="center"/>
              <w:ind w:right="220"/>
              <w:spacing w:after="0" w:line="104" w:lineRule="exact"/>
              <w:rPr>
                <w:sz w:val="20"/>
                <w:szCs w:val="20"/>
                <w:color w:val="auto"/>
              </w:rPr>
            </w:pPr>
            <w:r>
              <w:rPr>
                <w:rFonts w:ascii="Arial" w:cs="Arial" w:eastAsia="Arial" w:hAnsi="Arial"/>
                <w:sz w:val="10"/>
                <w:szCs w:val="10"/>
                <w:b w:val="1"/>
                <w:bCs w:val="1"/>
                <w:color w:val="auto"/>
                <w:w w:val="93"/>
              </w:rPr>
              <w:t>measured at fair</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w w:val="92"/>
              </w:rPr>
              <w:t>Tax</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GAAP</w:t>
            </w:r>
          </w:p>
        </w:tc>
        <w:tc>
          <w:tcPr>
            <w:tcW w:w="140" w:type="dxa"/>
            <w:vAlign w:val="bottom"/>
          </w:tcPr>
          <w:p>
            <w:pPr>
              <w:spacing w:after="0"/>
              <w:rPr>
                <w:sz w:val="10"/>
                <w:szCs w:val="10"/>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7"/>
              </w:rPr>
              <w:t>other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89"/>
              <w:spacing w:after="0"/>
              <w:rPr>
                <w:sz w:val="20"/>
                <w:szCs w:val="20"/>
                <w:color w:val="auto"/>
              </w:rPr>
            </w:pPr>
            <w:r>
              <w:rPr>
                <w:rFonts w:ascii="Arial" w:cs="Arial" w:eastAsia="Arial" w:hAnsi="Arial"/>
                <w:sz w:val="10"/>
                <w:szCs w:val="10"/>
                <w:b w:val="1"/>
                <w:bCs w:val="1"/>
                <w:color w:val="auto"/>
                <w:w w:val="84"/>
              </w:rPr>
              <w:t>expense</w:t>
            </w:r>
          </w:p>
        </w:tc>
        <w:tc>
          <w:tcPr>
            <w:tcW w:w="80" w:type="dxa"/>
            <w:vAlign w:val="bottom"/>
          </w:tcPr>
          <w:p>
            <w:pPr>
              <w:spacing w:after="0"/>
              <w:rPr>
                <w:sz w:val="10"/>
                <w:szCs w:val="10"/>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3"/>
              </w:rPr>
              <w:t>value</w:t>
            </w:r>
          </w:p>
        </w:tc>
        <w:tc>
          <w:tcPr>
            <w:tcW w:w="5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7"/>
              </w:rPr>
              <w:t>Other</w:t>
            </w:r>
          </w:p>
        </w:tc>
        <w:tc>
          <w:tcPr>
            <w:tcW w:w="80" w:type="dxa"/>
            <w:vAlign w:val="bottom"/>
          </w:tcPr>
          <w:p>
            <w:pPr>
              <w:spacing w:after="0"/>
              <w:rPr>
                <w:sz w:val="10"/>
                <w:szCs w:val="10"/>
                <w:color w:val="auto"/>
              </w:rPr>
            </w:pPr>
          </w:p>
        </w:tc>
        <w:tc>
          <w:tcPr>
            <w:tcW w:w="4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effect</w:t>
            </w:r>
          </w:p>
        </w:tc>
        <w:tc>
          <w:tcPr>
            <w:tcW w:w="100" w:type="dxa"/>
            <w:vAlign w:val="bottom"/>
          </w:tcPr>
          <w:p>
            <w:pPr>
              <w:spacing w:after="0"/>
              <w:rPr>
                <w:sz w:val="10"/>
                <w:szCs w:val="1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92"/>
              </w:rPr>
              <w:t>Non-GAAP</w:t>
            </w:r>
          </w:p>
        </w:tc>
        <w:tc>
          <w:tcPr>
            <w:tcW w:w="0" w:type="dxa"/>
            <w:vAlign w:val="bottom"/>
          </w:tcPr>
          <w:p>
            <w:pPr>
              <w:spacing w:after="0"/>
              <w:rPr>
                <w:sz w:val="1"/>
                <w:szCs w:val="1"/>
                <w:color w:val="auto"/>
              </w:rPr>
            </w:pPr>
          </w:p>
        </w:tc>
      </w:tr>
      <w:tr>
        <w:trPr>
          <w:trHeight w:val="132"/>
        </w:trPr>
        <w:tc>
          <w:tcPr>
            <w:tcW w:w="2740" w:type="dxa"/>
            <w:vAlign w:val="bottom"/>
            <w:tcBorders>
              <w:top w:val="single" w:sz="8" w:color="CCEEFF"/>
            </w:tcBorders>
            <w:shd w:val="clear" w:color="auto" w:fill="CCEEFF"/>
          </w:tcPr>
          <w:p>
            <w:pPr>
              <w:spacing w:after="0" w:line="132" w:lineRule="exact"/>
              <w:rPr>
                <w:sz w:val="20"/>
                <w:szCs w:val="20"/>
                <w:color w:val="auto"/>
              </w:rPr>
            </w:pPr>
            <w:r>
              <w:rPr>
                <w:rFonts w:ascii="Arial" w:cs="Arial" w:eastAsia="Arial" w:hAnsi="Arial"/>
                <w:sz w:val="13"/>
                <w:szCs w:val="13"/>
                <w:color w:val="auto"/>
              </w:rPr>
              <w:t>Operating expenses:</w:t>
            </w: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left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left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740" w:type="dxa"/>
            <w:vAlign w:val="bottom"/>
          </w:tcPr>
          <w:p>
            <w:pPr>
              <w:ind w:left="260"/>
              <w:spacing w:after="0"/>
              <w:rPr>
                <w:sz w:val="20"/>
                <w:szCs w:val="20"/>
                <w:color w:val="auto"/>
              </w:rPr>
            </w:pPr>
            <w:r>
              <w:rPr>
                <w:rFonts w:ascii="Arial" w:cs="Arial" w:eastAsia="Arial" w:hAnsi="Arial"/>
                <w:sz w:val="13"/>
                <w:szCs w:val="13"/>
                <w:color w:val="auto"/>
              </w:rPr>
              <w:t>Cost of revenue</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w w:val="99"/>
              </w:rPr>
              <w:t>$741,257</w:t>
            </w:r>
          </w:p>
        </w:tc>
        <w:tc>
          <w:tcPr>
            <w:tcW w:w="140" w:type="dxa"/>
            <w:vAlign w:val="bottom"/>
          </w:tcPr>
          <w:p>
            <w:pPr>
              <w:spacing w:after="0"/>
              <w:rPr>
                <w:sz w:val="13"/>
                <w:szCs w:val="13"/>
                <w:color w:val="auto"/>
              </w:rPr>
            </w:pPr>
          </w:p>
        </w:tc>
        <w:tc>
          <w:tcPr>
            <w:tcW w:w="140" w:type="dxa"/>
            <w:vAlign w:val="bottom"/>
          </w:tcPr>
          <w:p>
            <w:pPr>
              <w:ind w:left="60"/>
              <w:spacing w:after="0"/>
              <w:rPr>
                <w:sz w:val="20"/>
                <w:szCs w:val="20"/>
                <w:color w:val="auto"/>
              </w:rPr>
            </w:pPr>
            <w:r>
              <w:rPr>
                <w:rFonts w:ascii="Arial" w:cs="Arial" w:eastAsia="Arial" w:hAnsi="Arial"/>
                <w:sz w:val="9"/>
                <w:szCs w:val="9"/>
                <w:color w:val="auto"/>
                <w:w w:val="78"/>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29"/>
              <w:spacing w:after="0"/>
              <w:rPr>
                <w:sz w:val="20"/>
                <w:szCs w:val="20"/>
                <w:color w:val="auto"/>
              </w:rPr>
            </w:pPr>
            <w:r>
              <w:rPr>
                <w:rFonts w:ascii="Arial" w:cs="Arial" w:eastAsia="Arial" w:hAnsi="Arial"/>
                <w:sz w:val="13"/>
                <w:szCs w:val="13"/>
                <w:color w:val="auto"/>
              </w:rPr>
              <w:t>(8,070)</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(1,820)</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w w:val="94"/>
              </w:rPr>
              <w:t>$  —</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$ 731,367</w:t>
            </w:r>
          </w:p>
        </w:tc>
        <w:tc>
          <w:tcPr>
            <w:tcW w:w="0" w:type="dxa"/>
            <w:vAlign w:val="bottom"/>
          </w:tcPr>
          <w:p>
            <w:pPr>
              <w:spacing w:after="0"/>
              <w:rPr>
                <w:sz w:val="1"/>
                <w:szCs w:val="1"/>
                <w:color w:val="auto"/>
              </w:rPr>
            </w:pPr>
          </w:p>
        </w:tc>
      </w:tr>
      <w:tr>
        <w:trPr>
          <w:trHeight w:val="152"/>
        </w:trPr>
        <w:tc>
          <w:tcPr>
            <w:tcW w:w="27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Research and development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87,064</w:t>
            </w:r>
          </w:p>
        </w:tc>
        <w:tc>
          <w:tcPr>
            <w:tcW w:w="140" w:type="dxa"/>
            <w:vAlign w:val="bottom"/>
            <w:tcBorders>
              <w:lef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9"/>
              <w:spacing w:after="0"/>
              <w:rPr>
                <w:sz w:val="20"/>
                <w:szCs w:val="20"/>
                <w:color w:val="auto"/>
              </w:rPr>
            </w:pPr>
            <w:r>
              <w:rPr>
                <w:rFonts w:ascii="Arial" w:cs="Arial" w:eastAsia="Arial" w:hAnsi="Arial"/>
                <w:sz w:val="13"/>
                <w:szCs w:val="13"/>
                <w:color w:val="auto"/>
              </w:rPr>
              <w:t>(1,375)</w:t>
            </w:r>
          </w:p>
        </w:tc>
        <w:tc>
          <w:tcPr>
            <w:tcW w:w="8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85,689</w:t>
            </w:r>
          </w:p>
        </w:tc>
        <w:tc>
          <w:tcPr>
            <w:tcW w:w="0" w:type="dxa"/>
            <w:vAlign w:val="bottom"/>
          </w:tcPr>
          <w:p>
            <w:pPr>
              <w:spacing w:after="0"/>
              <w:rPr>
                <w:sz w:val="1"/>
                <w:szCs w:val="1"/>
                <w:color w:val="auto"/>
              </w:rPr>
            </w:pPr>
          </w:p>
        </w:tc>
      </w:tr>
      <w:tr>
        <w:trPr>
          <w:trHeight w:val="152"/>
        </w:trPr>
        <w:tc>
          <w:tcPr>
            <w:tcW w:w="2740" w:type="dxa"/>
            <w:vAlign w:val="bottom"/>
          </w:tcPr>
          <w:p>
            <w:pPr>
              <w:ind w:left="260"/>
              <w:spacing w:after="0"/>
              <w:rPr>
                <w:sz w:val="20"/>
                <w:szCs w:val="20"/>
                <w:color w:val="auto"/>
              </w:rPr>
            </w:pPr>
            <w:r>
              <w:rPr>
                <w:rFonts w:ascii="Arial" w:cs="Arial" w:eastAsia="Arial" w:hAnsi="Arial"/>
                <w:sz w:val="13"/>
                <w:szCs w:val="13"/>
                <w:color w:val="auto"/>
              </w:rPr>
              <w:t>Selling, general and administrative</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134,982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29"/>
              <w:spacing w:after="0"/>
              <w:rPr>
                <w:sz w:val="20"/>
                <w:szCs w:val="20"/>
                <w:color w:val="auto"/>
              </w:rPr>
            </w:pPr>
            <w:r>
              <w:rPr>
                <w:rFonts w:ascii="Arial" w:cs="Arial" w:eastAsia="Arial" w:hAnsi="Arial"/>
                <w:sz w:val="13"/>
                <w:szCs w:val="13"/>
                <w:color w:val="auto"/>
              </w:rPr>
              <w:t>(8,392)</w:t>
            </w:r>
          </w:p>
        </w:tc>
        <w:tc>
          <w:tcPr>
            <w:tcW w:w="80" w:type="dxa"/>
            <w:vAlign w:val="bottom"/>
          </w:tcPr>
          <w:p>
            <w:pPr>
              <w:spacing w:after="0"/>
              <w:rPr>
                <w:sz w:val="13"/>
                <w:szCs w:val="13"/>
                <w:color w:val="auto"/>
              </w:rPr>
            </w:pP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126,590</w:t>
            </w:r>
          </w:p>
        </w:tc>
        <w:tc>
          <w:tcPr>
            <w:tcW w:w="0" w:type="dxa"/>
            <w:vAlign w:val="bottom"/>
          </w:tcPr>
          <w:p>
            <w:pPr>
              <w:spacing w:after="0"/>
              <w:rPr>
                <w:sz w:val="1"/>
                <w:szCs w:val="1"/>
                <w:color w:val="auto"/>
              </w:rPr>
            </w:pPr>
          </w:p>
        </w:tc>
      </w:tr>
      <w:tr>
        <w:trPr>
          <w:trHeight w:val="143"/>
        </w:trPr>
        <w:tc>
          <w:tcPr>
            <w:tcW w:w="2740" w:type="dxa"/>
            <w:vAlign w:val="bottom"/>
            <w:shd w:val="clear" w:color="auto" w:fill="CCEEFF"/>
          </w:tcPr>
          <w:p>
            <w:pPr>
              <w:ind w:left="260"/>
              <w:spacing w:after="0" w:line="143" w:lineRule="exact"/>
              <w:rPr>
                <w:sz w:val="20"/>
                <w:szCs w:val="20"/>
                <w:color w:val="auto"/>
              </w:rPr>
            </w:pPr>
            <w:r>
              <w:rPr>
                <w:rFonts w:ascii="Arial" w:cs="Arial" w:eastAsia="Arial" w:hAnsi="Arial"/>
                <w:sz w:val="13"/>
                <w:szCs w:val="13"/>
                <w:color w:val="auto"/>
                <w:w w:val="97"/>
              </w:rPr>
              <w:t>Amortization of purchased intangible assets</w:t>
            </w:r>
          </w:p>
        </w:tc>
        <w:tc>
          <w:tcPr>
            <w:tcW w:w="1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and other</w:t>
            </w:r>
          </w:p>
        </w:tc>
        <w:tc>
          <w:tcPr>
            <w:tcW w:w="10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18,317</w:t>
            </w:r>
          </w:p>
        </w:tc>
        <w:tc>
          <w:tcPr>
            <w:tcW w:w="140" w:type="dxa"/>
            <w:vAlign w:val="bottom"/>
            <w:tcBorders>
              <w:lef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(18,317)</w:t>
            </w: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29"/>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3"/>
                <w:szCs w:val="13"/>
                <w:color w:val="auto"/>
              </w:rPr>
              <w:t>Total operating expenses</w:t>
            </w:r>
          </w:p>
        </w:tc>
        <w:tc>
          <w:tcPr>
            <w:tcW w:w="1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3"/>
              </w:rPr>
              <w:t>981,620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(18,317)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29"/>
              <w:spacing w:after="0"/>
              <w:rPr>
                <w:sz w:val="20"/>
                <w:szCs w:val="20"/>
                <w:color w:val="auto"/>
              </w:rPr>
            </w:pPr>
            <w:r>
              <w:rPr>
                <w:rFonts w:ascii="Arial" w:cs="Arial" w:eastAsia="Arial" w:hAnsi="Arial"/>
                <w:sz w:val="13"/>
                <w:szCs w:val="13"/>
                <w:color w:val="auto"/>
              </w:rPr>
              <w:t>(17,837)</w:t>
            </w:r>
          </w:p>
        </w:tc>
        <w:tc>
          <w:tcPr>
            <w:tcW w:w="8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(1,820)</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943,646</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0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163,651</w:t>
            </w:r>
          </w:p>
        </w:tc>
        <w:tc>
          <w:tcPr>
            <w:tcW w:w="140" w:type="dxa"/>
            <w:vAlign w:val="bottom"/>
            <w:tcBorders>
              <w:lef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18,317</w:t>
            </w: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17,837</w:t>
            </w:r>
          </w:p>
        </w:tc>
        <w:tc>
          <w:tcPr>
            <w:tcW w:w="2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1,820</w:t>
            </w:r>
          </w:p>
        </w:tc>
        <w:tc>
          <w:tcPr>
            <w:tcW w:w="220" w:type="dxa"/>
            <w:vAlign w:val="bottom"/>
            <w:tcBorders>
              <w:right w:val="single" w:sz="8" w:color="CCEEFF"/>
            </w:tcBorders>
            <w:shd w:val="clear" w:color="auto" w:fill="CCEEFF"/>
          </w:tcPr>
          <w:p>
            <w:pPr>
              <w:spacing w:after="0"/>
              <w:rPr>
                <w:sz w:val="13"/>
                <w:szCs w:val="13"/>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201,625</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3"/>
                <w:szCs w:val="13"/>
                <w:color w:val="auto"/>
              </w:rPr>
              <w:t>Interest and other expense, net</w:t>
            </w:r>
          </w:p>
        </w:tc>
        <w:tc>
          <w:tcPr>
            <w:tcW w:w="1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(8,619)</w:t>
            </w:r>
          </w:p>
        </w:tc>
        <w:tc>
          <w:tcPr>
            <w:tcW w:w="14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2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w w:val="98"/>
              </w:rPr>
              <w:t>1,100</w:t>
            </w:r>
          </w:p>
        </w:tc>
        <w:tc>
          <w:tcPr>
            <w:tcW w:w="80" w:type="dxa"/>
            <w:vAlign w:val="bottom"/>
          </w:tcPr>
          <w:p>
            <w:pPr>
              <w:spacing w:after="0"/>
              <w:rPr>
                <w:sz w:val="13"/>
                <w:szCs w:val="13"/>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3"/>
                <w:szCs w:val="13"/>
                <w:color w:val="auto"/>
              </w:rPr>
              <w:t>(7,519)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Income tax (benefit) expense</w:t>
            </w:r>
          </w:p>
        </w:tc>
        <w:tc>
          <w:tcPr>
            <w:tcW w:w="10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(3,465)</w:t>
            </w:r>
          </w:p>
        </w:tc>
        <w:tc>
          <w:tcPr>
            <w:tcW w:w="14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29"/>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6,627</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3,162</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1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740" w:type="dxa"/>
            <w:vAlign w:val="bottom"/>
            <w:vMerge w:val="continue"/>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u w:val="single" w:color="auto"/>
                <w:color w:val="auto"/>
                <w:w w:val="99"/>
              </w:rPr>
              <w:t>$</w:t>
            </w:r>
            <w:r>
              <w:rPr>
                <w:rFonts w:ascii="Arial" w:cs="Arial" w:eastAsia="Arial" w:hAnsi="Arial"/>
                <w:sz w:val="13"/>
                <w:szCs w:val="13"/>
                <w:color w:val="auto"/>
                <w:w w:val="99"/>
              </w:rPr>
              <w:t>158,497</w:t>
            </w:r>
          </w:p>
        </w:tc>
        <w:tc>
          <w:tcPr>
            <w:tcW w:w="140" w:type="dxa"/>
            <w:vAlign w:val="bottom"/>
          </w:tcPr>
          <w:p>
            <w:pPr>
              <w:spacing w:after="0"/>
              <w:rPr>
                <w:sz w:val="13"/>
                <w:szCs w:val="13"/>
                <w:color w:val="auto"/>
              </w:rPr>
            </w:pPr>
          </w:p>
        </w:tc>
        <w:tc>
          <w:tcPr>
            <w:tcW w:w="140" w:type="dxa"/>
            <w:vAlign w:val="bottom"/>
          </w:tcPr>
          <w:p>
            <w:pPr>
              <w:ind w:left="60"/>
              <w:spacing w:after="0"/>
              <w:rPr>
                <w:sz w:val="20"/>
                <w:szCs w:val="20"/>
                <w:color w:val="auto"/>
              </w:rPr>
            </w:pPr>
            <w:r>
              <w:rPr>
                <w:rFonts w:ascii="Arial" w:cs="Arial" w:eastAsia="Arial" w:hAnsi="Arial"/>
                <w:sz w:val="9"/>
                <w:szCs w:val="9"/>
                <w:color w:val="auto"/>
                <w:w w:val="78"/>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18,317</w:t>
            </w:r>
          </w:p>
        </w:tc>
        <w:tc>
          <w:tcPr>
            <w:tcW w:w="14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17,837</w:t>
            </w:r>
          </w:p>
        </w:tc>
        <w:tc>
          <w:tcPr>
            <w:tcW w:w="22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1,820</w:t>
            </w:r>
          </w:p>
        </w:tc>
        <w:tc>
          <w:tcPr>
            <w:tcW w:w="220" w:type="dxa"/>
            <w:vAlign w:val="bottom"/>
          </w:tcPr>
          <w:p>
            <w:pPr>
              <w:spacing w:after="0"/>
              <w:rPr>
                <w:sz w:val="13"/>
                <w:szCs w:val="13"/>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3"/>
                <w:szCs w:val="13"/>
                <w:u w:val="single" w:color="auto"/>
                <w:color w:val="auto"/>
                <w:w w:val="80"/>
              </w:rPr>
              <w:t>$</w:t>
            </w:r>
            <w:r>
              <w:rPr>
                <w:rFonts w:ascii="Arial" w:cs="Arial" w:eastAsia="Arial" w:hAnsi="Arial"/>
                <w:sz w:val="13"/>
                <w:szCs w:val="13"/>
                <w:color w:val="auto"/>
                <w:w w:val="80"/>
              </w:rPr>
              <w:t>1,100</w:t>
            </w:r>
          </w:p>
        </w:tc>
        <w:tc>
          <w:tcPr>
            <w:tcW w:w="80" w:type="dxa"/>
            <w:vAlign w:val="bottom"/>
          </w:tcPr>
          <w:p>
            <w:pPr>
              <w:jc w:val="right"/>
              <w:spacing w:after="0"/>
              <w:rPr>
                <w:sz w:val="20"/>
                <w:szCs w:val="20"/>
                <w:color w:val="auto"/>
              </w:rPr>
            </w:pPr>
            <w:r>
              <w:rPr>
                <w:rFonts w:ascii="Arial" w:cs="Arial" w:eastAsia="Arial" w:hAnsi="Arial"/>
                <w:sz w:val="9"/>
                <w:szCs w:val="9"/>
                <w:u w:val="single" w:color="auto"/>
                <w:color w:val="auto"/>
                <w:w w:val="78"/>
              </w:rPr>
              <w:t>$</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(6,627)</w:t>
            </w: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$ 190,944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gridSpan w:val="5"/>
          </w:tcPr>
          <w:p>
            <w:pPr>
              <w:ind w:left="400"/>
              <w:spacing w:after="0"/>
              <w:rPr>
                <w:sz w:val="20"/>
                <w:szCs w:val="20"/>
                <w:color w:val="auto"/>
              </w:rPr>
            </w:pPr>
            <w:r>
              <w:rPr>
                <w:rFonts w:ascii="Arial" w:cs="Arial" w:eastAsia="Arial" w:hAnsi="Arial"/>
                <w:sz w:val="10"/>
                <w:szCs w:val="10"/>
                <w:b w:val="1"/>
                <w:bCs w:val="1"/>
                <w:color w:val="auto"/>
              </w:rPr>
              <w:t>Three months ended</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2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0"/>
                <w:szCs w:val="10"/>
                <w:b w:val="1"/>
                <w:bCs w:val="1"/>
                <w:color w:val="auto"/>
                <w:w w:val="95"/>
              </w:rPr>
              <w:t>March 31, 2021</w:t>
            </w:r>
          </w:p>
        </w:tc>
        <w:tc>
          <w:tcPr>
            <w:tcW w:w="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gridSpan w:val="5"/>
          </w:tcPr>
          <w:p>
            <w:pPr>
              <w:ind w:left="400"/>
              <w:spacing w:after="0" w:line="94" w:lineRule="exact"/>
              <w:rPr>
                <w:sz w:val="20"/>
                <w:szCs w:val="20"/>
                <w:color w:val="auto"/>
              </w:rPr>
            </w:pPr>
            <w:r>
              <w:rPr>
                <w:rFonts w:ascii="Arial" w:cs="Arial" w:eastAsia="Arial" w:hAnsi="Arial"/>
                <w:sz w:val="10"/>
                <w:szCs w:val="10"/>
                <w:b w:val="1"/>
                <w:bCs w:val="1"/>
                <w:color w:val="auto"/>
              </w:rPr>
              <w:t>Reconciliation items</w:t>
            </w:r>
          </w:p>
        </w:tc>
        <w:tc>
          <w:tcPr>
            <w:tcW w:w="3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tcPr>
          <w:p>
            <w:pPr>
              <w:jc w:val="center"/>
              <w:ind w:right="300"/>
              <w:spacing w:after="0" w:line="79" w:lineRule="exact"/>
              <w:rPr>
                <w:sz w:val="20"/>
                <w:szCs w:val="20"/>
                <w:color w:val="auto"/>
              </w:rPr>
            </w:pPr>
            <w:r>
              <w:rPr>
                <w:rFonts w:ascii="Arial" w:cs="Arial" w:eastAsia="Arial" w:hAnsi="Arial"/>
                <w:sz w:val="9"/>
                <w:szCs w:val="9"/>
                <w:b w:val="1"/>
                <w:bCs w:val="1"/>
                <w:color w:val="auto"/>
                <w:w w:val="98"/>
              </w:rPr>
              <w:t>Changes in</w:t>
            </w: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center"/>
              <w:ind w:right="120"/>
              <w:spacing w:after="0" w:line="104" w:lineRule="exact"/>
              <w:rPr>
                <w:sz w:val="20"/>
                <w:szCs w:val="20"/>
                <w:color w:val="auto"/>
              </w:rPr>
            </w:pPr>
            <w:r>
              <w:rPr>
                <w:rFonts w:ascii="Arial" w:cs="Arial" w:eastAsia="Arial" w:hAnsi="Arial"/>
                <w:sz w:val="10"/>
                <w:szCs w:val="10"/>
                <w:b w:val="1"/>
                <w:bCs w:val="1"/>
                <w:color w:val="auto"/>
                <w:w w:val="85"/>
              </w:rPr>
              <w:t>Amortization</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ind w:right="280"/>
              <w:spacing w:after="0" w:line="104" w:lineRule="exact"/>
              <w:rPr>
                <w:sz w:val="20"/>
                <w:szCs w:val="20"/>
                <w:color w:val="auto"/>
              </w:rPr>
            </w:pPr>
            <w:r>
              <w:rPr>
                <w:rFonts w:ascii="Arial" w:cs="Arial" w:eastAsia="Arial" w:hAnsi="Arial"/>
                <w:sz w:val="10"/>
                <w:szCs w:val="10"/>
                <w:b w:val="1"/>
                <w:bCs w:val="1"/>
                <w:color w:val="auto"/>
                <w:w w:val="91"/>
              </w:rPr>
              <w:t>certain</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center"/>
              <w:ind w:right="140"/>
              <w:spacing w:after="0" w:line="104" w:lineRule="exact"/>
              <w:rPr>
                <w:sz w:val="20"/>
                <w:szCs w:val="20"/>
                <w:color w:val="auto"/>
              </w:rPr>
            </w:pPr>
            <w:r>
              <w:rPr>
                <w:rFonts w:ascii="Arial" w:cs="Arial" w:eastAsia="Arial" w:hAnsi="Arial"/>
                <w:sz w:val="10"/>
                <w:szCs w:val="10"/>
                <w:b w:val="1"/>
                <w:bCs w:val="1"/>
                <w:color w:val="auto"/>
                <w:w w:val="79"/>
              </w:rPr>
              <w:t>of purchased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center"/>
              <w:ind w:right="280"/>
              <w:spacing w:after="0" w:line="104" w:lineRule="exact"/>
              <w:rPr>
                <w:sz w:val="20"/>
                <w:szCs w:val="20"/>
                <w:color w:val="auto"/>
              </w:rPr>
            </w:pPr>
            <w:r>
              <w:rPr>
                <w:rFonts w:ascii="Arial" w:cs="Arial" w:eastAsia="Arial" w:hAnsi="Arial"/>
                <w:sz w:val="10"/>
                <w:szCs w:val="10"/>
                <w:b w:val="1"/>
                <w:bCs w:val="1"/>
                <w:color w:val="auto"/>
                <w:w w:val="85"/>
              </w:rPr>
              <w:t>acquisitions</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w w:val="93"/>
              </w:rPr>
              <w:t>intangible</w:t>
            </w:r>
          </w:p>
        </w:tc>
        <w:tc>
          <w:tcPr>
            <w:tcW w:w="100" w:type="dxa"/>
            <w:vAlign w:val="bottom"/>
          </w:tcPr>
          <w:p>
            <w:pPr>
              <w:spacing w:after="0"/>
              <w:rPr>
                <w:sz w:val="9"/>
                <w:szCs w:val="9"/>
                <w:color w:val="auto"/>
              </w:rPr>
            </w:pPr>
          </w:p>
        </w:tc>
        <w:tc>
          <w:tcPr>
            <w:tcW w:w="78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rPr>
              <w:t>Equity based</w:t>
            </w:r>
          </w:p>
        </w:tc>
        <w:tc>
          <w:tcPr>
            <w:tcW w:w="940" w:type="dxa"/>
            <w:vAlign w:val="bottom"/>
            <w:gridSpan w:val="3"/>
          </w:tcPr>
          <w:p>
            <w:pPr>
              <w:jc w:val="center"/>
              <w:ind w:right="220"/>
              <w:spacing w:after="0" w:line="104" w:lineRule="exact"/>
              <w:rPr>
                <w:sz w:val="20"/>
                <w:szCs w:val="20"/>
                <w:color w:val="auto"/>
              </w:rPr>
            </w:pPr>
            <w:r>
              <w:rPr>
                <w:rFonts w:ascii="Arial" w:cs="Arial" w:eastAsia="Arial" w:hAnsi="Arial"/>
                <w:sz w:val="10"/>
                <w:szCs w:val="10"/>
                <w:b w:val="1"/>
                <w:bCs w:val="1"/>
                <w:color w:val="auto"/>
                <w:w w:val="91"/>
              </w:rPr>
              <w:t>related liabilities</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w w:val="85"/>
              </w:rPr>
              <w:t>assets and</w:t>
            </w:r>
          </w:p>
        </w:tc>
        <w:tc>
          <w:tcPr>
            <w:tcW w:w="100" w:type="dxa"/>
            <w:vAlign w:val="bottom"/>
          </w:tcPr>
          <w:p>
            <w:pPr>
              <w:spacing w:after="0"/>
              <w:rPr>
                <w:sz w:val="9"/>
                <w:szCs w:val="9"/>
                <w:color w:val="auto"/>
              </w:rPr>
            </w:pPr>
          </w:p>
        </w:tc>
        <w:tc>
          <w:tcPr>
            <w:tcW w:w="78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rPr>
              <w:t>compensation</w:t>
            </w:r>
          </w:p>
        </w:tc>
        <w:tc>
          <w:tcPr>
            <w:tcW w:w="940" w:type="dxa"/>
            <w:vAlign w:val="bottom"/>
            <w:gridSpan w:val="3"/>
          </w:tcPr>
          <w:p>
            <w:pPr>
              <w:jc w:val="center"/>
              <w:ind w:right="200"/>
              <w:spacing w:after="0" w:line="104" w:lineRule="exact"/>
              <w:rPr>
                <w:sz w:val="20"/>
                <w:szCs w:val="20"/>
                <w:color w:val="auto"/>
              </w:rPr>
            </w:pPr>
            <w:r>
              <w:rPr>
                <w:rFonts w:ascii="Arial" w:cs="Arial" w:eastAsia="Arial" w:hAnsi="Arial"/>
                <w:sz w:val="10"/>
                <w:szCs w:val="10"/>
                <w:b w:val="1"/>
                <w:bCs w:val="1"/>
                <w:color w:val="auto"/>
                <w:w w:val="90"/>
              </w:rPr>
              <w:t>measured at fair</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center"/>
              <w:ind w:right="200"/>
              <w:spacing w:after="0" w:line="104" w:lineRule="exact"/>
              <w:rPr>
                <w:sz w:val="20"/>
                <w:szCs w:val="20"/>
                <w:color w:val="auto"/>
              </w:rPr>
            </w:pPr>
            <w:r>
              <w:rPr>
                <w:rFonts w:ascii="Arial" w:cs="Arial" w:eastAsia="Arial" w:hAnsi="Arial"/>
                <w:sz w:val="10"/>
                <w:szCs w:val="10"/>
                <w:b w:val="1"/>
                <w:bCs w:val="1"/>
                <w:color w:val="auto"/>
                <w:w w:val="92"/>
              </w:rPr>
              <w:t>Tax</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GAAP</w:t>
            </w:r>
          </w:p>
        </w:tc>
        <w:tc>
          <w:tcPr>
            <w:tcW w:w="140" w:type="dxa"/>
            <w:vAlign w:val="bottom"/>
          </w:tcPr>
          <w:p>
            <w:pPr>
              <w:spacing w:after="0"/>
              <w:rPr>
                <w:sz w:val="10"/>
                <w:szCs w:val="10"/>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other</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89"/>
              <w:spacing w:after="0"/>
              <w:rPr>
                <w:sz w:val="20"/>
                <w:szCs w:val="20"/>
                <w:color w:val="auto"/>
              </w:rPr>
            </w:pPr>
            <w:r>
              <w:rPr>
                <w:rFonts w:ascii="Arial" w:cs="Arial" w:eastAsia="Arial" w:hAnsi="Arial"/>
                <w:sz w:val="10"/>
                <w:szCs w:val="10"/>
                <w:b w:val="1"/>
                <w:bCs w:val="1"/>
                <w:color w:val="auto"/>
                <w:w w:val="84"/>
              </w:rPr>
              <w:t>expense</w:t>
            </w:r>
          </w:p>
        </w:tc>
        <w:tc>
          <w:tcPr>
            <w:tcW w:w="80" w:type="dxa"/>
            <w:vAlign w:val="bottom"/>
          </w:tcPr>
          <w:p>
            <w:pPr>
              <w:spacing w:after="0"/>
              <w:rPr>
                <w:sz w:val="10"/>
                <w:szCs w:val="10"/>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5"/>
              </w:rPr>
              <w:t>value</w:t>
            </w:r>
          </w:p>
        </w:tc>
        <w:tc>
          <w:tcPr>
            <w:tcW w:w="5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97"/>
              </w:rPr>
              <w:t>Other</w:t>
            </w:r>
          </w:p>
        </w:tc>
        <w:tc>
          <w:tcPr>
            <w:tcW w:w="80" w:type="dxa"/>
            <w:vAlign w:val="bottom"/>
          </w:tcPr>
          <w:p>
            <w:pPr>
              <w:spacing w:after="0"/>
              <w:rPr>
                <w:sz w:val="10"/>
                <w:szCs w:val="10"/>
                <w:color w:val="auto"/>
              </w:rPr>
            </w:pPr>
          </w:p>
        </w:tc>
        <w:tc>
          <w:tcPr>
            <w:tcW w:w="4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effect</w:t>
            </w:r>
          </w:p>
        </w:tc>
        <w:tc>
          <w:tcPr>
            <w:tcW w:w="100" w:type="dxa"/>
            <w:vAlign w:val="bottom"/>
          </w:tcPr>
          <w:p>
            <w:pPr>
              <w:spacing w:after="0"/>
              <w:rPr>
                <w:sz w:val="10"/>
                <w:szCs w:val="1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0"/>
                <w:szCs w:val="10"/>
                <w:b w:val="1"/>
                <w:bCs w:val="1"/>
                <w:color w:val="auto"/>
                <w:w w:val="92"/>
              </w:rPr>
              <w:t>Non-GAAP</w:t>
            </w:r>
          </w:p>
        </w:tc>
        <w:tc>
          <w:tcPr>
            <w:tcW w:w="0" w:type="dxa"/>
            <w:vAlign w:val="bottom"/>
          </w:tcPr>
          <w:p>
            <w:pPr>
              <w:spacing w:after="0"/>
              <w:rPr>
                <w:sz w:val="1"/>
                <w:szCs w:val="1"/>
                <w:color w:val="auto"/>
              </w:rPr>
            </w:pPr>
          </w:p>
        </w:tc>
      </w:tr>
      <w:tr>
        <w:trPr>
          <w:trHeight w:val="132"/>
        </w:trPr>
        <w:tc>
          <w:tcPr>
            <w:tcW w:w="2740" w:type="dxa"/>
            <w:vAlign w:val="bottom"/>
            <w:tcBorders>
              <w:top w:val="single" w:sz="8" w:color="CCEEFF"/>
            </w:tcBorders>
            <w:shd w:val="clear" w:color="auto" w:fill="CCEEFF"/>
          </w:tcPr>
          <w:p>
            <w:pPr>
              <w:spacing w:after="0" w:line="132" w:lineRule="exact"/>
              <w:rPr>
                <w:sz w:val="20"/>
                <w:szCs w:val="20"/>
                <w:color w:val="auto"/>
              </w:rPr>
            </w:pPr>
            <w:r>
              <w:rPr>
                <w:rFonts w:ascii="Arial" w:cs="Arial" w:eastAsia="Arial" w:hAnsi="Arial"/>
                <w:sz w:val="13"/>
                <w:szCs w:val="13"/>
                <w:color w:val="auto"/>
              </w:rPr>
              <w:t>Operating expenses:</w:t>
            </w: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left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left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740" w:type="dxa"/>
            <w:vAlign w:val="bottom"/>
          </w:tcPr>
          <w:p>
            <w:pPr>
              <w:ind w:left="260"/>
              <w:spacing w:after="0"/>
              <w:rPr>
                <w:sz w:val="20"/>
                <w:szCs w:val="20"/>
                <w:color w:val="auto"/>
              </w:rPr>
            </w:pPr>
            <w:r>
              <w:rPr>
                <w:rFonts w:ascii="Arial" w:cs="Arial" w:eastAsia="Arial" w:hAnsi="Arial"/>
                <w:sz w:val="13"/>
                <w:szCs w:val="13"/>
                <w:color w:val="auto"/>
              </w:rPr>
              <w:t>Cost of revenue</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$685,515</w:t>
            </w:r>
          </w:p>
        </w:tc>
        <w:tc>
          <w:tcPr>
            <w:tcW w:w="140" w:type="dxa"/>
            <w:vAlign w:val="bottom"/>
          </w:tcPr>
          <w:p>
            <w:pPr>
              <w:spacing w:after="0"/>
              <w:rPr>
                <w:sz w:val="13"/>
                <w:szCs w:val="13"/>
                <w:color w:val="auto"/>
              </w:rPr>
            </w:pP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09"/>
              <w:spacing w:after="0"/>
              <w:rPr>
                <w:sz w:val="20"/>
                <w:szCs w:val="20"/>
                <w:color w:val="auto"/>
              </w:rPr>
            </w:pPr>
            <w:r>
              <w:rPr>
                <w:rFonts w:ascii="Arial" w:cs="Arial" w:eastAsia="Arial" w:hAnsi="Arial"/>
                <w:sz w:val="13"/>
                <w:szCs w:val="13"/>
                <w:color w:val="auto"/>
              </w:rPr>
              <w:t>(5,582)</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ind w:left="420"/>
              <w:spacing w:after="0"/>
              <w:rPr>
                <w:sz w:val="20"/>
                <w:szCs w:val="20"/>
                <w:color w:val="auto"/>
              </w:rPr>
            </w:pPr>
            <w:r>
              <w:rPr>
                <w:rFonts w:ascii="Arial" w:cs="Arial" w:eastAsia="Arial" w:hAnsi="Arial"/>
                <w:sz w:val="13"/>
                <w:szCs w:val="13"/>
                <w:color w:val="auto"/>
              </w:rPr>
              <w:t>(394)</w:t>
            </w:r>
          </w:p>
        </w:tc>
        <w:tc>
          <w:tcPr>
            <w:tcW w:w="500" w:type="dxa"/>
            <w:vAlign w:val="bottom"/>
            <w:gridSpan w:val="2"/>
          </w:tcPr>
          <w:p>
            <w:pPr>
              <w:jc w:val="right"/>
              <w:ind w:right="260"/>
              <w:spacing w:after="0"/>
              <w:rPr>
                <w:sz w:val="20"/>
                <w:szCs w:val="20"/>
                <w:color w:val="auto"/>
              </w:rPr>
            </w:pPr>
            <w:r>
              <w:rPr>
                <w:rFonts w:ascii="Arial" w:cs="Arial" w:eastAsia="Arial" w:hAnsi="Arial"/>
                <w:sz w:val="13"/>
                <w:szCs w:val="13"/>
                <w:color w:val="auto"/>
                <w:w w:val="92"/>
              </w:rPr>
              <w:t>$ —</w:t>
            </w: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$ 679,539</w:t>
            </w:r>
          </w:p>
        </w:tc>
        <w:tc>
          <w:tcPr>
            <w:tcW w:w="0" w:type="dxa"/>
            <w:vAlign w:val="bottom"/>
          </w:tcPr>
          <w:p>
            <w:pPr>
              <w:spacing w:after="0"/>
              <w:rPr>
                <w:sz w:val="1"/>
                <w:szCs w:val="1"/>
                <w:color w:val="auto"/>
              </w:rPr>
            </w:pPr>
          </w:p>
        </w:tc>
      </w:tr>
      <w:tr>
        <w:trPr>
          <w:trHeight w:val="152"/>
        </w:trPr>
        <w:tc>
          <w:tcPr>
            <w:tcW w:w="274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Research and development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75,154</w:t>
            </w:r>
          </w:p>
        </w:tc>
        <w:tc>
          <w:tcPr>
            <w:tcW w:w="140" w:type="dxa"/>
            <w:vAlign w:val="bottom"/>
            <w:tcBorders>
              <w:lef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9"/>
              <w:spacing w:after="0"/>
              <w:rPr>
                <w:sz w:val="20"/>
                <w:szCs w:val="20"/>
                <w:color w:val="auto"/>
              </w:rPr>
            </w:pPr>
            <w:r>
              <w:rPr>
                <w:rFonts w:ascii="Arial" w:cs="Arial" w:eastAsia="Arial" w:hAnsi="Arial"/>
                <w:sz w:val="13"/>
                <w:szCs w:val="13"/>
                <w:color w:val="auto"/>
              </w:rPr>
              <w:t>(1,012)</w:t>
            </w:r>
          </w:p>
        </w:tc>
        <w:tc>
          <w:tcPr>
            <w:tcW w:w="8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74,142</w:t>
            </w:r>
          </w:p>
        </w:tc>
        <w:tc>
          <w:tcPr>
            <w:tcW w:w="0" w:type="dxa"/>
            <w:vAlign w:val="bottom"/>
          </w:tcPr>
          <w:p>
            <w:pPr>
              <w:spacing w:after="0"/>
              <w:rPr>
                <w:sz w:val="1"/>
                <w:szCs w:val="1"/>
                <w:color w:val="auto"/>
              </w:rPr>
            </w:pPr>
          </w:p>
        </w:tc>
      </w:tr>
      <w:tr>
        <w:trPr>
          <w:trHeight w:val="152"/>
        </w:trPr>
        <w:tc>
          <w:tcPr>
            <w:tcW w:w="2740" w:type="dxa"/>
            <w:vAlign w:val="bottom"/>
          </w:tcPr>
          <w:p>
            <w:pPr>
              <w:ind w:left="260"/>
              <w:spacing w:after="0"/>
              <w:rPr>
                <w:sz w:val="20"/>
                <w:szCs w:val="20"/>
                <w:color w:val="auto"/>
              </w:rPr>
            </w:pPr>
            <w:r>
              <w:rPr>
                <w:rFonts w:ascii="Arial" w:cs="Arial" w:eastAsia="Arial" w:hAnsi="Arial"/>
                <w:sz w:val="13"/>
                <w:szCs w:val="13"/>
                <w:color w:val="auto"/>
              </w:rPr>
              <w:t>Selling, general and administrative</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116,951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9"/>
              <w:spacing w:after="0"/>
              <w:rPr>
                <w:sz w:val="20"/>
                <w:szCs w:val="20"/>
                <w:color w:val="auto"/>
              </w:rPr>
            </w:pPr>
            <w:r>
              <w:rPr>
                <w:rFonts w:ascii="Arial" w:cs="Arial" w:eastAsia="Arial" w:hAnsi="Arial"/>
                <w:sz w:val="13"/>
                <w:szCs w:val="13"/>
                <w:color w:val="auto"/>
              </w:rPr>
              <w:t>(6,781)</w:t>
            </w:r>
          </w:p>
        </w:tc>
        <w:tc>
          <w:tcPr>
            <w:tcW w:w="80" w:type="dxa"/>
            <w:vAlign w:val="bottom"/>
          </w:tcPr>
          <w:p>
            <w:pPr>
              <w:spacing w:after="0"/>
              <w:rPr>
                <w:sz w:val="13"/>
                <w:szCs w:val="13"/>
                <w:color w:val="auto"/>
              </w:rPr>
            </w:pPr>
          </w:p>
        </w:tc>
        <w:tc>
          <w:tcPr>
            <w:tcW w:w="8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110,170</w:t>
            </w:r>
          </w:p>
        </w:tc>
        <w:tc>
          <w:tcPr>
            <w:tcW w:w="0" w:type="dxa"/>
            <w:vAlign w:val="bottom"/>
          </w:tcPr>
          <w:p>
            <w:pPr>
              <w:spacing w:after="0"/>
              <w:rPr>
                <w:sz w:val="1"/>
                <w:szCs w:val="1"/>
                <w:color w:val="auto"/>
              </w:rPr>
            </w:pPr>
          </w:p>
        </w:tc>
      </w:tr>
      <w:tr>
        <w:trPr>
          <w:trHeight w:val="143"/>
        </w:trPr>
        <w:tc>
          <w:tcPr>
            <w:tcW w:w="2740" w:type="dxa"/>
            <w:vAlign w:val="bottom"/>
            <w:shd w:val="clear" w:color="auto" w:fill="CCEEFF"/>
          </w:tcPr>
          <w:p>
            <w:pPr>
              <w:ind w:left="260"/>
              <w:spacing w:after="0" w:line="143" w:lineRule="exact"/>
              <w:rPr>
                <w:sz w:val="20"/>
                <w:szCs w:val="20"/>
                <w:color w:val="auto"/>
              </w:rPr>
            </w:pPr>
            <w:r>
              <w:rPr>
                <w:rFonts w:ascii="Arial" w:cs="Arial" w:eastAsia="Arial" w:hAnsi="Arial"/>
                <w:sz w:val="13"/>
                <w:szCs w:val="13"/>
                <w:color w:val="auto"/>
                <w:w w:val="88"/>
              </w:rPr>
              <w:t>Amortization of purchased intangible assets and</w:t>
            </w:r>
          </w:p>
        </w:tc>
        <w:tc>
          <w:tcPr>
            <w:tcW w:w="100" w:type="dxa"/>
            <w:vAlign w:val="bottom"/>
            <w:tcBorders>
              <w:right w:val="single" w:sz="8" w:color="CCEEFF"/>
            </w:tcBorders>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40" w:type="dxa"/>
            <w:vAlign w:val="bottom"/>
            <w:shd w:val="clear" w:color="auto" w:fill="CCEEFF"/>
          </w:tcPr>
          <w:p>
            <w:pPr>
              <w:ind w:left="380"/>
              <w:spacing w:after="0"/>
              <w:rPr>
                <w:sz w:val="20"/>
                <w:szCs w:val="20"/>
                <w:color w:val="auto"/>
              </w:rPr>
            </w:pPr>
            <w:r>
              <w:rPr>
                <w:rFonts w:ascii="Arial" w:cs="Arial" w:eastAsia="Arial" w:hAnsi="Arial"/>
                <w:sz w:val="13"/>
                <w:szCs w:val="13"/>
                <w:color w:val="auto"/>
              </w:rPr>
              <w:t>other</w:t>
            </w:r>
          </w:p>
        </w:tc>
        <w:tc>
          <w:tcPr>
            <w:tcW w:w="10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21,870</w:t>
            </w:r>
          </w:p>
        </w:tc>
        <w:tc>
          <w:tcPr>
            <w:tcW w:w="140" w:type="dxa"/>
            <w:vAlign w:val="bottom"/>
            <w:tcBorders>
              <w:lef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(21,870)</w:t>
            </w: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9"/>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3"/>
                <w:szCs w:val="13"/>
                <w:color w:val="auto"/>
              </w:rPr>
              <w:t>Total operating expenses</w:t>
            </w: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97"/>
              </w:rPr>
              <w:t>899,490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(21,870)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9"/>
              <w:spacing w:after="0"/>
              <w:rPr>
                <w:sz w:val="20"/>
                <w:szCs w:val="20"/>
                <w:color w:val="auto"/>
              </w:rPr>
            </w:pPr>
            <w:r>
              <w:rPr>
                <w:rFonts w:ascii="Arial" w:cs="Arial" w:eastAsia="Arial" w:hAnsi="Arial"/>
                <w:sz w:val="13"/>
                <w:szCs w:val="13"/>
                <w:color w:val="auto"/>
              </w:rPr>
              <w:t>(13,375)</w:t>
            </w:r>
          </w:p>
        </w:tc>
        <w:tc>
          <w:tcPr>
            <w:tcW w:w="80" w:type="dxa"/>
            <w:vAlign w:val="bottom"/>
          </w:tcPr>
          <w:p>
            <w:pPr>
              <w:spacing w:after="0"/>
              <w:rPr>
                <w:sz w:val="13"/>
                <w:szCs w:val="13"/>
                <w:color w:val="auto"/>
              </w:rPr>
            </w:pPr>
          </w:p>
        </w:tc>
        <w:tc>
          <w:tcPr>
            <w:tcW w:w="860" w:type="dxa"/>
            <w:vAlign w:val="bottom"/>
            <w:gridSpan w:val="2"/>
          </w:tcPr>
          <w:p>
            <w:pPr>
              <w:ind w:left="420"/>
              <w:spacing w:after="0"/>
              <w:rPr>
                <w:sz w:val="20"/>
                <w:szCs w:val="20"/>
                <w:color w:val="auto"/>
              </w:rPr>
            </w:pPr>
            <w:r>
              <w:rPr>
                <w:rFonts w:ascii="Arial" w:cs="Arial" w:eastAsia="Arial" w:hAnsi="Arial"/>
                <w:sz w:val="13"/>
                <w:szCs w:val="13"/>
                <w:color w:val="auto"/>
              </w:rPr>
              <w:t>(394)</w:t>
            </w:r>
          </w:p>
        </w:tc>
        <w:tc>
          <w:tcPr>
            <w:tcW w:w="5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863,851</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10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7"/>
              </w:rPr>
              <w:t>149,244</w:t>
            </w:r>
          </w:p>
        </w:tc>
        <w:tc>
          <w:tcPr>
            <w:tcW w:w="140" w:type="dxa"/>
            <w:vAlign w:val="bottom"/>
            <w:tcBorders>
              <w:lef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21,870</w:t>
            </w: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13,375</w:t>
            </w:r>
          </w:p>
        </w:tc>
        <w:tc>
          <w:tcPr>
            <w:tcW w:w="2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3"/>
                <w:szCs w:val="13"/>
                <w:color w:val="auto"/>
              </w:rPr>
              <w:t>394</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184,883</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3"/>
                <w:szCs w:val="13"/>
                <w:color w:val="auto"/>
              </w:rPr>
              <w:t>Interest and other expense, net</w:t>
            </w: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(3,542)</w:t>
            </w:r>
          </w:p>
        </w:tc>
        <w:tc>
          <w:tcPr>
            <w:tcW w:w="14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9"/>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6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3"/>
                <w:szCs w:val="13"/>
                <w:color w:val="auto"/>
              </w:rPr>
              <w:t>(375)</w:t>
            </w:r>
          </w:p>
        </w:tc>
        <w:tc>
          <w:tcPr>
            <w:tcW w:w="80" w:type="dxa"/>
            <w:vAlign w:val="bottom"/>
          </w:tcPr>
          <w:p>
            <w:pPr>
              <w:spacing w:after="0"/>
              <w:rPr>
                <w:sz w:val="13"/>
                <w:szCs w:val="13"/>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40"/>
              <w:spacing w:after="0"/>
              <w:rPr>
                <w:sz w:val="20"/>
                <w:szCs w:val="20"/>
                <w:color w:val="auto"/>
              </w:rPr>
            </w:pPr>
            <w:r>
              <w:rPr>
                <w:rFonts w:ascii="Arial" w:cs="Arial" w:eastAsia="Arial" w:hAnsi="Arial"/>
                <w:sz w:val="13"/>
                <w:szCs w:val="13"/>
                <w:color w:val="auto"/>
              </w:rPr>
              <w:t>(3,917)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740" w:type="dxa"/>
            <w:vAlign w:val="bottom"/>
            <w:shd w:val="clear" w:color="auto" w:fill="CCEEFF"/>
          </w:tcPr>
          <w:p>
            <w:pPr>
              <w:spacing w:after="0"/>
              <w:rPr>
                <w:sz w:val="20"/>
                <w:szCs w:val="20"/>
                <w:color w:val="auto"/>
              </w:rPr>
            </w:pPr>
            <w:r>
              <w:rPr>
                <w:rFonts w:ascii="Arial" w:cs="Arial" w:eastAsia="Arial" w:hAnsi="Arial"/>
                <w:sz w:val="13"/>
                <w:szCs w:val="13"/>
                <w:color w:val="auto"/>
              </w:rPr>
              <w:t>Income tax (benefit) expense</w:t>
            </w:r>
          </w:p>
        </w:tc>
        <w:tc>
          <w:tcPr>
            <w:tcW w:w="100" w:type="dxa"/>
            <w:vAlign w:val="bottom"/>
            <w:tcBorders>
              <w:right w:val="single" w:sz="8" w:color="CCEEFF"/>
            </w:tcBorders>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26,635</w:t>
            </w:r>
          </w:p>
        </w:tc>
        <w:tc>
          <w:tcPr>
            <w:tcW w:w="140" w:type="dxa"/>
            <w:vAlign w:val="bottom"/>
            <w:tcBorders>
              <w:lef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22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w w:val="92"/>
              </w:rPr>
              <w:t>6,236</w:t>
            </w: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32,871</w:t>
            </w: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Arial" w:cs="Arial" w:eastAsia="Arial" w:hAnsi="Arial"/>
                <w:sz w:val="13"/>
                <w:szCs w:val="13"/>
                <w:color w:val="auto"/>
              </w:rPr>
              <w:t>Net income</w:t>
            </w: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740" w:type="dxa"/>
            <w:vAlign w:val="bottom"/>
            <w:vMerge w:val="continue"/>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Arial" w:cs="Arial" w:eastAsia="Arial" w:hAnsi="Arial"/>
                <w:sz w:val="13"/>
                <w:szCs w:val="13"/>
                <w:u w:val="single" w:color="auto"/>
                <w:color w:val="auto"/>
                <w:w w:val="96"/>
              </w:rPr>
              <w:t>$</w:t>
            </w:r>
            <w:r>
              <w:rPr>
                <w:rFonts w:ascii="Arial" w:cs="Arial" w:eastAsia="Arial" w:hAnsi="Arial"/>
                <w:sz w:val="13"/>
                <w:szCs w:val="13"/>
                <w:color w:val="auto"/>
                <w:w w:val="96"/>
              </w:rPr>
              <w:t xml:space="preserve"> 119,067</w:t>
            </w:r>
          </w:p>
        </w:tc>
        <w:tc>
          <w:tcPr>
            <w:tcW w:w="140" w:type="dxa"/>
            <w:vAlign w:val="bottom"/>
          </w:tcPr>
          <w:p>
            <w:pPr>
              <w:spacing w:after="0"/>
              <w:rPr>
                <w:sz w:val="13"/>
                <w:szCs w:val="13"/>
                <w:color w:val="auto"/>
              </w:rPr>
            </w:pPr>
          </w:p>
        </w:tc>
        <w:tc>
          <w:tcPr>
            <w:tcW w:w="140" w:type="dxa"/>
            <w:vAlign w:val="bottom"/>
          </w:tcPr>
          <w:p>
            <w:pPr>
              <w:ind w:left="80"/>
              <w:spacing w:after="0"/>
              <w:rPr>
                <w:sz w:val="20"/>
                <w:szCs w:val="20"/>
                <w:color w:val="auto"/>
              </w:rPr>
            </w:pPr>
            <w:r>
              <w:rPr>
                <w:rFonts w:ascii="Arial" w:cs="Arial" w:eastAsia="Arial" w:hAnsi="Arial"/>
                <w:sz w:val="5"/>
                <w:szCs w:val="5"/>
                <w:color w:val="auto"/>
                <w:w w:val="70"/>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21,870</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49"/>
              <w:spacing w:after="0"/>
              <w:rPr>
                <w:sz w:val="20"/>
                <w:szCs w:val="20"/>
                <w:color w:val="auto"/>
              </w:rPr>
            </w:pPr>
            <w:r>
              <w:rPr>
                <w:rFonts w:ascii="Arial" w:cs="Arial" w:eastAsia="Arial" w:hAnsi="Arial"/>
                <w:sz w:val="13"/>
                <w:szCs w:val="13"/>
                <w:color w:val="auto"/>
              </w:rPr>
              <w:t>13,375</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ind w:left="460"/>
              <w:spacing w:after="0"/>
              <w:rPr>
                <w:sz w:val="20"/>
                <w:szCs w:val="20"/>
                <w:color w:val="auto"/>
              </w:rPr>
            </w:pPr>
            <w:r>
              <w:rPr>
                <w:rFonts w:ascii="Arial" w:cs="Arial" w:eastAsia="Arial" w:hAnsi="Arial"/>
                <w:sz w:val="13"/>
                <w:szCs w:val="13"/>
                <w:color w:val="auto"/>
              </w:rPr>
              <w:t>394</w:t>
            </w:r>
          </w:p>
        </w:tc>
        <w:tc>
          <w:tcPr>
            <w:tcW w:w="500" w:type="dxa"/>
            <w:vAlign w:val="bottom"/>
            <w:gridSpan w:val="2"/>
          </w:tcPr>
          <w:p>
            <w:pPr>
              <w:jc w:val="right"/>
              <w:ind w:right="160"/>
              <w:spacing w:after="0"/>
              <w:rPr>
                <w:sz w:val="20"/>
                <w:szCs w:val="20"/>
                <w:color w:val="auto"/>
              </w:rPr>
            </w:pPr>
            <w:r>
              <w:rPr>
                <w:rFonts w:ascii="Arial" w:cs="Arial" w:eastAsia="Arial" w:hAnsi="Arial"/>
                <w:sz w:val="13"/>
                <w:szCs w:val="13"/>
                <w:u w:val="single" w:color="auto"/>
                <w:color w:val="auto"/>
                <w:w w:val="85"/>
              </w:rPr>
              <w:t>$</w:t>
            </w:r>
            <w:r>
              <w:rPr>
                <w:rFonts w:ascii="Arial" w:cs="Arial" w:eastAsia="Arial" w:hAnsi="Arial"/>
                <w:sz w:val="13"/>
                <w:szCs w:val="13"/>
                <w:color w:val="auto"/>
                <w:w w:val="85"/>
              </w:rPr>
              <w:t>(375)</w:t>
            </w:r>
          </w:p>
        </w:tc>
        <w:tc>
          <w:tcPr>
            <w:tcW w:w="80" w:type="dxa"/>
            <w:vAlign w:val="bottom"/>
          </w:tcPr>
          <w:p>
            <w:pPr>
              <w:jc w:val="right"/>
              <w:spacing w:after="0"/>
              <w:rPr>
                <w:sz w:val="20"/>
                <w:szCs w:val="20"/>
                <w:color w:val="auto"/>
              </w:rPr>
            </w:pPr>
            <w:r>
              <w:rPr>
                <w:rFonts w:ascii="Arial" w:cs="Arial" w:eastAsia="Arial" w:hAnsi="Arial"/>
                <w:sz w:val="9"/>
                <w:szCs w:val="9"/>
                <w:u w:val="single" w:color="auto"/>
                <w:color w:val="auto"/>
                <w:w w:val="78"/>
              </w:rPr>
              <w:t>$</w:t>
            </w:r>
          </w:p>
        </w:tc>
        <w:tc>
          <w:tcPr>
            <w:tcW w:w="44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(6,236)</w:t>
            </w: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$ 148,095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31" w:right="1440"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Reconciliation of Selected Financial Metrics from GAAP to Non-GAAP</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w:t>
      </w:r>
    </w:p>
    <w:p>
      <w:pPr>
        <w:spacing w:after="0" w:line="157" w:lineRule="exact"/>
        <w:rPr>
          <w:sz w:val="20"/>
          <w:szCs w:val="20"/>
          <w:color w:val="auto"/>
        </w:rPr>
      </w:pPr>
    </w:p>
    <w:p>
      <w:pPr>
        <w:jc w:val="center"/>
        <w:ind w:left="1940"/>
        <w:spacing w:after="0"/>
        <w:rPr>
          <w:sz w:val="20"/>
          <w:szCs w:val="20"/>
          <w:color w:val="auto"/>
        </w:rPr>
      </w:pPr>
      <w:r>
        <w:rPr>
          <w:rFonts w:ascii="Arial" w:cs="Arial" w:eastAsia="Arial" w:hAnsi="Arial"/>
          <w:sz w:val="10"/>
          <w:szCs w:val="10"/>
          <w:b w:val="1"/>
          <w:bCs w:val="1"/>
          <w:color w:val="auto"/>
        </w:rPr>
        <w:t>Six months ended</w:t>
      </w:r>
    </w:p>
    <w:p>
      <w:pPr>
        <w:jc w:val="center"/>
        <w:ind w:left="1940"/>
        <w:spacing w:after="0" w:line="227" w:lineRule="auto"/>
        <w:rPr>
          <w:sz w:val="20"/>
          <w:szCs w:val="20"/>
          <w:color w:val="auto"/>
        </w:rPr>
      </w:pPr>
      <w:r>
        <w:rPr>
          <w:rFonts w:ascii="Arial" w:cs="Arial" w:eastAsia="Arial" w:hAnsi="Arial"/>
          <w:sz w:val="10"/>
          <w:szCs w:val="10"/>
          <w:b w:val="1"/>
          <w:bCs w:val="1"/>
          <w:color w:val="auto"/>
        </w:rPr>
        <w:t>March 31, 2022</w:t>
      </w:r>
    </w:p>
    <w:tbl>
      <w:tblPr>
        <w:tblLayout w:type="fixed"/>
        <w:tblInd w:w="640" w:type="dxa"/>
        <w:tblCellMar>
          <w:top w:w="0" w:type="dxa"/>
          <w:left w:w="0" w:type="dxa"/>
          <w:bottom w:w="0" w:type="dxa"/>
          <w:right w:w="0" w:type="dxa"/>
        </w:tblCellMar>
      </w:tblPr>
      <w:tr>
        <w:trPr>
          <w:trHeight w:val="94"/>
        </w:trPr>
        <w:tc>
          <w:tcPr>
            <w:tcW w:w="202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260" w:type="dxa"/>
            <w:vAlign w:val="bottom"/>
            <w:tcBorders>
              <w:top w:val="single" w:sz="8" w:color="auto"/>
              <w:bottom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980" w:type="dxa"/>
            <w:vAlign w:val="bottom"/>
            <w:tcBorders>
              <w:top w:val="single" w:sz="8" w:color="auto"/>
              <w:bottom w:val="single" w:sz="8" w:color="auto"/>
            </w:tcBorders>
            <w:gridSpan w:val="3"/>
          </w:tcPr>
          <w:p>
            <w:pPr>
              <w:ind w:left="60"/>
              <w:spacing w:after="0" w:line="94" w:lineRule="exact"/>
              <w:rPr>
                <w:sz w:val="20"/>
                <w:szCs w:val="20"/>
                <w:color w:val="auto"/>
              </w:rPr>
            </w:pPr>
            <w:r>
              <w:rPr>
                <w:rFonts w:ascii="Arial" w:cs="Arial" w:eastAsia="Arial" w:hAnsi="Arial"/>
                <w:sz w:val="10"/>
                <w:szCs w:val="10"/>
                <w:b w:val="1"/>
                <w:bCs w:val="1"/>
                <w:color w:val="auto"/>
                <w:w w:val="90"/>
              </w:rPr>
              <w:t>Reconciliation items</w:t>
            </w:r>
          </w:p>
        </w:tc>
        <w:tc>
          <w:tcPr>
            <w:tcW w:w="12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200" w:type="dxa"/>
            <w:vAlign w:val="bottom"/>
            <w:tcBorders>
              <w:top w:val="single" w:sz="8" w:color="auto"/>
              <w:bottom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gridSpan w:val="5"/>
          </w:tcPr>
          <w:p>
            <w:pPr>
              <w:jc w:val="center"/>
              <w:ind w:right="40"/>
              <w:spacing w:after="0" w:line="79" w:lineRule="exact"/>
              <w:rPr>
                <w:sz w:val="20"/>
                <w:szCs w:val="20"/>
                <w:color w:val="auto"/>
              </w:rPr>
            </w:pPr>
            <w:r>
              <w:rPr>
                <w:rFonts w:ascii="Arial" w:cs="Arial" w:eastAsia="Arial" w:hAnsi="Arial"/>
                <w:sz w:val="9"/>
                <w:szCs w:val="9"/>
                <w:b w:val="1"/>
                <w:bCs w:val="1"/>
                <w:color w:val="auto"/>
              </w:rPr>
              <w:t>Amortization</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gridSpan w:val="3"/>
          </w:tcPr>
          <w:p>
            <w:pPr>
              <w:jc w:val="center"/>
              <w:ind w:right="220"/>
              <w:spacing w:after="0" w:line="104" w:lineRule="exact"/>
              <w:rPr>
                <w:sz w:val="20"/>
                <w:szCs w:val="20"/>
                <w:color w:val="auto"/>
              </w:rPr>
            </w:pPr>
            <w:r>
              <w:rPr>
                <w:rFonts w:ascii="Arial" w:cs="Arial" w:eastAsia="Arial" w:hAnsi="Arial"/>
                <w:sz w:val="10"/>
                <w:szCs w:val="10"/>
                <w:b w:val="1"/>
                <w:bCs w:val="1"/>
                <w:color w:val="auto"/>
                <w:w w:val="84"/>
              </w:rPr>
              <w:t>of</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5"/>
          </w:tcPr>
          <w:p>
            <w:pPr>
              <w:jc w:val="center"/>
              <w:ind w:right="60"/>
              <w:spacing w:after="0" w:line="104" w:lineRule="exact"/>
              <w:rPr>
                <w:sz w:val="20"/>
                <w:szCs w:val="20"/>
                <w:color w:val="auto"/>
              </w:rPr>
            </w:pPr>
            <w:r>
              <w:rPr>
                <w:rFonts w:ascii="Arial" w:cs="Arial" w:eastAsia="Arial" w:hAnsi="Arial"/>
                <w:sz w:val="10"/>
                <w:szCs w:val="10"/>
                <w:b w:val="1"/>
                <w:bCs w:val="1"/>
                <w:color w:val="auto"/>
                <w:w w:val="86"/>
              </w:rPr>
              <w:t>purchased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980" w:type="dxa"/>
            <w:vAlign w:val="bottom"/>
            <w:gridSpan w:val="3"/>
          </w:tcPr>
          <w:p>
            <w:pPr>
              <w:jc w:val="center"/>
              <w:ind w:right="200"/>
              <w:spacing w:after="0" w:line="104" w:lineRule="exact"/>
              <w:rPr>
                <w:sz w:val="20"/>
                <w:szCs w:val="20"/>
                <w:color w:val="auto"/>
              </w:rPr>
            </w:pPr>
            <w:r>
              <w:rPr>
                <w:rFonts w:ascii="Arial" w:cs="Arial" w:eastAsia="Arial" w:hAnsi="Arial"/>
                <w:sz w:val="10"/>
                <w:szCs w:val="10"/>
                <w:b w:val="1"/>
                <w:bCs w:val="1"/>
                <w:color w:val="auto"/>
                <w:w w:val="87"/>
              </w:rPr>
              <w:t>Changes in certain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5"/>
          </w:tcPr>
          <w:p>
            <w:pPr>
              <w:jc w:val="center"/>
              <w:ind w:right="60"/>
              <w:spacing w:after="0" w:line="104" w:lineRule="exact"/>
              <w:rPr>
                <w:sz w:val="20"/>
                <w:szCs w:val="20"/>
                <w:color w:val="auto"/>
              </w:rPr>
            </w:pPr>
            <w:r>
              <w:rPr>
                <w:rFonts w:ascii="Arial" w:cs="Arial" w:eastAsia="Arial" w:hAnsi="Arial"/>
                <w:sz w:val="10"/>
                <w:szCs w:val="10"/>
                <w:b w:val="1"/>
                <w:bCs w:val="1"/>
                <w:color w:val="auto"/>
                <w:w w:val="93"/>
              </w:rPr>
              <w:t>intangible</w:t>
            </w:r>
          </w:p>
        </w:tc>
        <w:tc>
          <w:tcPr>
            <w:tcW w:w="120" w:type="dxa"/>
            <w:vAlign w:val="bottom"/>
          </w:tcPr>
          <w:p>
            <w:pPr>
              <w:spacing w:after="0"/>
              <w:rPr>
                <w:sz w:val="9"/>
                <w:szCs w:val="9"/>
                <w:color w:val="auto"/>
              </w:rPr>
            </w:pPr>
          </w:p>
        </w:tc>
        <w:tc>
          <w:tcPr>
            <w:tcW w:w="760" w:type="dxa"/>
            <w:vAlign w:val="bottom"/>
            <w:gridSpan w:val="6"/>
          </w:tcPr>
          <w:p>
            <w:pPr>
              <w:jc w:val="right"/>
              <w:ind w:right="117"/>
              <w:spacing w:after="0" w:line="104" w:lineRule="exact"/>
              <w:rPr>
                <w:sz w:val="20"/>
                <w:szCs w:val="20"/>
                <w:color w:val="auto"/>
              </w:rPr>
            </w:pPr>
            <w:r>
              <w:rPr>
                <w:rFonts w:ascii="Arial" w:cs="Arial" w:eastAsia="Arial" w:hAnsi="Arial"/>
                <w:sz w:val="10"/>
                <w:szCs w:val="10"/>
                <w:b w:val="1"/>
                <w:bCs w:val="1"/>
                <w:color w:val="auto"/>
                <w:w w:val="89"/>
              </w:rPr>
              <w:t>Equity based</w:t>
            </w:r>
          </w:p>
        </w:tc>
        <w:tc>
          <w:tcPr>
            <w:tcW w:w="60" w:type="dxa"/>
            <w:vAlign w:val="bottom"/>
          </w:tcPr>
          <w:p>
            <w:pPr>
              <w:spacing w:after="0"/>
              <w:rPr>
                <w:sz w:val="9"/>
                <w:szCs w:val="9"/>
                <w:color w:val="auto"/>
              </w:rPr>
            </w:pPr>
          </w:p>
        </w:tc>
        <w:tc>
          <w:tcPr>
            <w:tcW w:w="98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rPr>
              <w:t>acquisitions related</w:t>
            </w:r>
          </w:p>
        </w:tc>
        <w:tc>
          <w:tcPr>
            <w:tcW w:w="640" w:type="dxa"/>
            <w:vAlign w:val="bottom"/>
            <w:gridSpan w:val="4"/>
          </w:tcPr>
          <w:p>
            <w:pPr>
              <w:jc w:val="right"/>
              <w:ind w:right="137"/>
              <w:spacing w:after="0" w:line="104" w:lineRule="exact"/>
              <w:rPr>
                <w:sz w:val="20"/>
                <w:szCs w:val="20"/>
                <w:color w:val="auto"/>
              </w:rPr>
            </w:pPr>
            <w:r>
              <w:rPr>
                <w:rFonts w:ascii="Arial" w:cs="Arial" w:eastAsia="Arial" w:hAnsi="Arial"/>
                <w:sz w:val="10"/>
                <w:szCs w:val="10"/>
                <w:b w:val="1"/>
                <w:bCs w:val="1"/>
                <w:color w:val="auto"/>
                <w:w w:val="88"/>
              </w:rPr>
              <w:t>Gain from</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5"/>
          </w:tcPr>
          <w:p>
            <w:pPr>
              <w:jc w:val="center"/>
              <w:ind w:right="60"/>
              <w:spacing w:after="0" w:line="104" w:lineRule="exact"/>
              <w:rPr>
                <w:sz w:val="20"/>
                <w:szCs w:val="20"/>
                <w:color w:val="auto"/>
              </w:rPr>
            </w:pPr>
            <w:r>
              <w:rPr>
                <w:rFonts w:ascii="Arial" w:cs="Arial" w:eastAsia="Arial" w:hAnsi="Arial"/>
                <w:sz w:val="10"/>
                <w:szCs w:val="10"/>
                <w:b w:val="1"/>
                <w:bCs w:val="1"/>
                <w:color w:val="auto"/>
                <w:w w:val="85"/>
              </w:rPr>
              <w:t>assets and</w:t>
            </w:r>
          </w:p>
        </w:tc>
        <w:tc>
          <w:tcPr>
            <w:tcW w:w="120" w:type="dxa"/>
            <w:vAlign w:val="bottom"/>
          </w:tcPr>
          <w:p>
            <w:pPr>
              <w:spacing w:after="0"/>
              <w:rPr>
                <w:sz w:val="9"/>
                <w:szCs w:val="9"/>
                <w:color w:val="auto"/>
              </w:rPr>
            </w:pPr>
          </w:p>
        </w:tc>
        <w:tc>
          <w:tcPr>
            <w:tcW w:w="760" w:type="dxa"/>
            <w:vAlign w:val="bottom"/>
            <w:gridSpan w:val="6"/>
          </w:tcPr>
          <w:p>
            <w:pPr>
              <w:spacing w:after="0" w:line="104" w:lineRule="exact"/>
              <w:rPr>
                <w:sz w:val="20"/>
                <w:szCs w:val="20"/>
                <w:color w:val="auto"/>
              </w:rPr>
            </w:pPr>
            <w:r>
              <w:rPr>
                <w:rFonts w:ascii="Arial" w:cs="Arial" w:eastAsia="Arial" w:hAnsi="Arial"/>
                <w:sz w:val="10"/>
                <w:szCs w:val="10"/>
                <w:b w:val="1"/>
                <w:bCs w:val="1"/>
                <w:color w:val="auto"/>
              </w:rPr>
              <w:t>compensation</w:t>
            </w:r>
          </w:p>
        </w:tc>
        <w:tc>
          <w:tcPr>
            <w:tcW w:w="60" w:type="dxa"/>
            <w:vAlign w:val="bottom"/>
          </w:tcPr>
          <w:p>
            <w:pPr>
              <w:spacing w:after="0"/>
              <w:rPr>
                <w:sz w:val="9"/>
                <w:szCs w:val="9"/>
                <w:color w:val="auto"/>
              </w:rPr>
            </w:pPr>
          </w:p>
        </w:tc>
        <w:tc>
          <w:tcPr>
            <w:tcW w:w="980" w:type="dxa"/>
            <w:vAlign w:val="bottom"/>
            <w:gridSpan w:val="3"/>
          </w:tcPr>
          <w:p>
            <w:pPr>
              <w:spacing w:after="0" w:line="104" w:lineRule="exact"/>
              <w:rPr>
                <w:sz w:val="20"/>
                <w:szCs w:val="20"/>
                <w:color w:val="auto"/>
              </w:rPr>
            </w:pPr>
            <w:r>
              <w:rPr>
                <w:rFonts w:ascii="Arial" w:cs="Arial" w:eastAsia="Arial" w:hAnsi="Arial"/>
                <w:sz w:val="10"/>
                <w:szCs w:val="10"/>
                <w:b w:val="1"/>
                <w:bCs w:val="1"/>
                <w:color w:val="auto"/>
              </w:rPr>
              <w:t>liabilities measured</w:t>
            </w:r>
          </w:p>
        </w:tc>
        <w:tc>
          <w:tcPr>
            <w:tcW w:w="640" w:type="dxa"/>
            <w:vAlign w:val="bottom"/>
            <w:gridSpan w:val="4"/>
          </w:tcPr>
          <w:p>
            <w:pPr>
              <w:jc w:val="right"/>
              <w:ind w:right="177"/>
              <w:spacing w:after="0" w:line="104" w:lineRule="exact"/>
              <w:rPr>
                <w:sz w:val="20"/>
                <w:szCs w:val="20"/>
                <w:color w:val="auto"/>
              </w:rPr>
            </w:pPr>
            <w:r>
              <w:rPr>
                <w:rFonts w:ascii="Arial" w:cs="Arial" w:eastAsia="Arial" w:hAnsi="Arial"/>
                <w:sz w:val="10"/>
                <w:szCs w:val="10"/>
                <w:b w:val="1"/>
                <w:bCs w:val="1"/>
                <w:color w:val="auto"/>
                <w:w w:val="94"/>
              </w:rPr>
              <w:t>sale of a</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center"/>
              <w:ind w:right="220"/>
              <w:spacing w:after="0" w:line="104" w:lineRule="exact"/>
              <w:rPr>
                <w:sz w:val="20"/>
                <w:szCs w:val="20"/>
                <w:color w:val="auto"/>
              </w:rPr>
            </w:pPr>
            <w:r>
              <w:rPr>
                <w:rFonts w:ascii="Arial" w:cs="Arial" w:eastAsia="Arial" w:hAnsi="Arial"/>
                <w:sz w:val="10"/>
                <w:szCs w:val="10"/>
                <w:b w:val="1"/>
                <w:bCs w:val="1"/>
                <w:color w:val="auto"/>
                <w:w w:val="92"/>
              </w:rPr>
              <w:t>Tax</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20" w:type="dxa"/>
            <w:vAlign w:val="bottom"/>
          </w:tcPr>
          <w:p>
            <w:pPr>
              <w:spacing w:after="0"/>
              <w:rPr>
                <w:sz w:val="10"/>
                <w:szCs w:val="10"/>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0"/>
                <w:szCs w:val="10"/>
                <w:b w:val="1"/>
                <w:bCs w:val="1"/>
                <w:color w:val="auto"/>
              </w:rPr>
              <w:t>GAAP</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3"/>
          </w:tcPr>
          <w:p>
            <w:pPr>
              <w:jc w:val="center"/>
              <w:ind w:right="220"/>
              <w:spacing w:after="0"/>
              <w:rPr>
                <w:sz w:val="20"/>
                <w:szCs w:val="20"/>
                <w:color w:val="auto"/>
              </w:rPr>
            </w:pPr>
            <w:r>
              <w:rPr>
                <w:rFonts w:ascii="Arial" w:cs="Arial" w:eastAsia="Arial" w:hAnsi="Arial"/>
                <w:sz w:val="10"/>
                <w:szCs w:val="10"/>
                <w:b w:val="1"/>
                <w:bCs w:val="1"/>
                <w:color w:val="auto"/>
                <w:w w:val="95"/>
              </w:rPr>
              <w:t>other</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4"/>
          </w:tcPr>
          <w:p>
            <w:pPr>
              <w:jc w:val="right"/>
              <w:ind w:right="237"/>
              <w:spacing w:after="0"/>
              <w:rPr>
                <w:sz w:val="20"/>
                <w:szCs w:val="20"/>
                <w:color w:val="auto"/>
              </w:rPr>
            </w:pPr>
            <w:r>
              <w:rPr>
                <w:rFonts w:ascii="Arial" w:cs="Arial" w:eastAsia="Arial" w:hAnsi="Arial"/>
                <w:sz w:val="10"/>
                <w:szCs w:val="10"/>
                <w:b w:val="1"/>
                <w:bCs w:val="1"/>
                <w:color w:val="auto"/>
                <w:w w:val="74"/>
              </w:rPr>
              <w:t>expense</w:t>
            </w:r>
          </w:p>
        </w:tc>
        <w:tc>
          <w:tcPr>
            <w:tcW w:w="60" w:type="dxa"/>
            <w:vAlign w:val="bottom"/>
          </w:tcPr>
          <w:p>
            <w:pPr>
              <w:spacing w:after="0"/>
              <w:rPr>
                <w:sz w:val="10"/>
                <w:szCs w:val="10"/>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0"/>
                <w:szCs w:val="10"/>
                <w:b w:val="1"/>
                <w:bCs w:val="1"/>
                <w:color w:val="auto"/>
                <w:w w:val="93"/>
              </w:rPr>
              <w:t>at fair value</w:t>
            </w:r>
          </w:p>
        </w:tc>
        <w:tc>
          <w:tcPr>
            <w:tcW w:w="640" w:type="dxa"/>
            <w:vAlign w:val="bottom"/>
            <w:gridSpan w:val="4"/>
          </w:tcPr>
          <w:p>
            <w:pPr>
              <w:jc w:val="right"/>
              <w:ind w:right="177"/>
              <w:spacing w:after="0"/>
              <w:rPr>
                <w:sz w:val="20"/>
                <w:szCs w:val="20"/>
                <w:color w:val="auto"/>
              </w:rPr>
            </w:pPr>
            <w:r>
              <w:rPr>
                <w:rFonts w:ascii="Arial" w:cs="Arial" w:eastAsia="Arial" w:hAnsi="Arial"/>
                <w:sz w:val="10"/>
                <w:szCs w:val="10"/>
                <w:b w:val="1"/>
                <w:bCs w:val="1"/>
                <w:color w:val="auto"/>
                <w:w w:val="87"/>
              </w:rPr>
              <w:t>business</w:t>
            </w:r>
          </w:p>
        </w:tc>
        <w:tc>
          <w:tcPr>
            <w:tcW w:w="40" w:type="dxa"/>
            <w:vAlign w:val="bottom"/>
          </w:tcPr>
          <w:p>
            <w:pPr>
              <w:spacing w:after="0"/>
              <w:rPr>
                <w:sz w:val="10"/>
                <w:szCs w:val="10"/>
                <w:color w:val="auto"/>
              </w:rPr>
            </w:pPr>
          </w:p>
        </w:tc>
        <w:tc>
          <w:tcPr>
            <w:tcW w:w="420" w:type="dxa"/>
            <w:vAlign w:val="bottom"/>
            <w:gridSpan w:val="3"/>
          </w:tcPr>
          <w:p>
            <w:pPr>
              <w:jc w:val="right"/>
              <w:ind w:right="160"/>
              <w:spacing w:after="0"/>
              <w:rPr>
                <w:sz w:val="20"/>
                <w:szCs w:val="20"/>
                <w:color w:val="auto"/>
              </w:rPr>
            </w:pPr>
            <w:r>
              <w:rPr>
                <w:rFonts w:ascii="Arial" w:cs="Arial" w:eastAsia="Arial" w:hAnsi="Arial"/>
                <w:sz w:val="10"/>
                <w:szCs w:val="10"/>
                <w:b w:val="1"/>
                <w:bCs w:val="1"/>
                <w:color w:val="auto"/>
                <w:w w:val="89"/>
              </w:rPr>
              <w:t>Other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effect</w:t>
            </w:r>
          </w:p>
        </w:tc>
        <w:tc>
          <w:tcPr>
            <w:tcW w:w="10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w w:val="88"/>
              </w:rPr>
              <w:t>Non-GAAP</w:t>
            </w:r>
          </w:p>
        </w:tc>
        <w:tc>
          <w:tcPr>
            <w:tcW w:w="0" w:type="dxa"/>
            <w:vAlign w:val="bottom"/>
          </w:tcPr>
          <w:p>
            <w:pPr>
              <w:spacing w:after="0"/>
              <w:rPr>
                <w:sz w:val="1"/>
                <w:szCs w:val="1"/>
                <w:color w:val="auto"/>
              </w:rPr>
            </w:pPr>
          </w:p>
        </w:tc>
      </w:tr>
      <w:tr>
        <w:trPr>
          <w:trHeight w:val="132"/>
        </w:trPr>
        <w:tc>
          <w:tcPr>
            <w:tcW w:w="2020" w:type="dxa"/>
            <w:vAlign w:val="bottom"/>
            <w:tcBorders>
              <w:top w:val="single" w:sz="8" w:color="CCEEFF"/>
            </w:tcBorders>
            <w:shd w:val="clear" w:color="auto" w:fill="CCEEFF"/>
          </w:tcPr>
          <w:p>
            <w:pPr>
              <w:spacing w:after="0" w:line="132" w:lineRule="exact"/>
              <w:rPr>
                <w:sz w:val="20"/>
                <w:szCs w:val="20"/>
                <w:color w:val="auto"/>
              </w:rPr>
            </w:pPr>
            <w:r>
              <w:rPr>
                <w:rFonts w:ascii="Arial" w:cs="Arial" w:eastAsia="Arial" w:hAnsi="Arial"/>
                <w:sz w:val="13"/>
                <w:szCs w:val="13"/>
                <w:color w:val="auto"/>
              </w:rPr>
              <w:t>Operating expenses:</w:t>
            </w:r>
          </w:p>
        </w:tc>
        <w:tc>
          <w:tcPr>
            <w:tcW w:w="3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right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right w:val="single" w:sz="8" w:color="CCEEFF"/>
            </w:tcBorders>
            <w:shd w:val="clear" w:color="auto" w:fill="CCEEFF"/>
          </w:tcPr>
          <w:p>
            <w:pPr>
              <w:spacing w:after="0"/>
              <w:rPr>
                <w:sz w:val="11"/>
                <w:szCs w:val="11"/>
                <w:color w:val="auto"/>
              </w:rPr>
            </w:pPr>
          </w:p>
        </w:tc>
        <w:tc>
          <w:tcPr>
            <w:tcW w:w="200" w:type="dxa"/>
            <w:vAlign w:val="bottom"/>
            <w:tcBorders>
              <w:top w:val="single" w:sz="8" w:color="auto"/>
              <w:left w:val="single" w:sz="8" w:color="CCEEFF"/>
              <w:right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left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20" w:type="dxa"/>
            <w:vAlign w:val="bottom"/>
          </w:tcPr>
          <w:p>
            <w:pPr>
              <w:ind w:left="260"/>
              <w:spacing w:after="0"/>
              <w:rPr>
                <w:sz w:val="20"/>
                <w:szCs w:val="20"/>
                <w:color w:val="auto"/>
              </w:rPr>
            </w:pPr>
            <w:r>
              <w:rPr>
                <w:rFonts w:ascii="Arial" w:cs="Arial" w:eastAsia="Arial" w:hAnsi="Arial"/>
                <w:sz w:val="13"/>
                <w:szCs w:val="13"/>
                <w:color w:val="auto"/>
              </w:rPr>
              <w:t>Cost of revenue</w:t>
            </w:r>
          </w:p>
        </w:tc>
        <w:tc>
          <w:tcPr>
            <w:tcW w:w="760" w:type="dxa"/>
            <w:vAlign w:val="bottom"/>
            <w:gridSpan w:val="3"/>
          </w:tcPr>
          <w:p>
            <w:pPr>
              <w:jc w:val="right"/>
              <w:ind w:right="180"/>
              <w:spacing w:after="0"/>
              <w:rPr>
                <w:sz w:val="20"/>
                <w:szCs w:val="20"/>
                <w:color w:val="auto"/>
              </w:rPr>
            </w:pPr>
            <w:r>
              <w:rPr>
                <w:rFonts w:ascii="Arial" w:cs="Arial" w:eastAsia="Arial" w:hAnsi="Arial"/>
                <w:sz w:val="13"/>
                <w:szCs w:val="13"/>
                <w:color w:val="auto"/>
                <w:w w:val="86"/>
              </w:rPr>
              <w:t>$1,457,975</w:t>
            </w:r>
          </w:p>
        </w:tc>
        <w:tc>
          <w:tcPr>
            <w:tcW w:w="120" w:type="dxa"/>
            <w:vAlign w:val="bottom"/>
          </w:tcPr>
          <w:p>
            <w:pPr>
              <w:jc w:val="right"/>
              <w:ind w:right="11"/>
              <w:spacing w:after="0"/>
              <w:rPr>
                <w:sz w:val="20"/>
                <w:szCs w:val="20"/>
                <w:color w:val="auto"/>
              </w:rPr>
            </w:pPr>
            <w:r>
              <w:rPr>
                <w:rFonts w:ascii="Arial" w:cs="Arial" w:eastAsia="Arial" w:hAnsi="Arial"/>
                <w:sz w:val="9"/>
                <w:szCs w:val="9"/>
                <w:color w:val="auto"/>
                <w:w w:val="78"/>
              </w:rPr>
              <w:t>$</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3"/>
                <w:szCs w:val="13"/>
                <w:color w:val="auto"/>
              </w:rPr>
            </w:pPr>
          </w:p>
        </w:tc>
        <w:tc>
          <w:tcPr>
            <w:tcW w:w="620" w:type="dxa"/>
            <w:vAlign w:val="bottom"/>
            <w:gridSpan w:val="4"/>
          </w:tcPr>
          <w:p>
            <w:pPr>
              <w:jc w:val="right"/>
              <w:ind w:right="57"/>
              <w:spacing w:after="0"/>
              <w:rPr>
                <w:sz w:val="20"/>
                <w:szCs w:val="20"/>
                <w:color w:val="auto"/>
              </w:rPr>
            </w:pPr>
            <w:r>
              <w:rPr>
                <w:rFonts w:ascii="Arial" w:cs="Arial" w:eastAsia="Arial" w:hAnsi="Arial"/>
                <w:sz w:val="13"/>
                <w:szCs w:val="13"/>
                <w:color w:val="auto"/>
                <w:w w:val="99"/>
              </w:rPr>
              <w:t>(15,217)</w:t>
            </w:r>
          </w:p>
        </w:tc>
        <w:tc>
          <w:tcPr>
            <w:tcW w:w="60" w:type="dxa"/>
            <w:vAlign w:val="bottom"/>
          </w:tcPr>
          <w:p>
            <w:pPr>
              <w:ind w:left="20"/>
              <w:spacing w:after="0"/>
              <w:rPr>
                <w:sz w:val="20"/>
                <w:szCs w:val="20"/>
                <w:color w:val="auto"/>
              </w:rPr>
            </w:pPr>
            <w:r>
              <w:rPr>
                <w:rFonts w:ascii="Arial" w:cs="Arial" w:eastAsia="Arial" w:hAnsi="Arial"/>
                <w:sz w:val="1"/>
                <w:szCs w:val="1"/>
                <w:color w:val="auto"/>
                <w:w w:val="4294967288"/>
              </w:rPr>
              <w:t>$</w:t>
            </w:r>
          </w:p>
        </w:tc>
        <w:tc>
          <w:tcPr>
            <w:tcW w:w="200" w:type="dxa"/>
            <w:vAlign w:val="bottom"/>
          </w:tcPr>
          <w:p>
            <w:pPr>
              <w:spacing w:after="0"/>
              <w:rPr>
                <w:sz w:val="13"/>
                <w:szCs w:val="13"/>
                <w:color w:val="auto"/>
              </w:rPr>
            </w:pPr>
          </w:p>
        </w:tc>
        <w:tc>
          <w:tcPr>
            <w:tcW w:w="780" w:type="dxa"/>
            <w:vAlign w:val="bottom"/>
            <w:gridSpan w:val="2"/>
          </w:tcPr>
          <w:p>
            <w:pPr>
              <w:ind w:left="360"/>
              <w:spacing w:after="0"/>
              <w:rPr>
                <w:sz w:val="20"/>
                <w:szCs w:val="20"/>
                <w:color w:val="auto"/>
              </w:rPr>
            </w:pPr>
            <w:r>
              <w:rPr>
                <w:rFonts w:ascii="Arial" w:cs="Arial" w:eastAsia="Arial" w:hAnsi="Arial"/>
                <w:sz w:val="13"/>
                <w:szCs w:val="13"/>
                <w:color w:val="auto"/>
              </w:rPr>
              <w:t>(793)</w:t>
            </w:r>
          </w:p>
        </w:tc>
        <w:tc>
          <w:tcPr>
            <w:tcW w:w="120" w:type="dxa"/>
            <w:vAlign w:val="bottom"/>
          </w:tcPr>
          <w:p>
            <w:pPr>
              <w:jc w:val="right"/>
              <w:ind w:right="26"/>
              <w:spacing w:after="0"/>
              <w:rPr>
                <w:sz w:val="20"/>
                <w:szCs w:val="20"/>
                <w:color w:val="auto"/>
              </w:rPr>
            </w:pPr>
            <w:r>
              <w:rPr>
                <w:rFonts w:ascii="Arial" w:cs="Arial" w:eastAsia="Arial" w:hAnsi="Arial"/>
                <w:sz w:val="5"/>
                <w:szCs w:val="5"/>
                <w:color w:val="auto"/>
                <w:w w:val="70"/>
              </w:rPr>
              <w:t>$</w:t>
            </w:r>
          </w:p>
        </w:tc>
        <w:tc>
          <w:tcPr>
            <w:tcW w:w="80" w:type="dxa"/>
            <w:vAlign w:val="bottom"/>
          </w:tcPr>
          <w:p>
            <w:pPr>
              <w:spacing w:after="0"/>
              <w:rPr>
                <w:sz w:val="13"/>
                <w:szCs w:val="13"/>
                <w:color w:val="auto"/>
              </w:rPr>
            </w:pPr>
          </w:p>
        </w:tc>
        <w:tc>
          <w:tcPr>
            <w:tcW w:w="4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0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3"/>
                <w:szCs w:val="13"/>
                <w:color w:val="auto"/>
                <w:w w:val="92"/>
              </w:rPr>
              <w:t>$1,441,965</w:t>
            </w:r>
          </w:p>
        </w:tc>
        <w:tc>
          <w:tcPr>
            <w:tcW w:w="0" w:type="dxa"/>
            <w:vAlign w:val="bottom"/>
          </w:tcPr>
          <w:p>
            <w:pPr>
              <w:spacing w:after="0"/>
              <w:rPr>
                <w:sz w:val="1"/>
                <w:szCs w:val="1"/>
                <w:color w:val="auto"/>
              </w:rPr>
            </w:pPr>
          </w:p>
        </w:tc>
      </w:tr>
      <w:tr>
        <w:trPr>
          <w:trHeight w:val="152"/>
        </w:trPr>
        <w:tc>
          <w:tcPr>
            <w:tcW w:w="20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Research and development</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169,009</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57"/>
              <w:spacing w:after="0"/>
              <w:rPr>
                <w:sz w:val="20"/>
                <w:szCs w:val="20"/>
                <w:color w:val="auto"/>
              </w:rPr>
            </w:pPr>
            <w:r>
              <w:rPr>
                <w:rFonts w:ascii="Arial" w:cs="Arial" w:eastAsia="Arial" w:hAnsi="Arial"/>
                <w:sz w:val="13"/>
                <w:szCs w:val="13"/>
                <w:color w:val="auto"/>
              </w:rPr>
              <w:t>(2,598)</w:t>
            </w:r>
          </w:p>
        </w:tc>
        <w:tc>
          <w:tcPr>
            <w:tcW w:w="6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left w:val="single" w:sz="8" w:color="CCEEFF"/>
              <w:right w:val="single" w:sz="8" w:color="CCEEFF"/>
            </w:tcBorders>
            <w:shd w:val="clear" w:color="auto" w:fill="CCEEFF"/>
          </w:tcPr>
          <w:p>
            <w:pPr>
              <w:spacing w:after="0"/>
              <w:rPr>
                <w:sz w:val="13"/>
                <w:szCs w:val="13"/>
                <w:color w:val="auto"/>
              </w:rPr>
            </w:pPr>
          </w:p>
        </w:tc>
        <w:tc>
          <w:tcPr>
            <w:tcW w:w="780" w:type="dxa"/>
            <w:vAlign w:val="bottom"/>
            <w:tcBorders>
              <w:right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tcBorders>
              <w:right w:val="single" w:sz="8" w:color="CCEEFF"/>
            </w:tcBorders>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166,411</w:t>
            </w:r>
          </w:p>
        </w:tc>
        <w:tc>
          <w:tcPr>
            <w:tcW w:w="0" w:type="dxa"/>
            <w:vAlign w:val="bottom"/>
          </w:tcPr>
          <w:p>
            <w:pPr>
              <w:spacing w:after="0"/>
              <w:rPr>
                <w:sz w:val="1"/>
                <w:szCs w:val="1"/>
                <w:color w:val="auto"/>
              </w:rPr>
            </w:pPr>
          </w:p>
        </w:tc>
      </w:tr>
      <w:tr>
        <w:trPr>
          <w:trHeight w:val="143"/>
        </w:trPr>
        <w:tc>
          <w:tcPr>
            <w:tcW w:w="2020" w:type="dxa"/>
            <w:vAlign w:val="bottom"/>
          </w:tcPr>
          <w:p>
            <w:pPr>
              <w:ind w:left="260"/>
              <w:spacing w:after="0" w:line="143" w:lineRule="exact"/>
              <w:rPr>
                <w:sz w:val="20"/>
                <w:szCs w:val="20"/>
                <w:color w:val="auto"/>
              </w:rPr>
            </w:pPr>
            <w:r>
              <w:rPr>
                <w:rFonts w:ascii="Arial" w:cs="Arial" w:eastAsia="Arial" w:hAnsi="Arial"/>
                <w:sz w:val="13"/>
                <w:szCs w:val="13"/>
                <w:color w:val="auto"/>
              </w:rPr>
              <w:t>Selling, general and</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20" w:type="dxa"/>
            <w:vAlign w:val="bottom"/>
          </w:tcPr>
          <w:p>
            <w:pPr>
              <w:ind w:left="380"/>
              <w:spacing w:after="0"/>
              <w:rPr>
                <w:sz w:val="20"/>
                <w:szCs w:val="20"/>
                <w:color w:val="auto"/>
              </w:rPr>
            </w:pPr>
            <w:r>
              <w:rPr>
                <w:rFonts w:ascii="Arial" w:cs="Arial" w:eastAsia="Arial" w:hAnsi="Arial"/>
                <w:sz w:val="13"/>
                <w:szCs w:val="13"/>
                <w:color w:val="auto"/>
              </w:rPr>
              <w:t>administrative</w:t>
            </w:r>
          </w:p>
        </w:tc>
        <w:tc>
          <w:tcPr>
            <w:tcW w:w="760" w:type="dxa"/>
            <w:vAlign w:val="bottom"/>
            <w:gridSpan w:val="3"/>
          </w:tcPr>
          <w:p>
            <w:pPr>
              <w:jc w:val="right"/>
              <w:ind w:right="180"/>
              <w:spacing w:after="0"/>
              <w:rPr>
                <w:sz w:val="20"/>
                <w:szCs w:val="20"/>
                <w:color w:val="auto"/>
              </w:rPr>
            </w:pPr>
            <w:r>
              <w:rPr>
                <w:rFonts w:ascii="Arial" w:cs="Arial" w:eastAsia="Arial" w:hAnsi="Arial"/>
                <w:sz w:val="13"/>
                <w:szCs w:val="13"/>
                <w:color w:val="auto"/>
              </w:rPr>
              <w:t>263,058</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4"/>
          </w:tcPr>
          <w:p>
            <w:pPr>
              <w:jc w:val="right"/>
              <w:ind w:right="57"/>
              <w:spacing w:after="0"/>
              <w:rPr>
                <w:sz w:val="20"/>
                <w:szCs w:val="20"/>
                <w:color w:val="auto"/>
              </w:rPr>
            </w:pPr>
            <w:r>
              <w:rPr>
                <w:rFonts w:ascii="Arial" w:cs="Arial" w:eastAsia="Arial" w:hAnsi="Arial"/>
                <w:sz w:val="13"/>
                <w:szCs w:val="13"/>
                <w:color w:val="auto"/>
                <w:w w:val="99"/>
              </w:rPr>
              <w:t>(16,763)</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246,295</w:t>
            </w:r>
          </w:p>
        </w:tc>
        <w:tc>
          <w:tcPr>
            <w:tcW w:w="0" w:type="dxa"/>
            <w:vAlign w:val="bottom"/>
          </w:tcPr>
          <w:p>
            <w:pPr>
              <w:spacing w:after="0"/>
              <w:rPr>
                <w:sz w:val="1"/>
                <w:szCs w:val="1"/>
                <w:color w:val="auto"/>
              </w:rPr>
            </w:pPr>
          </w:p>
        </w:tc>
      </w:tr>
      <w:tr>
        <w:trPr>
          <w:trHeight w:val="143"/>
        </w:trPr>
        <w:tc>
          <w:tcPr>
            <w:tcW w:w="2020" w:type="dxa"/>
            <w:vAlign w:val="bottom"/>
            <w:shd w:val="clear" w:color="auto" w:fill="CCEEFF"/>
          </w:tcPr>
          <w:p>
            <w:pPr>
              <w:ind w:left="260"/>
              <w:spacing w:after="0" w:line="143" w:lineRule="exact"/>
              <w:rPr>
                <w:sz w:val="20"/>
                <w:szCs w:val="20"/>
                <w:color w:val="auto"/>
              </w:rPr>
            </w:pPr>
            <w:r>
              <w:rPr>
                <w:rFonts w:ascii="Arial" w:cs="Arial" w:eastAsia="Arial" w:hAnsi="Arial"/>
                <w:sz w:val="13"/>
                <w:szCs w:val="13"/>
                <w:color w:val="auto"/>
              </w:rPr>
              <w:t>Amortization of purchased</w:t>
            </w: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intangible assets and other</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36,064</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90"/>
              </w:rPr>
              <w:t>(36,064)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left w:val="single" w:sz="8" w:color="CCEEFF"/>
              <w:right w:val="single" w:sz="8" w:color="CCEEFF"/>
            </w:tcBorders>
            <w:shd w:val="clear" w:color="auto" w:fill="CCEEFF"/>
          </w:tcPr>
          <w:p>
            <w:pPr>
              <w:spacing w:after="0"/>
              <w:rPr>
                <w:sz w:val="13"/>
                <w:szCs w:val="13"/>
                <w:color w:val="auto"/>
              </w:rPr>
            </w:pPr>
          </w:p>
        </w:tc>
        <w:tc>
          <w:tcPr>
            <w:tcW w:w="780" w:type="dxa"/>
            <w:vAlign w:val="bottom"/>
            <w:tcBorders>
              <w:right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1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tcBorders>
              <w:right w:val="single" w:sz="8" w:color="CCEEFF"/>
            </w:tcBorders>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20" w:type="dxa"/>
            <w:vAlign w:val="bottom"/>
            <w:vMerge w:val="restart"/>
          </w:tcPr>
          <w:p>
            <w:pPr>
              <w:spacing w:after="0"/>
              <w:rPr>
                <w:sz w:val="20"/>
                <w:szCs w:val="20"/>
                <w:color w:val="auto"/>
              </w:rPr>
            </w:pPr>
            <w:r>
              <w:rPr>
                <w:rFonts w:ascii="Arial" w:cs="Arial" w:eastAsia="Arial" w:hAnsi="Arial"/>
                <w:sz w:val="13"/>
                <w:szCs w:val="13"/>
                <w:color w:val="auto"/>
              </w:rPr>
              <w:t>Total operating expenses</w:t>
            </w: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20" w:type="dxa"/>
            <w:vAlign w:val="bottom"/>
            <w:vMerge w:val="continue"/>
          </w:tcPr>
          <w:p>
            <w:pPr>
              <w:spacing w:after="0"/>
              <w:rPr>
                <w:sz w:val="13"/>
                <w:szCs w:val="13"/>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3"/>
                <w:szCs w:val="13"/>
                <w:color w:val="auto"/>
                <w:w w:val="96"/>
              </w:rPr>
              <w:t>1,926,106</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gridSpan w:val="3"/>
          </w:tcPr>
          <w:p>
            <w:pPr>
              <w:jc w:val="right"/>
              <w:spacing w:after="0"/>
              <w:rPr>
                <w:sz w:val="20"/>
                <w:szCs w:val="20"/>
                <w:color w:val="auto"/>
              </w:rPr>
            </w:pPr>
            <w:r>
              <w:rPr>
                <w:rFonts w:ascii="Arial" w:cs="Arial" w:eastAsia="Arial" w:hAnsi="Arial"/>
                <w:sz w:val="13"/>
                <w:szCs w:val="13"/>
                <w:color w:val="auto"/>
                <w:w w:val="90"/>
              </w:rPr>
              <w:t>(36,064)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4"/>
          </w:tcPr>
          <w:p>
            <w:pPr>
              <w:jc w:val="right"/>
              <w:ind w:right="57"/>
              <w:spacing w:after="0"/>
              <w:rPr>
                <w:sz w:val="20"/>
                <w:szCs w:val="20"/>
                <w:color w:val="auto"/>
              </w:rPr>
            </w:pPr>
            <w:r>
              <w:rPr>
                <w:rFonts w:ascii="Arial" w:cs="Arial" w:eastAsia="Arial" w:hAnsi="Arial"/>
                <w:sz w:val="13"/>
                <w:szCs w:val="13"/>
                <w:color w:val="auto"/>
                <w:w w:val="99"/>
              </w:rPr>
              <w:t>(34,578)</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ind w:left="360"/>
              <w:spacing w:after="0"/>
              <w:rPr>
                <w:sz w:val="20"/>
                <w:szCs w:val="20"/>
                <w:color w:val="auto"/>
              </w:rPr>
            </w:pPr>
            <w:r>
              <w:rPr>
                <w:rFonts w:ascii="Arial" w:cs="Arial" w:eastAsia="Arial" w:hAnsi="Arial"/>
                <w:sz w:val="13"/>
                <w:szCs w:val="13"/>
                <w:color w:val="auto"/>
              </w:rPr>
              <w:t>(793)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w w:val="86"/>
              </w:rPr>
              <w:t>1,854,671</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2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323,797</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36,064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97"/>
              <w:spacing w:after="0"/>
              <w:rPr>
                <w:sz w:val="20"/>
                <w:szCs w:val="20"/>
                <w:color w:val="auto"/>
              </w:rPr>
            </w:pPr>
            <w:r>
              <w:rPr>
                <w:rFonts w:ascii="Arial" w:cs="Arial" w:eastAsia="Arial" w:hAnsi="Arial"/>
                <w:sz w:val="13"/>
                <w:szCs w:val="13"/>
                <w:color w:val="auto"/>
              </w:rPr>
              <w:t>34,578</w:t>
            </w:r>
          </w:p>
        </w:tc>
        <w:tc>
          <w:tcPr>
            <w:tcW w:w="6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left w:val="single" w:sz="8" w:color="CCEEFF"/>
              <w:right w:val="single" w:sz="8" w:color="CCEEFF"/>
            </w:tcBorders>
            <w:shd w:val="clear" w:color="auto" w:fill="CCEEFF"/>
          </w:tcPr>
          <w:p>
            <w:pPr>
              <w:spacing w:after="0"/>
              <w:rPr>
                <w:sz w:val="13"/>
                <w:szCs w:val="13"/>
                <w:color w:val="auto"/>
              </w:rPr>
            </w:pPr>
          </w:p>
        </w:tc>
        <w:tc>
          <w:tcPr>
            <w:tcW w:w="780" w:type="dxa"/>
            <w:vAlign w:val="bottom"/>
            <w:tcBorders>
              <w:right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793</w:t>
            </w:r>
          </w:p>
        </w:tc>
        <w:tc>
          <w:tcPr>
            <w:tcW w:w="1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tcBorders>
              <w:right w:val="single" w:sz="8" w:color="CCEEFF"/>
            </w:tcBorders>
            <w:gridSpan w:val="2"/>
            <w:shd w:val="clear" w:color="auto" w:fill="CCEEFF"/>
          </w:tcPr>
          <w:p>
            <w:pPr>
              <w:jc w:val="right"/>
              <w:ind w:right="197"/>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395,232</w:t>
            </w:r>
          </w:p>
        </w:tc>
        <w:tc>
          <w:tcPr>
            <w:tcW w:w="0" w:type="dxa"/>
            <w:vAlign w:val="bottom"/>
          </w:tcPr>
          <w:p>
            <w:pPr>
              <w:spacing w:after="0"/>
              <w:rPr>
                <w:sz w:val="1"/>
                <w:szCs w:val="1"/>
                <w:color w:val="auto"/>
              </w:rPr>
            </w:pPr>
          </w:p>
        </w:tc>
      </w:tr>
      <w:tr>
        <w:trPr>
          <w:trHeight w:val="20"/>
        </w:trPr>
        <w:tc>
          <w:tcPr>
            <w:tcW w:w="2020" w:type="dxa"/>
            <w:vAlign w:val="bottom"/>
            <w:vMerge w:val="restart"/>
          </w:tcPr>
          <w:p>
            <w:pPr>
              <w:spacing w:after="0"/>
              <w:rPr>
                <w:sz w:val="20"/>
                <w:szCs w:val="20"/>
                <w:color w:val="auto"/>
              </w:rPr>
            </w:pPr>
            <w:r>
              <w:rPr>
                <w:rFonts w:ascii="Arial" w:cs="Arial" w:eastAsia="Arial" w:hAnsi="Arial"/>
                <w:sz w:val="13"/>
                <w:szCs w:val="13"/>
                <w:color w:val="auto"/>
              </w:rPr>
              <w:t>Interest and other expense, net</w:t>
            </w: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20" w:type="dxa"/>
            <w:vAlign w:val="bottom"/>
            <w:vMerge w:val="continue"/>
          </w:tcPr>
          <w:p>
            <w:pPr>
              <w:spacing w:after="0"/>
              <w:rPr>
                <w:sz w:val="13"/>
                <w:szCs w:val="13"/>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(11,181)</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420" w:type="dxa"/>
            <w:vAlign w:val="bottom"/>
            <w:gridSpan w:val="3"/>
          </w:tcPr>
          <w:p>
            <w:pPr>
              <w:jc w:val="right"/>
              <w:ind w:right="40"/>
              <w:spacing w:after="0"/>
              <w:rPr>
                <w:sz w:val="20"/>
                <w:szCs w:val="20"/>
                <w:color w:val="auto"/>
              </w:rPr>
            </w:pPr>
            <w:r>
              <w:rPr>
                <w:rFonts w:ascii="Arial" w:cs="Arial" w:eastAsia="Arial" w:hAnsi="Arial"/>
                <w:sz w:val="13"/>
                <w:szCs w:val="13"/>
                <w:color w:val="auto"/>
                <w:w w:val="87"/>
              </w:rPr>
              <w:t>(2,505)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(13,686)</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20" w:type="dxa"/>
            <w:vAlign w:val="bottom"/>
            <w:shd w:val="clear" w:color="auto" w:fill="CCEEFF"/>
          </w:tcPr>
          <w:p>
            <w:pPr>
              <w:spacing w:after="0"/>
              <w:rPr>
                <w:sz w:val="20"/>
                <w:szCs w:val="20"/>
                <w:color w:val="auto"/>
              </w:rPr>
            </w:pPr>
            <w:r>
              <w:rPr>
                <w:rFonts w:ascii="Arial" w:cs="Arial" w:eastAsia="Arial" w:hAnsi="Arial"/>
                <w:sz w:val="13"/>
                <w:szCs w:val="13"/>
                <w:color w:val="auto"/>
              </w:rPr>
              <w:t>Gain from sale of a business</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10,000</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left w:val="single" w:sz="8" w:color="CCEEFF"/>
              <w:right w:val="single" w:sz="8" w:color="CCEEFF"/>
            </w:tcBorders>
            <w:shd w:val="clear" w:color="auto" w:fill="CCEEFF"/>
          </w:tcPr>
          <w:p>
            <w:pPr>
              <w:spacing w:after="0"/>
              <w:rPr>
                <w:sz w:val="13"/>
                <w:szCs w:val="13"/>
                <w:color w:val="auto"/>
              </w:rPr>
            </w:pPr>
          </w:p>
        </w:tc>
        <w:tc>
          <w:tcPr>
            <w:tcW w:w="780" w:type="dxa"/>
            <w:vAlign w:val="bottom"/>
            <w:tcBorders>
              <w:right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w:t>
            </w:r>
          </w:p>
        </w:tc>
        <w:tc>
          <w:tcPr>
            <w:tcW w:w="640" w:type="dxa"/>
            <w:vAlign w:val="bottom"/>
            <w:tcBorders>
              <w:left w:val="single" w:sz="8" w:color="CCEEFF"/>
              <w:right w:val="single" w:sz="8" w:color="CCEEFF"/>
            </w:tcBorders>
            <w:gridSpan w:val="4"/>
            <w:shd w:val="clear" w:color="auto" w:fill="CCEEFF"/>
          </w:tcPr>
          <w:p>
            <w:pPr>
              <w:jc w:val="right"/>
              <w:ind w:right="77"/>
              <w:spacing w:after="0"/>
              <w:rPr>
                <w:sz w:val="20"/>
                <w:szCs w:val="20"/>
                <w:color w:val="auto"/>
              </w:rPr>
            </w:pPr>
            <w:r>
              <w:rPr>
                <w:rFonts w:ascii="Arial" w:cs="Arial" w:eastAsia="Arial" w:hAnsi="Arial"/>
                <w:sz w:val="13"/>
                <w:szCs w:val="13"/>
                <w:color w:val="auto"/>
                <w:w w:val="99"/>
              </w:rPr>
              <w:t>(10,000)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20" w:type="dxa"/>
            <w:vAlign w:val="bottom"/>
            <w:vMerge w:val="restart"/>
          </w:tcPr>
          <w:p>
            <w:pPr>
              <w:spacing w:after="0"/>
              <w:rPr>
                <w:sz w:val="20"/>
                <w:szCs w:val="20"/>
                <w:color w:val="auto"/>
              </w:rPr>
            </w:pPr>
            <w:r>
              <w:rPr>
                <w:rFonts w:ascii="Arial" w:cs="Arial" w:eastAsia="Arial" w:hAnsi="Arial"/>
                <w:sz w:val="13"/>
                <w:szCs w:val="13"/>
                <w:color w:val="auto"/>
              </w:rPr>
              <w:t>Income tax (benefit) expense</w:t>
            </w: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20" w:type="dxa"/>
            <w:vAlign w:val="bottom"/>
            <w:vMerge w:val="continue"/>
          </w:tcPr>
          <w:p>
            <w:pPr>
              <w:spacing w:after="0"/>
              <w:rPr>
                <w:sz w:val="13"/>
                <w:szCs w:val="13"/>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3"/>
                <w:szCs w:val="13"/>
                <w:color w:val="auto"/>
              </w:rPr>
              <w:t>30,517</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ind w:left="4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92"/>
              </w:rPr>
              <w:t>9,950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40,467</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2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w w:val="91"/>
              </w:rPr>
              <w:t>$  292,099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9"/>
                <w:szCs w:val="9"/>
                <w:color w:val="auto"/>
                <w:w w:val="78"/>
              </w:rPr>
              <w:t>$</w:t>
            </w:r>
          </w:p>
        </w:tc>
        <w:tc>
          <w:tcPr>
            <w:tcW w:w="4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36,064</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82"/>
              </w:rPr>
              <w:t>$</w:t>
            </w:r>
          </w:p>
        </w:tc>
        <w:tc>
          <w:tcPr>
            <w:tcW w:w="60" w:type="dxa"/>
            <w:vAlign w:val="bottom"/>
            <w:shd w:val="clear" w:color="auto" w:fill="CCEEFF"/>
          </w:tcPr>
          <w:p>
            <w:pPr>
              <w:spacing w:after="0"/>
              <w:rPr>
                <w:sz w:val="13"/>
                <w:szCs w:val="13"/>
                <w:color w:val="auto"/>
              </w:rPr>
            </w:pPr>
          </w:p>
        </w:tc>
        <w:tc>
          <w:tcPr>
            <w:tcW w:w="620" w:type="dxa"/>
            <w:vAlign w:val="bottom"/>
            <w:gridSpan w:val="4"/>
            <w:shd w:val="clear" w:color="auto" w:fill="CCEEFF"/>
          </w:tcPr>
          <w:p>
            <w:pPr>
              <w:jc w:val="right"/>
              <w:ind w:right="97"/>
              <w:spacing w:after="0"/>
              <w:rPr>
                <w:sz w:val="20"/>
                <w:szCs w:val="20"/>
                <w:color w:val="auto"/>
              </w:rPr>
            </w:pPr>
            <w:r>
              <w:rPr>
                <w:rFonts w:ascii="Arial" w:cs="Arial" w:eastAsia="Arial" w:hAnsi="Arial"/>
                <w:sz w:val="13"/>
                <w:szCs w:val="13"/>
                <w:color w:val="auto"/>
              </w:rPr>
              <w:t>34,578</w:t>
            </w:r>
          </w:p>
        </w:tc>
        <w:tc>
          <w:tcPr>
            <w:tcW w:w="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
                <w:szCs w:val="1"/>
                <w:color w:val="auto"/>
                <w:w w:val="4294967288"/>
              </w:rPr>
              <w:t>$</w:t>
            </w:r>
          </w:p>
        </w:tc>
        <w:tc>
          <w:tcPr>
            <w:tcW w:w="200" w:type="dxa"/>
            <w:vAlign w:val="bottom"/>
            <w:tcBorders>
              <w:left w:val="single" w:sz="8" w:color="CCEEFF"/>
              <w:right w:val="single" w:sz="8" w:color="CCEEFF"/>
            </w:tcBorders>
            <w:shd w:val="clear" w:color="auto" w:fill="CCEEFF"/>
          </w:tcPr>
          <w:p>
            <w:pPr>
              <w:spacing w:after="0"/>
              <w:rPr>
                <w:sz w:val="13"/>
                <w:szCs w:val="13"/>
                <w:color w:val="auto"/>
              </w:rPr>
            </w:pPr>
          </w:p>
        </w:tc>
        <w:tc>
          <w:tcPr>
            <w:tcW w:w="780" w:type="dxa"/>
            <w:vAlign w:val="bottom"/>
            <w:tcBorders>
              <w:right w:val="single" w:sz="8" w:color="CCEEFF"/>
            </w:tcBorders>
            <w:gridSpan w:val="2"/>
            <w:shd w:val="clear" w:color="auto" w:fill="CCEEFF"/>
          </w:tcPr>
          <w:p>
            <w:pPr>
              <w:ind w:left="400"/>
              <w:spacing w:after="0"/>
              <w:rPr>
                <w:sz w:val="20"/>
                <w:szCs w:val="20"/>
                <w:color w:val="auto"/>
              </w:rPr>
            </w:pPr>
            <w:r>
              <w:rPr>
                <w:rFonts w:ascii="Arial" w:cs="Arial" w:eastAsia="Arial" w:hAnsi="Arial"/>
                <w:sz w:val="13"/>
                <w:szCs w:val="13"/>
                <w:color w:val="auto"/>
              </w:rPr>
              <w:t>793</w:t>
            </w:r>
          </w:p>
        </w:tc>
        <w:tc>
          <w:tcPr>
            <w:tcW w:w="640" w:type="dxa"/>
            <w:vAlign w:val="bottom"/>
            <w:tcBorders>
              <w:left w:val="single" w:sz="8" w:color="CCEEFF"/>
              <w:right w:val="single" w:sz="8" w:color="CCEEFF"/>
            </w:tcBorders>
            <w:gridSpan w:val="4"/>
            <w:shd w:val="clear" w:color="auto" w:fill="CCEEFF"/>
          </w:tcPr>
          <w:p>
            <w:pPr>
              <w:jc w:val="right"/>
              <w:ind w:right="77"/>
              <w:spacing w:after="0"/>
              <w:rPr>
                <w:sz w:val="20"/>
                <w:szCs w:val="20"/>
                <w:color w:val="auto"/>
              </w:rPr>
            </w:pPr>
            <w:r>
              <w:rPr>
                <w:rFonts w:ascii="Arial" w:cs="Arial" w:eastAsia="Arial" w:hAnsi="Arial"/>
                <w:sz w:val="13"/>
                <w:szCs w:val="13"/>
                <w:u w:val="single" w:color="auto"/>
                <w:color w:val="auto"/>
                <w:w w:val="86"/>
              </w:rPr>
              <w:t>$</w:t>
            </w:r>
            <w:r>
              <w:rPr>
                <w:rFonts w:ascii="Arial" w:cs="Arial" w:eastAsia="Arial" w:hAnsi="Arial"/>
                <w:sz w:val="13"/>
                <w:szCs w:val="13"/>
                <w:color w:val="auto"/>
                <w:w w:val="86"/>
              </w:rPr>
              <w:t>(10,000)</w:t>
            </w:r>
          </w:p>
        </w:tc>
        <w:tc>
          <w:tcPr>
            <w:tcW w:w="460" w:type="dxa"/>
            <w:vAlign w:val="bottom"/>
            <w:gridSpan w:val="4"/>
            <w:shd w:val="clear" w:color="auto" w:fill="CCEEFF"/>
          </w:tcPr>
          <w:p>
            <w:pPr>
              <w:jc w:val="right"/>
              <w:ind w:right="40"/>
              <w:spacing w:after="0"/>
              <w:rPr>
                <w:sz w:val="20"/>
                <w:szCs w:val="20"/>
                <w:color w:val="auto"/>
              </w:rPr>
            </w:pPr>
            <w:r>
              <w:rPr>
                <w:rFonts w:ascii="Arial" w:cs="Arial" w:eastAsia="Arial" w:hAnsi="Arial"/>
                <w:sz w:val="13"/>
                <w:szCs w:val="13"/>
                <w:u w:val="single" w:color="auto"/>
                <w:color w:val="auto"/>
                <w:w w:val="82"/>
              </w:rPr>
              <w:t>$</w:t>
            </w:r>
            <w:r>
              <w:rPr>
                <w:rFonts w:ascii="Arial" w:cs="Arial" w:eastAsia="Arial" w:hAnsi="Arial"/>
                <w:sz w:val="13"/>
                <w:szCs w:val="13"/>
                <w:color w:val="auto"/>
                <w:w w:val="82"/>
              </w:rPr>
              <w:t>(2,505)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2"/>
              </w:rPr>
              <w:t>(9,950)</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341,079</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gridSpan w:val="4"/>
          </w:tcPr>
          <w:p>
            <w:pPr>
              <w:jc w:val="right"/>
              <w:ind w:right="109"/>
              <w:spacing w:after="0"/>
              <w:rPr>
                <w:sz w:val="20"/>
                <w:szCs w:val="20"/>
                <w:color w:val="auto"/>
              </w:rPr>
            </w:pPr>
            <w:r>
              <w:rPr>
                <w:rFonts w:ascii="Arial" w:cs="Arial" w:eastAsia="Arial" w:hAnsi="Arial"/>
                <w:sz w:val="10"/>
                <w:szCs w:val="10"/>
                <w:b w:val="1"/>
                <w:bCs w:val="1"/>
                <w:color w:val="auto"/>
                <w:w w:val="92"/>
              </w:rPr>
              <w:t>Six months ended</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2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0"/>
                <w:szCs w:val="10"/>
                <w:b w:val="1"/>
                <w:bCs w:val="1"/>
                <w:color w:val="auto"/>
              </w:rPr>
              <w:t>March 31, 2021</w:t>
            </w:r>
            <w:r>
              <w:rPr>
                <w:rFonts w:ascii="Arial" w:cs="Arial" w:eastAsia="Arial" w:hAnsi="Arial"/>
                <w:sz w:val="8"/>
                <w:szCs w:val="8"/>
                <w:b w:val="1"/>
                <w:bCs w:val="1"/>
                <w:color w:val="auto"/>
              </w:rPr>
              <w:t>(a)</w:t>
            </w: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4"/>
          </w:tcPr>
          <w:p>
            <w:pPr>
              <w:ind w:left="20"/>
              <w:spacing w:after="0" w:line="94" w:lineRule="exact"/>
              <w:rPr>
                <w:sz w:val="20"/>
                <w:szCs w:val="20"/>
                <w:color w:val="auto"/>
              </w:rPr>
            </w:pPr>
            <w:r>
              <w:rPr>
                <w:rFonts w:ascii="Arial" w:cs="Arial" w:eastAsia="Arial" w:hAnsi="Arial"/>
                <w:sz w:val="10"/>
                <w:szCs w:val="10"/>
                <w:b w:val="1"/>
                <w:bCs w:val="1"/>
                <w:color w:val="auto"/>
                <w:w w:val="96"/>
              </w:rPr>
              <w:t>Reconciliation items</w:t>
            </w:r>
          </w:p>
        </w:tc>
        <w:tc>
          <w:tcPr>
            <w:tcW w:w="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2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gridSpan w:val="5"/>
          </w:tcPr>
          <w:p>
            <w:pPr>
              <w:jc w:val="center"/>
              <w:ind w:right="60"/>
              <w:spacing w:after="0" w:line="79" w:lineRule="exact"/>
              <w:rPr>
                <w:sz w:val="20"/>
                <w:szCs w:val="20"/>
                <w:color w:val="auto"/>
              </w:rPr>
            </w:pPr>
            <w:r>
              <w:rPr>
                <w:rFonts w:ascii="Arial" w:cs="Arial" w:eastAsia="Arial" w:hAnsi="Arial"/>
                <w:sz w:val="9"/>
                <w:szCs w:val="9"/>
                <w:b w:val="1"/>
                <w:bCs w:val="1"/>
                <w:color w:val="auto"/>
                <w:w w:val="90"/>
              </w:rPr>
              <w:t>Amortization</w:t>
            </w: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2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gridSpan w:val="2"/>
          </w:tcPr>
          <w:p>
            <w:pPr>
              <w:jc w:val="center"/>
              <w:ind w:left="82"/>
              <w:spacing w:after="0" w:line="104" w:lineRule="exact"/>
              <w:rPr>
                <w:sz w:val="20"/>
                <w:szCs w:val="20"/>
                <w:color w:val="auto"/>
              </w:rPr>
            </w:pPr>
            <w:r>
              <w:rPr>
                <w:rFonts w:ascii="Arial" w:cs="Arial" w:eastAsia="Arial" w:hAnsi="Arial"/>
                <w:sz w:val="10"/>
                <w:szCs w:val="10"/>
                <w:b w:val="1"/>
                <w:bCs w:val="1"/>
                <w:color w:val="auto"/>
                <w:w w:val="84"/>
              </w:rPr>
              <w:t>of</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5"/>
          </w:tcPr>
          <w:p>
            <w:pPr>
              <w:jc w:val="right"/>
              <w:ind w:right="120"/>
              <w:spacing w:after="0" w:line="104" w:lineRule="exact"/>
              <w:rPr>
                <w:sz w:val="20"/>
                <w:szCs w:val="20"/>
                <w:color w:val="auto"/>
              </w:rPr>
            </w:pPr>
            <w:r>
              <w:rPr>
                <w:rFonts w:ascii="Arial" w:cs="Arial" w:eastAsia="Arial" w:hAnsi="Arial"/>
                <w:sz w:val="10"/>
                <w:szCs w:val="10"/>
                <w:b w:val="1"/>
                <w:bCs w:val="1"/>
                <w:color w:val="auto"/>
                <w:w w:val="82"/>
              </w:rPr>
              <w:t>purchased</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w w:val="82"/>
              </w:rPr>
              <w:t>Changes in certain</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5"/>
          </w:tcPr>
          <w:p>
            <w:pPr>
              <w:jc w:val="right"/>
              <w:ind w:right="120"/>
              <w:spacing w:after="0" w:line="104" w:lineRule="exact"/>
              <w:rPr>
                <w:sz w:val="20"/>
                <w:szCs w:val="20"/>
                <w:color w:val="auto"/>
              </w:rPr>
            </w:pPr>
            <w:r>
              <w:rPr>
                <w:rFonts w:ascii="Arial" w:cs="Arial" w:eastAsia="Arial" w:hAnsi="Arial"/>
                <w:sz w:val="10"/>
                <w:szCs w:val="10"/>
                <w:b w:val="1"/>
                <w:bCs w:val="1"/>
                <w:color w:val="auto"/>
                <w:w w:val="88"/>
              </w:rPr>
              <w:t>intangible</w:t>
            </w:r>
          </w:p>
        </w:tc>
        <w:tc>
          <w:tcPr>
            <w:tcW w:w="80" w:type="dxa"/>
            <w:vAlign w:val="bottom"/>
          </w:tcPr>
          <w:p>
            <w:pPr>
              <w:spacing w:after="0"/>
              <w:rPr>
                <w:sz w:val="9"/>
                <w:szCs w:val="9"/>
                <w:color w:val="auto"/>
              </w:rPr>
            </w:pPr>
          </w:p>
        </w:tc>
        <w:tc>
          <w:tcPr>
            <w:tcW w:w="600" w:type="dxa"/>
            <w:vAlign w:val="bottom"/>
            <w:gridSpan w:val="4"/>
          </w:tcPr>
          <w:p>
            <w:pPr>
              <w:jc w:val="right"/>
              <w:ind w:right="15"/>
              <w:spacing w:after="0" w:line="104" w:lineRule="exact"/>
              <w:rPr>
                <w:sz w:val="20"/>
                <w:szCs w:val="20"/>
                <w:color w:val="auto"/>
              </w:rPr>
            </w:pPr>
            <w:r>
              <w:rPr>
                <w:rFonts w:ascii="Arial" w:cs="Arial" w:eastAsia="Arial" w:hAnsi="Arial"/>
                <w:sz w:val="10"/>
                <w:szCs w:val="10"/>
                <w:b w:val="1"/>
                <w:bCs w:val="1"/>
                <w:color w:val="auto"/>
                <w:w w:val="89"/>
              </w:rPr>
              <w:t>Equity based</w:t>
            </w:r>
          </w:p>
        </w:tc>
        <w:tc>
          <w:tcPr>
            <w:tcW w:w="200" w:type="dxa"/>
            <w:vAlign w:val="bottom"/>
          </w:tcPr>
          <w:p>
            <w:pPr>
              <w:spacing w:after="0"/>
              <w:rPr>
                <w:sz w:val="9"/>
                <w:szCs w:val="9"/>
                <w:color w:val="auto"/>
              </w:rPr>
            </w:pPr>
          </w:p>
        </w:tc>
        <w:tc>
          <w:tcPr>
            <w:tcW w:w="78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w w:val="78"/>
              </w:rPr>
              <w:t>acquisitions related</w:t>
            </w:r>
          </w:p>
        </w:tc>
        <w:tc>
          <w:tcPr>
            <w:tcW w:w="120" w:type="dxa"/>
            <w:vAlign w:val="bottom"/>
          </w:tcPr>
          <w:p>
            <w:pPr>
              <w:spacing w:after="0"/>
              <w:rPr>
                <w:sz w:val="9"/>
                <w:szCs w:val="9"/>
                <w:color w:val="auto"/>
              </w:rPr>
            </w:pPr>
          </w:p>
        </w:tc>
        <w:tc>
          <w:tcPr>
            <w:tcW w:w="520" w:type="dxa"/>
            <w:vAlign w:val="bottom"/>
            <w:gridSpan w:val="3"/>
          </w:tcPr>
          <w:p>
            <w:pPr>
              <w:jc w:val="right"/>
              <w:spacing w:after="0" w:line="104" w:lineRule="exact"/>
              <w:rPr>
                <w:sz w:val="20"/>
                <w:szCs w:val="20"/>
                <w:color w:val="auto"/>
              </w:rPr>
            </w:pPr>
            <w:r>
              <w:rPr>
                <w:rFonts w:ascii="Arial" w:cs="Arial" w:eastAsia="Arial" w:hAnsi="Arial"/>
                <w:sz w:val="10"/>
                <w:szCs w:val="10"/>
                <w:b w:val="1"/>
                <w:bCs w:val="1"/>
                <w:color w:val="auto"/>
              </w:rPr>
              <w:t>Gain from</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gridSpan w:val="5"/>
          </w:tcPr>
          <w:p>
            <w:pPr>
              <w:jc w:val="right"/>
              <w:ind w:right="120"/>
              <w:spacing w:after="0" w:line="104" w:lineRule="exact"/>
              <w:rPr>
                <w:sz w:val="20"/>
                <w:szCs w:val="20"/>
                <w:color w:val="auto"/>
              </w:rPr>
            </w:pPr>
            <w:r>
              <w:rPr>
                <w:rFonts w:ascii="Arial" w:cs="Arial" w:eastAsia="Arial" w:hAnsi="Arial"/>
                <w:sz w:val="10"/>
                <w:szCs w:val="10"/>
                <w:b w:val="1"/>
                <w:bCs w:val="1"/>
                <w:color w:val="auto"/>
                <w:w w:val="81"/>
              </w:rPr>
              <w:t>assets and</w:t>
            </w:r>
          </w:p>
        </w:tc>
        <w:tc>
          <w:tcPr>
            <w:tcW w:w="80" w:type="dxa"/>
            <w:vAlign w:val="bottom"/>
          </w:tcPr>
          <w:p>
            <w:pPr>
              <w:spacing w:after="0"/>
              <w:rPr>
                <w:sz w:val="9"/>
                <w:szCs w:val="9"/>
                <w:color w:val="auto"/>
              </w:rPr>
            </w:pPr>
          </w:p>
        </w:tc>
        <w:tc>
          <w:tcPr>
            <w:tcW w:w="600" w:type="dxa"/>
            <w:vAlign w:val="bottom"/>
            <w:gridSpan w:val="4"/>
          </w:tcPr>
          <w:p>
            <w:pPr>
              <w:spacing w:after="0" w:line="104" w:lineRule="exact"/>
              <w:rPr>
                <w:sz w:val="20"/>
                <w:szCs w:val="20"/>
                <w:color w:val="auto"/>
              </w:rPr>
            </w:pPr>
            <w:r>
              <w:rPr>
                <w:rFonts w:ascii="Arial" w:cs="Arial" w:eastAsia="Arial" w:hAnsi="Arial"/>
                <w:sz w:val="10"/>
                <w:szCs w:val="10"/>
                <w:b w:val="1"/>
                <w:bCs w:val="1"/>
                <w:color w:val="auto"/>
                <w:w w:val="82"/>
              </w:rPr>
              <w:t>compensation</w:t>
            </w:r>
          </w:p>
        </w:tc>
        <w:tc>
          <w:tcPr>
            <w:tcW w:w="200" w:type="dxa"/>
            <w:vAlign w:val="bottom"/>
          </w:tcPr>
          <w:p>
            <w:pPr>
              <w:spacing w:after="0"/>
              <w:rPr>
                <w:sz w:val="9"/>
                <w:szCs w:val="9"/>
                <w:color w:val="auto"/>
              </w:rPr>
            </w:pPr>
          </w:p>
        </w:tc>
        <w:tc>
          <w:tcPr>
            <w:tcW w:w="78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w w:val="79"/>
              </w:rPr>
              <w:t>liabilities measured</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gridSpan w:val="2"/>
          </w:tcPr>
          <w:p>
            <w:pPr>
              <w:jc w:val="right"/>
              <w:ind w:right="17"/>
              <w:spacing w:after="0" w:line="104" w:lineRule="exact"/>
              <w:rPr>
                <w:sz w:val="20"/>
                <w:szCs w:val="20"/>
                <w:color w:val="auto"/>
              </w:rPr>
            </w:pPr>
            <w:r>
              <w:rPr>
                <w:rFonts w:ascii="Arial" w:cs="Arial" w:eastAsia="Arial" w:hAnsi="Arial"/>
                <w:sz w:val="10"/>
                <w:szCs w:val="10"/>
                <w:b w:val="1"/>
                <w:bCs w:val="1"/>
                <w:color w:val="auto"/>
                <w:w w:val="84"/>
              </w:rPr>
              <w:t>sale of a</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gridSpan w:val="2"/>
          </w:tcPr>
          <w:p>
            <w:pPr>
              <w:jc w:val="center"/>
              <w:ind w:right="180"/>
              <w:spacing w:after="0" w:line="104" w:lineRule="exact"/>
              <w:rPr>
                <w:sz w:val="20"/>
                <w:szCs w:val="20"/>
                <w:color w:val="auto"/>
              </w:rPr>
            </w:pPr>
            <w:r>
              <w:rPr>
                <w:rFonts w:ascii="Arial" w:cs="Arial" w:eastAsia="Arial" w:hAnsi="Arial"/>
                <w:sz w:val="10"/>
                <w:szCs w:val="10"/>
                <w:b w:val="1"/>
                <w:bCs w:val="1"/>
                <w:color w:val="auto"/>
                <w:w w:val="92"/>
              </w:rPr>
              <w:t>Tax</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2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GAAP</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gridSpan w:val="5"/>
          </w:tcPr>
          <w:p>
            <w:pPr>
              <w:jc w:val="center"/>
              <w:ind w:right="120"/>
              <w:spacing w:after="0"/>
              <w:rPr>
                <w:sz w:val="20"/>
                <w:szCs w:val="20"/>
                <w:color w:val="auto"/>
              </w:rPr>
            </w:pPr>
            <w:r>
              <w:rPr>
                <w:rFonts w:ascii="Arial" w:cs="Arial" w:eastAsia="Arial" w:hAnsi="Arial"/>
                <w:sz w:val="10"/>
                <w:szCs w:val="10"/>
                <w:b w:val="1"/>
                <w:bCs w:val="1"/>
                <w:color w:val="auto"/>
                <w:w w:val="95"/>
              </w:rPr>
              <w:t>other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gridSpan w:val="2"/>
          </w:tcPr>
          <w:p>
            <w:pPr>
              <w:jc w:val="right"/>
              <w:ind w:right="17"/>
              <w:spacing w:after="0"/>
              <w:rPr>
                <w:sz w:val="20"/>
                <w:szCs w:val="20"/>
                <w:color w:val="auto"/>
              </w:rPr>
            </w:pPr>
            <w:r>
              <w:rPr>
                <w:rFonts w:ascii="Arial" w:cs="Arial" w:eastAsia="Arial" w:hAnsi="Arial"/>
                <w:sz w:val="10"/>
                <w:szCs w:val="10"/>
                <w:b w:val="1"/>
                <w:bCs w:val="1"/>
                <w:color w:val="auto"/>
                <w:w w:val="84"/>
              </w:rPr>
              <w:t>expense</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ind w:left="100"/>
              <w:spacing w:after="0"/>
              <w:rPr>
                <w:sz w:val="20"/>
                <w:szCs w:val="20"/>
                <w:color w:val="auto"/>
              </w:rPr>
            </w:pPr>
            <w:r>
              <w:rPr>
                <w:rFonts w:ascii="Arial" w:cs="Arial" w:eastAsia="Arial" w:hAnsi="Arial"/>
                <w:sz w:val="10"/>
                <w:szCs w:val="10"/>
                <w:b w:val="1"/>
                <w:bCs w:val="1"/>
                <w:color w:val="auto"/>
              </w:rPr>
              <w:t>at fair value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tcPr>
          <w:p>
            <w:pPr>
              <w:jc w:val="right"/>
              <w:ind w:right="17"/>
              <w:spacing w:after="0"/>
              <w:rPr>
                <w:sz w:val="20"/>
                <w:szCs w:val="20"/>
                <w:color w:val="auto"/>
              </w:rPr>
            </w:pPr>
            <w:r>
              <w:rPr>
                <w:rFonts w:ascii="Arial" w:cs="Arial" w:eastAsia="Arial" w:hAnsi="Arial"/>
                <w:sz w:val="10"/>
                <w:szCs w:val="10"/>
                <w:b w:val="1"/>
                <w:bCs w:val="1"/>
                <w:color w:val="auto"/>
                <w:w w:val="78"/>
              </w:rPr>
              <w:t>business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0"/>
                <w:szCs w:val="10"/>
                <w:b w:val="1"/>
                <w:bCs w:val="1"/>
                <w:color w:val="auto"/>
                <w:w w:val="89"/>
              </w:rPr>
              <w:t>Other</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2"/>
              </w:rPr>
              <w:t>effect</w:t>
            </w:r>
          </w:p>
        </w:tc>
        <w:tc>
          <w:tcPr>
            <w:tcW w:w="100" w:type="dxa"/>
            <w:vAlign w:val="bottom"/>
          </w:tcPr>
          <w:p>
            <w:pPr>
              <w:spacing w:after="0"/>
              <w:rPr>
                <w:sz w:val="10"/>
                <w:szCs w:val="10"/>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w w:val="88"/>
              </w:rPr>
              <w:t>Non-GAAP</w:t>
            </w:r>
          </w:p>
        </w:tc>
        <w:tc>
          <w:tcPr>
            <w:tcW w:w="0" w:type="dxa"/>
            <w:vAlign w:val="bottom"/>
          </w:tcPr>
          <w:p>
            <w:pPr>
              <w:spacing w:after="0"/>
              <w:rPr>
                <w:sz w:val="1"/>
                <w:szCs w:val="1"/>
                <w:color w:val="auto"/>
              </w:rPr>
            </w:pPr>
          </w:p>
        </w:tc>
      </w:tr>
      <w:tr>
        <w:trPr>
          <w:trHeight w:val="132"/>
        </w:trPr>
        <w:tc>
          <w:tcPr>
            <w:tcW w:w="2020" w:type="dxa"/>
            <w:vAlign w:val="bottom"/>
            <w:tcBorders>
              <w:top w:val="single" w:sz="8" w:color="CCEEFF"/>
            </w:tcBorders>
            <w:shd w:val="clear" w:color="auto" w:fill="CCEEFF"/>
          </w:tcPr>
          <w:p>
            <w:pPr>
              <w:spacing w:after="0" w:line="132" w:lineRule="exact"/>
              <w:rPr>
                <w:sz w:val="20"/>
                <w:szCs w:val="20"/>
                <w:color w:val="auto"/>
              </w:rPr>
            </w:pPr>
            <w:r>
              <w:rPr>
                <w:rFonts w:ascii="Arial" w:cs="Arial" w:eastAsia="Arial" w:hAnsi="Arial"/>
                <w:sz w:val="13"/>
                <w:szCs w:val="13"/>
                <w:color w:val="auto"/>
              </w:rPr>
              <w:t>Operating expenses:</w:t>
            </w:r>
          </w:p>
        </w:tc>
        <w:tc>
          <w:tcPr>
            <w:tcW w:w="3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right w:val="single" w:sz="8" w:color="CCEEFF"/>
            </w:tcBorders>
            <w:shd w:val="clear" w:color="auto" w:fill="CCEEFF"/>
          </w:tcPr>
          <w:p>
            <w:pPr>
              <w:spacing w:after="0"/>
              <w:rPr>
                <w:sz w:val="11"/>
                <w:szCs w:val="11"/>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right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left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20" w:type="dxa"/>
            <w:vAlign w:val="bottom"/>
          </w:tcPr>
          <w:p>
            <w:pPr>
              <w:ind w:left="260"/>
              <w:spacing w:after="0"/>
              <w:rPr>
                <w:sz w:val="20"/>
                <w:szCs w:val="20"/>
                <w:color w:val="auto"/>
              </w:rPr>
            </w:pPr>
            <w:r>
              <w:rPr>
                <w:rFonts w:ascii="Arial" w:cs="Arial" w:eastAsia="Arial" w:hAnsi="Arial"/>
                <w:sz w:val="13"/>
                <w:szCs w:val="13"/>
                <w:color w:val="auto"/>
              </w:rPr>
              <w:t>Cost of revenue</w:t>
            </w:r>
          </w:p>
        </w:tc>
        <w:tc>
          <w:tcPr>
            <w:tcW w:w="920" w:type="dxa"/>
            <w:vAlign w:val="bottom"/>
            <w:gridSpan w:val="5"/>
          </w:tcPr>
          <w:p>
            <w:pPr>
              <w:jc w:val="right"/>
              <w:ind w:right="40"/>
              <w:spacing w:after="0"/>
              <w:rPr>
                <w:sz w:val="20"/>
                <w:szCs w:val="20"/>
                <w:color w:val="auto"/>
              </w:rPr>
            </w:pPr>
            <w:r>
              <w:rPr>
                <w:rFonts w:ascii="Arial" w:cs="Arial" w:eastAsia="Arial" w:hAnsi="Arial"/>
                <w:sz w:val="13"/>
                <w:szCs w:val="13"/>
                <w:color w:val="auto"/>
              </w:rPr>
              <w:t>$1,414,231</w:t>
            </w:r>
          </w:p>
        </w:tc>
        <w:tc>
          <w:tcPr>
            <w:tcW w:w="160" w:type="dxa"/>
            <w:vAlign w:val="bottom"/>
          </w:tcPr>
          <w:p>
            <w:pPr>
              <w:jc w:val="center"/>
              <w:ind w:left="40"/>
              <w:spacing w:after="0"/>
              <w:rPr>
                <w:sz w:val="20"/>
                <w:szCs w:val="20"/>
                <w:color w:val="auto"/>
              </w:rPr>
            </w:pPr>
            <w:r>
              <w:rPr>
                <w:rFonts w:ascii="Arial" w:cs="Arial" w:eastAsia="Arial" w:hAnsi="Arial"/>
                <w:sz w:val="13"/>
                <w:szCs w:val="13"/>
                <w:color w:val="auto"/>
                <w:w w:val="82"/>
              </w:rPr>
              <w:t>$</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3"/>
          </w:tcPr>
          <w:p>
            <w:pPr>
              <w:jc w:val="right"/>
              <w:ind w:right="120"/>
              <w:spacing w:after="0"/>
              <w:rPr>
                <w:sz w:val="20"/>
                <w:szCs w:val="20"/>
                <w:color w:val="auto"/>
              </w:rPr>
            </w:pPr>
            <w:r>
              <w:rPr>
                <w:rFonts w:ascii="Arial" w:cs="Arial" w:eastAsia="Arial" w:hAnsi="Arial"/>
                <w:sz w:val="13"/>
                <w:szCs w:val="13"/>
                <w:color w:val="auto"/>
                <w:w w:val="91"/>
              </w:rPr>
              <w:t>—</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(10,523)</w:t>
            </w:r>
          </w:p>
        </w:tc>
        <w:tc>
          <w:tcPr>
            <w:tcW w:w="200" w:type="dxa"/>
            <w:vAlign w:val="bottom"/>
          </w:tcPr>
          <w:p>
            <w:pPr>
              <w:ind w:left="140"/>
              <w:spacing w:after="0"/>
              <w:rPr>
                <w:sz w:val="20"/>
                <w:szCs w:val="20"/>
                <w:color w:val="auto"/>
              </w:rPr>
            </w:pPr>
            <w:r>
              <w:rPr>
                <w:rFonts w:ascii="Arial" w:cs="Arial" w:eastAsia="Arial" w:hAnsi="Arial"/>
                <w:sz w:val="5"/>
                <w:szCs w:val="5"/>
                <w:color w:val="auto"/>
                <w:w w:val="70"/>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(15,728)</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w w:val="88"/>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3"/>
                <w:szCs w:val="13"/>
                <w:color w:val="auto"/>
                <w:w w:val="92"/>
              </w:rPr>
              <w:t>$1,387,980</w:t>
            </w:r>
          </w:p>
        </w:tc>
        <w:tc>
          <w:tcPr>
            <w:tcW w:w="0" w:type="dxa"/>
            <w:vAlign w:val="bottom"/>
          </w:tcPr>
          <w:p>
            <w:pPr>
              <w:spacing w:after="0"/>
              <w:rPr>
                <w:sz w:val="1"/>
                <w:szCs w:val="1"/>
                <w:color w:val="auto"/>
              </w:rPr>
            </w:pPr>
          </w:p>
        </w:tc>
      </w:tr>
      <w:tr>
        <w:trPr>
          <w:trHeight w:val="152"/>
        </w:trPr>
        <w:tc>
          <w:tcPr>
            <w:tcW w:w="2020" w:type="dxa"/>
            <w:vAlign w:val="bottom"/>
            <w:shd w:val="clear" w:color="auto" w:fill="CCEEFF"/>
          </w:tcPr>
          <w:p>
            <w:pPr>
              <w:ind w:left="260"/>
              <w:spacing w:after="0"/>
              <w:rPr>
                <w:sz w:val="20"/>
                <w:szCs w:val="20"/>
                <w:color w:val="auto"/>
              </w:rPr>
            </w:pPr>
            <w:r>
              <w:rPr>
                <w:rFonts w:ascii="Arial" w:cs="Arial" w:eastAsia="Arial" w:hAnsi="Arial"/>
                <w:sz w:val="13"/>
                <w:szCs w:val="13"/>
                <w:color w:val="auto"/>
              </w:rPr>
              <w:t>Research and development</w:t>
            </w:r>
          </w:p>
        </w:tc>
        <w:tc>
          <w:tcPr>
            <w:tcW w:w="920" w:type="dxa"/>
            <w:vAlign w:val="bottom"/>
            <w:gridSpan w:val="5"/>
            <w:shd w:val="clear" w:color="auto" w:fill="CCEEFF"/>
          </w:tcPr>
          <w:p>
            <w:pPr>
              <w:jc w:val="right"/>
              <w:ind w:right="40"/>
              <w:spacing w:after="0"/>
              <w:rPr>
                <w:sz w:val="20"/>
                <w:szCs w:val="20"/>
                <w:color w:val="auto"/>
              </w:rPr>
            </w:pPr>
            <w:r>
              <w:rPr>
                <w:rFonts w:ascii="Arial" w:cs="Arial" w:eastAsia="Arial" w:hAnsi="Arial"/>
                <w:sz w:val="13"/>
                <w:szCs w:val="13"/>
                <w:color w:val="auto"/>
              </w:rPr>
              <w:t>150,823</w:t>
            </w:r>
          </w:p>
        </w:tc>
        <w:tc>
          <w:tcPr>
            <w:tcW w:w="16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(1,844)</w:t>
            </w:r>
          </w:p>
        </w:tc>
        <w:tc>
          <w:tcPr>
            <w:tcW w:w="200" w:type="dxa"/>
            <w:vAlign w:val="bottom"/>
            <w:tcBorders>
              <w:left w:val="single" w:sz="8" w:color="CCEEFF"/>
              <w:right w:val="single" w:sz="8" w:color="CCEEFF"/>
            </w:tcBorders>
            <w:shd w:val="clear" w:color="auto" w:fill="CCEEFF"/>
          </w:tcPr>
          <w:p>
            <w:pPr>
              <w:spacing w:after="0"/>
              <w:rPr>
                <w:sz w:val="13"/>
                <w:szCs w:val="13"/>
                <w:color w:val="auto"/>
              </w:rPr>
            </w:pPr>
          </w:p>
        </w:tc>
        <w:tc>
          <w:tcPr>
            <w:tcW w:w="780" w:type="dxa"/>
            <w:vAlign w:val="bottom"/>
            <w:tcBorders>
              <w:right w:val="single" w:sz="8" w:color="CCEEFF"/>
            </w:tcBorders>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148,979</w:t>
            </w:r>
          </w:p>
        </w:tc>
        <w:tc>
          <w:tcPr>
            <w:tcW w:w="0" w:type="dxa"/>
            <w:vAlign w:val="bottom"/>
          </w:tcPr>
          <w:p>
            <w:pPr>
              <w:spacing w:after="0"/>
              <w:rPr>
                <w:sz w:val="1"/>
                <w:szCs w:val="1"/>
                <w:color w:val="auto"/>
              </w:rPr>
            </w:pPr>
          </w:p>
        </w:tc>
      </w:tr>
      <w:tr>
        <w:trPr>
          <w:trHeight w:val="152"/>
        </w:trPr>
        <w:tc>
          <w:tcPr>
            <w:tcW w:w="2020" w:type="dxa"/>
            <w:vAlign w:val="bottom"/>
          </w:tcPr>
          <w:p>
            <w:pPr>
              <w:ind w:left="260"/>
              <w:spacing w:after="0"/>
              <w:rPr>
                <w:sz w:val="20"/>
                <w:szCs w:val="20"/>
                <w:color w:val="auto"/>
              </w:rPr>
            </w:pPr>
            <w:r>
              <w:rPr>
                <w:rFonts w:ascii="Arial" w:cs="Arial" w:eastAsia="Arial" w:hAnsi="Arial"/>
                <w:sz w:val="13"/>
                <w:szCs w:val="13"/>
                <w:color w:val="auto"/>
                <w:w w:val="87"/>
              </w:rPr>
              <w:t>Selling, general and administrative</w:t>
            </w:r>
          </w:p>
        </w:tc>
        <w:tc>
          <w:tcPr>
            <w:tcW w:w="920" w:type="dxa"/>
            <w:vAlign w:val="bottom"/>
            <w:gridSpan w:val="5"/>
          </w:tcPr>
          <w:p>
            <w:pPr>
              <w:jc w:val="right"/>
              <w:ind w:right="40"/>
              <w:spacing w:after="0"/>
              <w:rPr>
                <w:sz w:val="20"/>
                <w:szCs w:val="20"/>
                <w:color w:val="auto"/>
              </w:rPr>
            </w:pPr>
            <w:r>
              <w:rPr>
                <w:rFonts w:ascii="Arial" w:cs="Arial" w:eastAsia="Arial" w:hAnsi="Arial"/>
                <w:sz w:val="13"/>
                <w:szCs w:val="13"/>
                <w:color w:val="auto"/>
              </w:rPr>
              <w:t>238,839</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3"/>
          </w:tcPr>
          <w:p>
            <w:pPr>
              <w:jc w:val="right"/>
              <w:ind w:right="12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(13,585)</w:t>
            </w:r>
          </w:p>
        </w:tc>
        <w:tc>
          <w:tcPr>
            <w:tcW w:w="200" w:type="dxa"/>
            <w:vAlign w:val="bottom"/>
          </w:tcPr>
          <w:p>
            <w:pPr>
              <w:spacing w:after="0"/>
              <w:rPr>
                <w:sz w:val="13"/>
                <w:szCs w:val="13"/>
                <w:color w:val="auto"/>
              </w:rPr>
            </w:pPr>
          </w:p>
        </w:tc>
        <w:tc>
          <w:tcPr>
            <w:tcW w:w="7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225,254</w:t>
            </w:r>
          </w:p>
        </w:tc>
        <w:tc>
          <w:tcPr>
            <w:tcW w:w="0" w:type="dxa"/>
            <w:vAlign w:val="bottom"/>
          </w:tcPr>
          <w:p>
            <w:pPr>
              <w:spacing w:after="0"/>
              <w:rPr>
                <w:sz w:val="1"/>
                <w:szCs w:val="1"/>
                <w:color w:val="auto"/>
              </w:rPr>
            </w:pPr>
          </w:p>
        </w:tc>
      </w:tr>
      <w:tr>
        <w:trPr>
          <w:trHeight w:val="143"/>
        </w:trPr>
        <w:tc>
          <w:tcPr>
            <w:tcW w:w="2780" w:type="dxa"/>
            <w:vAlign w:val="bottom"/>
            <w:gridSpan w:val="4"/>
            <w:shd w:val="clear" w:color="auto" w:fill="CCEEFF"/>
          </w:tcPr>
          <w:p>
            <w:pPr>
              <w:ind w:left="260"/>
              <w:spacing w:after="0" w:line="143" w:lineRule="exact"/>
              <w:rPr>
                <w:sz w:val="20"/>
                <w:szCs w:val="20"/>
                <w:color w:val="auto"/>
              </w:rPr>
            </w:pPr>
            <w:r>
              <w:rPr>
                <w:rFonts w:ascii="Arial" w:cs="Arial" w:eastAsia="Arial" w:hAnsi="Arial"/>
                <w:sz w:val="13"/>
                <w:szCs w:val="13"/>
                <w:color w:val="auto"/>
              </w:rPr>
              <w:t>Amortization of purchased intangible</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200" w:type="dxa"/>
            <w:vAlign w:val="bottom"/>
            <w:tcBorders>
              <w:left w:val="single" w:sz="8" w:color="CCEEFF"/>
              <w:right w:val="single" w:sz="8" w:color="CCEEFF"/>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assets and other</w:t>
            </w:r>
          </w:p>
        </w:tc>
        <w:tc>
          <w:tcPr>
            <w:tcW w:w="3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41,740</w:t>
            </w:r>
          </w:p>
        </w:tc>
        <w:tc>
          <w:tcPr>
            <w:tcW w:w="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5"/>
            <w:shd w:val="clear" w:color="auto" w:fill="CCEEFF"/>
          </w:tcPr>
          <w:p>
            <w:pPr>
              <w:jc w:val="right"/>
              <w:spacing w:after="0"/>
              <w:rPr>
                <w:sz w:val="20"/>
                <w:szCs w:val="20"/>
                <w:color w:val="auto"/>
              </w:rPr>
            </w:pPr>
            <w:r>
              <w:rPr>
                <w:rFonts w:ascii="Arial" w:cs="Arial" w:eastAsia="Arial" w:hAnsi="Arial"/>
                <w:sz w:val="13"/>
                <w:szCs w:val="13"/>
                <w:color w:val="auto"/>
              </w:rPr>
              <w:t>(41,740)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left w:val="single" w:sz="8" w:color="CCEEFF"/>
              <w:right w:val="single" w:sz="8" w:color="CCEEFF"/>
            </w:tcBorders>
            <w:shd w:val="clear" w:color="auto" w:fill="CCEEFF"/>
          </w:tcPr>
          <w:p>
            <w:pPr>
              <w:spacing w:after="0"/>
              <w:rPr>
                <w:sz w:val="13"/>
                <w:szCs w:val="13"/>
                <w:color w:val="auto"/>
              </w:rPr>
            </w:pPr>
          </w:p>
        </w:tc>
        <w:tc>
          <w:tcPr>
            <w:tcW w:w="780" w:type="dxa"/>
            <w:vAlign w:val="bottom"/>
            <w:tcBorders>
              <w:right w:val="single" w:sz="8" w:color="CCEEFF"/>
            </w:tcBorders>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20" w:type="dxa"/>
            <w:vAlign w:val="bottom"/>
            <w:vMerge w:val="restart"/>
          </w:tcPr>
          <w:p>
            <w:pPr>
              <w:spacing w:after="0"/>
              <w:rPr>
                <w:sz w:val="20"/>
                <w:szCs w:val="20"/>
                <w:color w:val="auto"/>
              </w:rPr>
            </w:pPr>
            <w:r>
              <w:rPr>
                <w:rFonts w:ascii="Arial" w:cs="Arial" w:eastAsia="Arial" w:hAnsi="Arial"/>
                <w:sz w:val="13"/>
                <w:szCs w:val="13"/>
                <w:color w:val="auto"/>
              </w:rPr>
              <w:t>Total operating expenses</w:t>
            </w:r>
          </w:p>
        </w:tc>
        <w:tc>
          <w:tcPr>
            <w:tcW w:w="30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gridSpan w:val="3"/>
          </w:tcPr>
          <w:p>
            <w:pPr>
              <w:jc w:val="right"/>
              <w:spacing w:after="0"/>
              <w:rPr>
                <w:sz w:val="20"/>
                <w:szCs w:val="20"/>
                <w:color w:val="auto"/>
              </w:rPr>
            </w:pPr>
            <w:r>
              <w:rPr>
                <w:rFonts w:ascii="Arial" w:cs="Arial" w:eastAsia="Arial" w:hAnsi="Arial"/>
                <w:sz w:val="13"/>
                <w:szCs w:val="13"/>
                <w:color w:val="auto"/>
                <w:w w:val="96"/>
              </w:rPr>
              <w:t>1,845,633</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gridSpan w:val="5"/>
          </w:tcPr>
          <w:p>
            <w:pPr>
              <w:jc w:val="right"/>
              <w:spacing w:after="0"/>
              <w:rPr>
                <w:sz w:val="20"/>
                <w:szCs w:val="20"/>
                <w:color w:val="auto"/>
              </w:rPr>
            </w:pPr>
            <w:r>
              <w:rPr>
                <w:rFonts w:ascii="Arial" w:cs="Arial" w:eastAsia="Arial" w:hAnsi="Arial"/>
                <w:sz w:val="13"/>
                <w:szCs w:val="13"/>
                <w:color w:val="auto"/>
              </w:rPr>
              <w:t>(41,740)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3"/>
          </w:tcPr>
          <w:p>
            <w:pPr>
              <w:jc w:val="right"/>
              <w:spacing w:after="0"/>
              <w:rPr>
                <w:sz w:val="20"/>
                <w:szCs w:val="20"/>
                <w:color w:val="auto"/>
              </w:rPr>
            </w:pPr>
            <w:r>
              <w:rPr>
                <w:rFonts w:ascii="Arial" w:cs="Arial" w:eastAsia="Arial" w:hAnsi="Arial"/>
                <w:sz w:val="13"/>
                <w:szCs w:val="13"/>
                <w:color w:val="auto"/>
              </w:rPr>
              <w:t>(25,952)</w:t>
            </w:r>
          </w:p>
        </w:tc>
        <w:tc>
          <w:tcPr>
            <w:tcW w:w="20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(15,728)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w w:val="86"/>
              </w:rPr>
              <w:t>1,762,213</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20" w:type="dxa"/>
            <w:vAlign w:val="bottom"/>
            <w:shd w:val="clear" w:color="auto" w:fill="CCEEFF"/>
          </w:tcPr>
          <w:p>
            <w:pPr>
              <w:spacing w:after="0"/>
              <w:rPr>
                <w:sz w:val="20"/>
                <w:szCs w:val="20"/>
                <w:color w:val="auto"/>
              </w:rPr>
            </w:pPr>
            <w:r>
              <w:rPr>
                <w:rFonts w:ascii="Arial" w:cs="Arial" w:eastAsia="Arial" w:hAnsi="Arial"/>
                <w:sz w:val="13"/>
                <w:szCs w:val="13"/>
                <w:color w:val="auto"/>
              </w:rPr>
              <w:t>Operating income</w:t>
            </w:r>
          </w:p>
        </w:tc>
        <w:tc>
          <w:tcPr>
            <w:tcW w:w="3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289,444</w:t>
            </w:r>
          </w:p>
        </w:tc>
        <w:tc>
          <w:tcPr>
            <w:tcW w:w="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560" w:type="dxa"/>
            <w:vAlign w:val="bottom"/>
            <w:gridSpan w:val="5"/>
            <w:shd w:val="clear" w:color="auto" w:fill="CCEEFF"/>
          </w:tcPr>
          <w:p>
            <w:pPr>
              <w:jc w:val="right"/>
              <w:ind w:right="60"/>
              <w:spacing w:after="0"/>
              <w:rPr>
                <w:sz w:val="20"/>
                <w:szCs w:val="20"/>
                <w:color w:val="auto"/>
              </w:rPr>
            </w:pPr>
            <w:r>
              <w:rPr>
                <w:rFonts w:ascii="Arial" w:cs="Arial" w:eastAsia="Arial" w:hAnsi="Arial"/>
                <w:sz w:val="13"/>
                <w:szCs w:val="13"/>
                <w:color w:val="auto"/>
              </w:rPr>
              <w:t>41,740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25,952</w:t>
            </w:r>
          </w:p>
        </w:tc>
        <w:tc>
          <w:tcPr>
            <w:tcW w:w="200" w:type="dxa"/>
            <w:vAlign w:val="bottom"/>
            <w:tcBorders>
              <w:left w:val="single" w:sz="8" w:color="CCEEFF"/>
              <w:right w:val="single" w:sz="8" w:color="CCEEFF"/>
            </w:tcBorders>
            <w:shd w:val="clear" w:color="auto" w:fill="CCEEFF"/>
          </w:tcPr>
          <w:p>
            <w:pPr>
              <w:spacing w:after="0"/>
              <w:rPr>
                <w:sz w:val="13"/>
                <w:szCs w:val="13"/>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15,728</w:t>
            </w:r>
          </w:p>
        </w:tc>
        <w:tc>
          <w:tcPr>
            <w:tcW w:w="1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372,864</w:t>
            </w:r>
          </w:p>
        </w:tc>
        <w:tc>
          <w:tcPr>
            <w:tcW w:w="0" w:type="dxa"/>
            <w:vAlign w:val="bottom"/>
          </w:tcPr>
          <w:p>
            <w:pPr>
              <w:spacing w:after="0"/>
              <w:rPr>
                <w:sz w:val="1"/>
                <w:szCs w:val="1"/>
                <w:color w:val="auto"/>
              </w:rPr>
            </w:pPr>
          </w:p>
        </w:tc>
      </w:tr>
      <w:tr>
        <w:trPr>
          <w:trHeight w:val="20"/>
        </w:trPr>
        <w:tc>
          <w:tcPr>
            <w:tcW w:w="2020" w:type="dxa"/>
            <w:vAlign w:val="bottom"/>
            <w:vMerge w:val="restart"/>
          </w:tcPr>
          <w:p>
            <w:pPr>
              <w:spacing w:after="0"/>
              <w:rPr>
                <w:sz w:val="20"/>
                <w:szCs w:val="20"/>
                <w:color w:val="auto"/>
              </w:rPr>
            </w:pPr>
            <w:r>
              <w:rPr>
                <w:rFonts w:ascii="Arial" w:cs="Arial" w:eastAsia="Arial" w:hAnsi="Arial"/>
                <w:sz w:val="13"/>
                <w:szCs w:val="13"/>
                <w:color w:val="auto"/>
              </w:rPr>
              <w:t>Interest and other expense, net</w:t>
            </w:r>
          </w:p>
        </w:tc>
        <w:tc>
          <w:tcPr>
            <w:tcW w:w="30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(10,032)</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3"/>
          </w:tcPr>
          <w:p>
            <w:pPr>
              <w:jc w:val="right"/>
              <w:ind w:right="12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3"/>
                <w:szCs w:val="13"/>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3"/>
                <w:szCs w:val="13"/>
                <w:color w:val="auto"/>
              </w:rPr>
              <w:t>824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(9,208)</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20" w:type="dxa"/>
            <w:vAlign w:val="bottom"/>
            <w:shd w:val="clear" w:color="auto" w:fill="CCEEFF"/>
          </w:tcPr>
          <w:p>
            <w:pPr>
              <w:spacing w:after="0"/>
              <w:rPr>
                <w:sz w:val="20"/>
                <w:szCs w:val="20"/>
                <w:color w:val="auto"/>
              </w:rPr>
            </w:pPr>
            <w:r>
              <w:rPr>
                <w:rFonts w:ascii="Arial" w:cs="Arial" w:eastAsia="Arial" w:hAnsi="Arial"/>
                <w:sz w:val="13"/>
                <w:szCs w:val="13"/>
                <w:color w:val="auto"/>
              </w:rPr>
              <w:t>Gain from sale of a business</w:t>
            </w:r>
          </w:p>
        </w:tc>
        <w:tc>
          <w:tcPr>
            <w:tcW w:w="3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226,410</w:t>
            </w:r>
          </w:p>
        </w:tc>
        <w:tc>
          <w:tcPr>
            <w:tcW w:w="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w w:val="91"/>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right w:val="single" w:sz="8" w:color="CCEEFF"/>
            </w:tcBorders>
            <w:shd w:val="clear" w:color="auto" w:fill="CCEEFF"/>
          </w:tcPr>
          <w:p>
            <w:pPr>
              <w:spacing w:after="0"/>
              <w:rPr>
                <w:sz w:val="13"/>
                <w:szCs w:val="13"/>
                <w:color w:val="auto"/>
              </w:rPr>
            </w:pPr>
          </w:p>
        </w:tc>
        <w:tc>
          <w:tcPr>
            <w:tcW w:w="200" w:type="dxa"/>
            <w:vAlign w:val="bottom"/>
            <w:tcBorders>
              <w:left w:val="single" w:sz="8" w:color="CCEEFF"/>
              <w:right w:val="single" w:sz="8" w:color="CCEEFF"/>
            </w:tcBorders>
            <w:shd w:val="clear" w:color="auto" w:fill="CCEEFF"/>
          </w:tcPr>
          <w:p>
            <w:pPr>
              <w:spacing w:after="0"/>
              <w:rPr>
                <w:sz w:val="13"/>
                <w:szCs w:val="13"/>
                <w:color w:val="auto"/>
              </w:rPr>
            </w:pPr>
          </w:p>
        </w:tc>
        <w:tc>
          <w:tcPr>
            <w:tcW w:w="780" w:type="dxa"/>
            <w:vAlign w:val="bottom"/>
            <w:tcBorders>
              <w:right w:val="single" w:sz="8" w:color="CCEEFF"/>
            </w:tcBorders>
            <w:gridSpan w:val="2"/>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2"/>
              </w:rPr>
              <w:t>(226,410)</w:t>
            </w: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20" w:type="dxa"/>
            <w:vAlign w:val="bottom"/>
            <w:vMerge w:val="restart"/>
          </w:tcPr>
          <w:p>
            <w:pPr>
              <w:spacing w:after="0"/>
              <w:rPr>
                <w:sz w:val="20"/>
                <w:szCs w:val="20"/>
                <w:color w:val="auto"/>
              </w:rPr>
            </w:pPr>
            <w:r>
              <w:rPr>
                <w:rFonts w:ascii="Arial" w:cs="Arial" w:eastAsia="Arial" w:hAnsi="Arial"/>
                <w:sz w:val="13"/>
                <w:szCs w:val="13"/>
                <w:color w:val="auto"/>
              </w:rPr>
              <w:t>Income tax (benefit) expense</w:t>
            </w:r>
          </w:p>
        </w:tc>
        <w:tc>
          <w:tcPr>
            <w:tcW w:w="30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gridSpan w:val="3"/>
          </w:tcPr>
          <w:p>
            <w:pPr>
              <w:jc w:val="right"/>
              <w:spacing w:after="0"/>
              <w:rPr>
                <w:sz w:val="20"/>
                <w:szCs w:val="20"/>
                <w:color w:val="auto"/>
              </w:rPr>
            </w:pPr>
            <w:r>
              <w:rPr>
                <w:rFonts w:ascii="Arial" w:cs="Arial" w:eastAsia="Arial" w:hAnsi="Arial"/>
                <w:sz w:val="13"/>
                <w:szCs w:val="13"/>
                <w:color w:val="auto"/>
              </w:rPr>
              <w:t>87,123</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2"/>
          </w:tcPr>
          <w:p>
            <w:pPr>
              <w:jc w:val="right"/>
              <w:ind w:right="9"/>
              <w:spacing w:after="0"/>
              <w:rPr>
                <w:sz w:val="20"/>
                <w:szCs w:val="20"/>
                <w:color w:val="auto"/>
              </w:rPr>
            </w:pPr>
            <w:r>
              <w:rPr>
                <w:rFonts w:ascii="Arial" w:cs="Arial" w:eastAsia="Arial" w:hAnsi="Arial"/>
                <w:sz w:val="13"/>
                <w:szCs w:val="13"/>
                <w:color w:val="auto"/>
                <w:w w:val="91"/>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ind w:left="5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3"/>
                <w:szCs w:val="13"/>
                <w:color w:val="auto"/>
                <w:w w:val="94"/>
              </w:rPr>
              <w:t>(24,534)</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62,589</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2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920" w:type="dxa"/>
            <w:vAlign w:val="bottom"/>
            <w:gridSpan w:val="5"/>
            <w:shd w:val="clear" w:color="auto" w:fill="CCEEFF"/>
          </w:tcPr>
          <w:p>
            <w:pPr>
              <w:jc w:val="right"/>
              <w:ind w:right="40"/>
              <w:spacing w:after="0"/>
              <w:rPr>
                <w:sz w:val="20"/>
                <w:szCs w:val="20"/>
                <w:color w:val="auto"/>
              </w:rPr>
            </w:pPr>
            <w:r>
              <w:rPr>
                <w:rFonts w:ascii="Arial" w:cs="Arial" w:eastAsia="Arial" w:hAnsi="Arial"/>
                <w:sz w:val="13"/>
                <w:szCs w:val="13"/>
                <w:color w:val="auto"/>
              </w:rPr>
              <w:t>$  418,699</w:t>
            </w:r>
          </w:p>
        </w:tc>
        <w:tc>
          <w:tcPr>
            <w:tcW w:w="160" w:type="dxa"/>
            <w:vAlign w:val="bottom"/>
            <w:tcBorders>
              <w:right w:val="single" w:sz="8" w:color="CCEEFF"/>
            </w:tcBorders>
            <w:shd w:val="clear" w:color="auto" w:fill="CCEEFF"/>
          </w:tcPr>
          <w:p>
            <w:pPr>
              <w:jc w:val="center"/>
              <w:ind w:left="40"/>
              <w:spacing w:after="0"/>
              <w:rPr>
                <w:sz w:val="20"/>
                <w:szCs w:val="20"/>
                <w:color w:val="auto"/>
              </w:rPr>
            </w:pPr>
            <w:r>
              <w:rPr>
                <w:rFonts w:ascii="Arial" w:cs="Arial" w:eastAsia="Arial" w:hAnsi="Arial"/>
                <w:sz w:val="13"/>
                <w:szCs w:val="13"/>
                <w:color w:val="auto"/>
                <w:w w:val="82"/>
              </w:rPr>
              <w:t>$</w:t>
            </w:r>
          </w:p>
        </w:tc>
        <w:tc>
          <w:tcPr>
            <w:tcW w:w="560" w:type="dxa"/>
            <w:vAlign w:val="bottom"/>
            <w:gridSpan w:val="5"/>
            <w:shd w:val="clear" w:color="auto" w:fill="CCEEFF"/>
          </w:tcPr>
          <w:p>
            <w:pPr>
              <w:jc w:val="right"/>
              <w:ind w:right="60"/>
              <w:spacing w:after="0"/>
              <w:rPr>
                <w:sz w:val="20"/>
                <w:szCs w:val="20"/>
                <w:color w:val="auto"/>
              </w:rPr>
            </w:pPr>
            <w:r>
              <w:rPr>
                <w:rFonts w:ascii="Arial" w:cs="Arial" w:eastAsia="Arial" w:hAnsi="Arial"/>
                <w:sz w:val="13"/>
                <w:szCs w:val="13"/>
                <w:color w:val="auto"/>
              </w:rPr>
              <w:t>41,740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5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25,952</w:t>
            </w:r>
          </w:p>
        </w:tc>
        <w:tc>
          <w:tcPr>
            <w:tcW w:w="200" w:type="dxa"/>
            <w:vAlign w:val="bottom"/>
            <w:tcBorders>
              <w:left w:val="single" w:sz="8" w:color="CCEEFF"/>
              <w:right w:val="single" w:sz="8" w:color="CCEEFF"/>
            </w:tcBorders>
            <w:shd w:val="clear" w:color="auto" w:fill="CCEEFF"/>
          </w:tcPr>
          <w:p>
            <w:pPr>
              <w:ind w:left="140"/>
              <w:spacing w:after="0"/>
              <w:rPr>
                <w:sz w:val="20"/>
                <w:szCs w:val="20"/>
                <w:color w:val="auto"/>
              </w:rPr>
            </w:pPr>
            <w:r>
              <w:rPr>
                <w:rFonts w:ascii="Arial" w:cs="Arial" w:eastAsia="Arial" w:hAnsi="Arial"/>
                <w:sz w:val="5"/>
                <w:szCs w:val="5"/>
                <w:color w:val="auto"/>
                <w:w w:val="70"/>
              </w:rPr>
              <w:t>$</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15,728</w:t>
            </w:r>
          </w:p>
        </w:tc>
        <w:tc>
          <w:tcPr>
            <w:tcW w:w="2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w w:val="82"/>
              </w:rPr>
              <w:t>(226,410)</w:t>
            </w:r>
          </w:p>
        </w:tc>
        <w:tc>
          <w:tcPr>
            <w:tcW w:w="4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824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24,534</w:t>
            </w: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301,067</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31" w:right="1440"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Condensed Consolidated Balance Sheets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5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95"/>
              </w:rPr>
              <w:t>As of</w:t>
            </w:r>
          </w:p>
        </w:tc>
        <w:tc>
          <w:tcPr>
            <w:tcW w:w="5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79"/>
        </w:trPr>
        <w:tc>
          <w:tcPr>
            <w:tcW w:w="5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jc w:val="right"/>
              <w:spacing w:after="0" w:line="79" w:lineRule="exact"/>
              <w:rPr>
                <w:sz w:val="20"/>
                <w:szCs w:val="20"/>
                <w:color w:val="auto"/>
              </w:rPr>
            </w:pPr>
            <w:r>
              <w:rPr>
                <w:rFonts w:ascii="Arial" w:cs="Arial" w:eastAsia="Arial" w:hAnsi="Arial"/>
                <w:sz w:val="9"/>
                <w:szCs w:val="9"/>
                <w:b w:val="1"/>
                <w:bCs w:val="1"/>
                <w:color w:val="auto"/>
              </w:rPr>
              <w:t>March 31,</w:t>
            </w:r>
          </w:p>
        </w:tc>
        <w:tc>
          <w:tcPr>
            <w:tcW w:w="200" w:type="dxa"/>
            <w:vAlign w:val="bottom"/>
          </w:tcPr>
          <w:p>
            <w:pPr>
              <w:spacing w:after="0"/>
              <w:rPr>
                <w:sz w:val="6"/>
                <w:szCs w:val="6"/>
                <w:color w:val="auto"/>
              </w:rPr>
            </w:pPr>
          </w:p>
        </w:tc>
        <w:tc>
          <w:tcPr>
            <w:tcW w:w="620" w:type="dxa"/>
            <w:vAlign w:val="bottom"/>
            <w:gridSpan w:val="2"/>
          </w:tcPr>
          <w:p>
            <w:pPr>
              <w:spacing w:after="0" w:line="79" w:lineRule="exact"/>
              <w:rPr>
                <w:sz w:val="20"/>
                <w:szCs w:val="20"/>
                <w:color w:val="auto"/>
              </w:rPr>
            </w:pPr>
            <w:r>
              <w:rPr>
                <w:rFonts w:ascii="Arial" w:cs="Arial" w:eastAsia="Arial" w:hAnsi="Arial"/>
                <w:sz w:val="9"/>
                <w:szCs w:val="9"/>
                <w:b w:val="1"/>
                <w:bCs w:val="1"/>
                <w:color w:val="auto"/>
                <w:w w:val="97"/>
              </w:rPr>
              <w:t>September 30,</w:t>
            </w:r>
          </w:p>
        </w:tc>
        <w:tc>
          <w:tcPr>
            <w:tcW w:w="40" w:type="dxa"/>
            <w:vAlign w:val="bottom"/>
          </w:tcPr>
          <w:p>
            <w:pPr>
              <w:spacing w:after="0"/>
              <w:rPr>
                <w:sz w:val="6"/>
                <w:szCs w:val="6"/>
                <w:color w:val="auto"/>
              </w:rPr>
            </w:pPr>
          </w:p>
        </w:tc>
      </w:tr>
      <w:tr>
        <w:trPr>
          <w:trHeight w:val="119"/>
        </w:trPr>
        <w:tc>
          <w:tcPr>
            <w:tcW w:w="5280" w:type="dxa"/>
            <w:vAlign w:val="bottom"/>
            <w:tcBorders>
              <w:bottom w:val="single" w:sz="8" w:color="CCEEFF"/>
            </w:tcBorders>
          </w:tcPr>
          <w:p>
            <w:pPr>
              <w:spacing w:after="0"/>
              <w:rPr>
                <w:sz w:val="10"/>
                <w:szCs w:val="10"/>
                <w:color w:val="auto"/>
              </w:rPr>
            </w:pPr>
          </w:p>
        </w:tc>
        <w:tc>
          <w:tcPr>
            <w:tcW w:w="10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8"/>
              <w:spacing w:after="0"/>
              <w:rPr>
                <w:sz w:val="20"/>
                <w:szCs w:val="20"/>
                <w:color w:val="auto"/>
              </w:rPr>
            </w:pPr>
            <w:r>
              <w:rPr>
                <w:rFonts w:ascii="Arial" w:cs="Arial" w:eastAsia="Arial" w:hAnsi="Arial"/>
                <w:sz w:val="10"/>
                <w:szCs w:val="10"/>
                <w:b w:val="1"/>
                <w:bCs w:val="1"/>
                <w:color w:val="auto"/>
              </w:rPr>
              <w:t>2022</w:t>
            </w:r>
          </w:p>
        </w:tc>
        <w:tc>
          <w:tcPr>
            <w:tcW w:w="2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57"/>
              <w:spacing w:after="0"/>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CCEEFF"/>
            </w:tcBorders>
          </w:tcPr>
          <w:p>
            <w:pPr>
              <w:spacing w:after="0"/>
              <w:rPr>
                <w:sz w:val="10"/>
                <w:szCs w:val="10"/>
                <w:color w:val="auto"/>
              </w:rPr>
            </w:pPr>
          </w:p>
        </w:tc>
      </w:tr>
      <w:tr>
        <w:trPr>
          <w:trHeight w:val="132"/>
        </w:trPr>
        <w:tc>
          <w:tcPr>
            <w:tcW w:w="5280" w:type="dxa"/>
            <w:vAlign w:val="bottom"/>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ASSETS</w:t>
            </w: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2"/>
        </w:trPr>
        <w:tc>
          <w:tcPr>
            <w:tcW w:w="5280" w:type="dxa"/>
            <w:vAlign w:val="bottom"/>
          </w:tcPr>
          <w:p>
            <w:pPr>
              <w:spacing w:after="0"/>
              <w:rPr>
                <w:sz w:val="20"/>
                <w:szCs w:val="20"/>
                <w:color w:val="auto"/>
              </w:rPr>
            </w:pPr>
            <w:r>
              <w:rPr>
                <w:rFonts w:ascii="Arial" w:cs="Arial" w:eastAsia="Arial" w:hAnsi="Arial"/>
                <w:sz w:val="13"/>
                <w:szCs w:val="13"/>
                <w:color w:val="auto"/>
              </w:rPr>
              <w:t>Current assets</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593,056</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709,064</w:t>
            </w:r>
          </w:p>
        </w:tc>
        <w:tc>
          <w:tcPr>
            <w:tcW w:w="40" w:type="dxa"/>
            <w:vAlign w:val="bottom"/>
            <w:shd w:val="clear" w:color="auto" w:fill="CCEEFF"/>
          </w:tcPr>
          <w:p>
            <w:pPr>
              <w:spacing w:after="0"/>
              <w:rPr>
                <w:sz w:val="13"/>
                <w:szCs w:val="13"/>
                <w:color w:val="auto"/>
              </w:rPr>
            </w:pPr>
          </w:p>
        </w:tc>
      </w:tr>
      <w:tr>
        <w:trPr>
          <w:trHeight w:val="152"/>
        </w:trPr>
        <w:tc>
          <w:tcPr>
            <w:tcW w:w="5280" w:type="dxa"/>
            <w:vAlign w:val="bottom"/>
          </w:tcPr>
          <w:p>
            <w:pPr>
              <w:spacing w:after="0"/>
              <w:rPr>
                <w:sz w:val="20"/>
                <w:szCs w:val="20"/>
                <w:color w:val="auto"/>
              </w:rPr>
            </w:pPr>
            <w:r>
              <w:rPr>
                <w:rFonts w:ascii="Arial" w:cs="Arial" w:eastAsia="Arial" w:hAnsi="Arial"/>
                <w:sz w:val="13"/>
                <w:szCs w:val="13"/>
                <w:color w:val="auto"/>
              </w:rPr>
              <w:t>Short-term interest-bearing investments</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263,372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256,527</w:t>
            </w:r>
          </w:p>
        </w:tc>
        <w:tc>
          <w:tcPr>
            <w:tcW w:w="40" w:type="dxa"/>
            <w:vAlign w:val="bottom"/>
          </w:tcPr>
          <w:p>
            <w:pPr>
              <w:spacing w:after="0"/>
              <w:rPr>
                <w:sz w:val="13"/>
                <w:szCs w:val="13"/>
                <w:color w:val="auto"/>
              </w:rPr>
            </w:pPr>
          </w:p>
        </w:tc>
      </w:tr>
      <w:tr>
        <w:trPr>
          <w:trHeight w:val="152"/>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Accounts receivable, net, including unbilled of $128,406 and $162,278, respectively</w:t>
            </w: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1,022,642</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866,819</w:t>
            </w:r>
          </w:p>
        </w:tc>
        <w:tc>
          <w:tcPr>
            <w:tcW w:w="40" w:type="dxa"/>
            <w:vAlign w:val="bottom"/>
            <w:shd w:val="clear" w:color="auto" w:fill="CCEEFF"/>
          </w:tcPr>
          <w:p>
            <w:pPr>
              <w:spacing w:after="0"/>
              <w:rPr>
                <w:sz w:val="13"/>
                <w:szCs w:val="13"/>
                <w:color w:val="auto"/>
              </w:rPr>
            </w:pPr>
          </w:p>
        </w:tc>
      </w:tr>
      <w:tr>
        <w:trPr>
          <w:trHeight w:val="152"/>
        </w:trPr>
        <w:tc>
          <w:tcPr>
            <w:tcW w:w="5280" w:type="dxa"/>
            <w:vAlign w:val="bottom"/>
          </w:tcPr>
          <w:p>
            <w:pPr>
              <w:spacing w:after="0"/>
              <w:rPr>
                <w:sz w:val="20"/>
                <w:szCs w:val="20"/>
                <w:color w:val="auto"/>
              </w:rPr>
            </w:pPr>
            <w:r>
              <w:rPr>
                <w:rFonts w:ascii="Arial" w:cs="Arial" w:eastAsia="Arial" w:hAnsi="Arial"/>
                <w:sz w:val="13"/>
                <w:szCs w:val="13"/>
                <w:color w:val="auto"/>
              </w:rPr>
              <w:t>Prepaid expenses and other current assets</w:t>
            </w:r>
          </w:p>
        </w:tc>
        <w:tc>
          <w:tcPr>
            <w:tcW w:w="10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223,108</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235,089</w:t>
            </w:r>
          </w:p>
        </w:tc>
        <w:tc>
          <w:tcPr>
            <w:tcW w:w="40" w:type="dxa"/>
            <w:vAlign w:val="bottom"/>
          </w:tcPr>
          <w:p>
            <w:pPr>
              <w:spacing w:after="0"/>
              <w:rPr>
                <w:sz w:val="13"/>
                <w:szCs w:val="13"/>
                <w:color w:val="auto"/>
              </w:rPr>
            </w:pPr>
          </w:p>
        </w:tc>
      </w:tr>
      <w:tr>
        <w:trPr>
          <w:trHeight w:val="151"/>
        </w:trPr>
        <w:tc>
          <w:tcPr>
            <w:tcW w:w="52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current assets</w:t>
            </w: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2,102,178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2,067,499</w:t>
            </w:r>
          </w:p>
        </w:tc>
        <w:tc>
          <w:tcPr>
            <w:tcW w:w="40" w:type="dxa"/>
            <w:vAlign w:val="bottom"/>
            <w:shd w:val="clear" w:color="auto" w:fill="CCEEFF"/>
          </w:tcPr>
          <w:p>
            <w:pPr>
              <w:spacing w:after="0"/>
              <w:rPr>
                <w:sz w:val="13"/>
                <w:szCs w:val="13"/>
                <w:color w:val="auto"/>
              </w:rPr>
            </w:pPr>
          </w:p>
        </w:tc>
      </w:tr>
      <w:tr>
        <w:trPr>
          <w:trHeight w:val="152"/>
        </w:trPr>
        <w:tc>
          <w:tcPr>
            <w:tcW w:w="528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727,509</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698,768</w:t>
            </w:r>
          </w:p>
        </w:tc>
        <w:tc>
          <w:tcPr>
            <w:tcW w:w="40" w:type="dxa"/>
            <w:vAlign w:val="bottom"/>
          </w:tcPr>
          <w:p>
            <w:pPr>
              <w:spacing w:after="0"/>
              <w:rPr>
                <w:sz w:val="13"/>
                <w:szCs w:val="13"/>
                <w:color w:val="auto"/>
              </w:rPr>
            </w:pPr>
          </w:p>
        </w:tc>
      </w:tr>
      <w:tr>
        <w:trPr>
          <w:trHeight w:val="152"/>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Lease assets</w:t>
            </w: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232,447</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233,162</w:t>
            </w:r>
          </w:p>
        </w:tc>
        <w:tc>
          <w:tcPr>
            <w:tcW w:w="40" w:type="dxa"/>
            <w:vAlign w:val="bottom"/>
            <w:shd w:val="clear" w:color="auto" w:fill="CCEEFF"/>
          </w:tcPr>
          <w:p>
            <w:pPr>
              <w:spacing w:after="0"/>
              <w:rPr>
                <w:sz w:val="13"/>
                <w:szCs w:val="13"/>
                <w:color w:val="auto"/>
              </w:rPr>
            </w:pPr>
          </w:p>
        </w:tc>
      </w:tr>
      <w:tr>
        <w:trPr>
          <w:trHeight w:val="152"/>
        </w:trPr>
        <w:tc>
          <w:tcPr>
            <w:tcW w:w="5280" w:type="dxa"/>
            <w:vAlign w:val="bottom"/>
          </w:tcPr>
          <w:p>
            <w:pPr>
              <w:spacing w:after="0"/>
              <w:rPr>
                <w:sz w:val="20"/>
                <w:szCs w:val="20"/>
                <w:color w:val="auto"/>
              </w:rPr>
            </w:pPr>
            <w:r>
              <w:rPr>
                <w:rFonts w:ascii="Arial" w:cs="Arial" w:eastAsia="Arial" w:hAnsi="Arial"/>
                <w:sz w:val="13"/>
                <w:szCs w:val="13"/>
                <w:color w:val="auto"/>
              </w:rPr>
              <w:t>Goodwill and other intangible assets, net</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82"/>
              </w:rPr>
              <w:t>2,907,134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2,881,676</w:t>
            </w:r>
          </w:p>
        </w:tc>
        <w:tc>
          <w:tcPr>
            <w:tcW w:w="40" w:type="dxa"/>
            <w:vAlign w:val="bottom"/>
          </w:tcPr>
          <w:p>
            <w:pPr>
              <w:spacing w:after="0"/>
              <w:rPr>
                <w:sz w:val="13"/>
                <w:szCs w:val="13"/>
                <w:color w:val="auto"/>
              </w:rPr>
            </w:pPr>
          </w:p>
        </w:tc>
      </w:tr>
      <w:tr>
        <w:trPr>
          <w:trHeight w:val="152"/>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Other noncurrent assets</w:t>
            </w:r>
          </w:p>
        </w:tc>
        <w:tc>
          <w:tcPr>
            <w:tcW w:w="10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589,835</w:t>
            </w: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630,669</w:t>
            </w:r>
          </w:p>
        </w:tc>
        <w:tc>
          <w:tcPr>
            <w:tcW w:w="40" w:type="dxa"/>
            <w:vAlign w:val="bottom"/>
            <w:shd w:val="clear" w:color="auto" w:fill="CCEEFF"/>
          </w:tcPr>
          <w:p>
            <w:pPr>
              <w:spacing w:after="0"/>
              <w:rPr>
                <w:sz w:val="13"/>
                <w:szCs w:val="13"/>
                <w:color w:val="auto"/>
              </w:rPr>
            </w:pPr>
          </w:p>
        </w:tc>
      </w:tr>
      <w:tr>
        <w:trPr>
          <w:trHeight w:val="159"/>
        </w:trPr>
        <w:tc>
          <w:tcPr>
            <w:tcW w:w="5280" w:type="dxa"/>
            <w:vAlign w:val="bottom"/>
          </w:tcPr>
          <w:p>
            <w:pPr>
              <w:spacing w:after="0"/>
              <w:rPr>
                <w:sz w:val="20"/>
                <w:szCs w:val="20"/>
                <w:color w:val="auto"/>
              </w:rPr>
            </w:pPr>
            <w:r>
              <w:rPr>
                <w:rFonts w:ascii="Arial" w:cs="Arial" w:eastAsia="Arial" w:hAnsi="Arial"/>
                <w:sz w:val="13"/>
                <w:szCs w:val="13"/>
                <w:color w:val="auto"/>
              </w:rPr>
              <w:t>Total assets</w:t>
            </w:r>
          </w:p>
        </w:tc>
        <w:tc>
          <w:tcPr>
            <w:tcW w:w="110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w w:val="82"/>
              </w:rPr>
              <w:t>6,559,103</w:t>
            </w:r>
          </w:p>
        </w:tc>
        <w:tc>
          <w:tcPr>
            <w:tcW w:w="280" w:type="dxa"/>
            <w:vAlign w:val="bottom"/>
            <w:gridSpan w:val="2"/>
          </w:tcPr>
          <w:p>
            <w:pPr>
              <w:ind w:left="200"/>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89"/>
              </w:rPr>
              <w:t>6,511,774</w:t>
            </w:r>
          </w:p>
        </w:tc>
        <w:tc>
          <w:tcPr>
            <w:tcW w:w="40" w:type="dxa"/>
            <w:vAlign w:val="bottom"/>
          </w:tcPr>
          <w:p>
            <w:pPr>
              <w:spacing w:after="0"/>
              <w:rPr>
                <w:sz w:val="13"/>
                <w:szCs w:val="13"/>
                <w:color w:val="auto"/>
              </w:rPr>
            </w:pPr>
          </w:p>
        </w:tc>
      </w:tr>
      <w:tr>
        <w:trPr>
          <w:trHeight w:val="161"/>
        </w:trPr>
        <w:tc>
          <w:tcPr>
            <w:tcW w:w="52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 AND SHAREHOLDERS’ EQUITY</w:t>
            </w:r>
          </w:p>
        </w:tc>
        <w:tc>
          <w:tcPr>
            <w:tcW w:w="102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2"/>
        </w:trPr>
        <w:tc>
          <w:tcPr>
            <w:tcW w:w="5280" w:type="dxa"/>
            <w:vAlign w:val="bottom"/>
          </w:tcPr>
          <w:p>
            <w:pPr>
              <w:spacing w:after="0"/>
              <w:rPr>
                <w:sz w:val="20"/>
                <w:szCs w:val="20"/>
                <w:color w:val="auto"/>
              </w:rPr>
            </w:pPr>
            <w:r>
              <w:rPr>
                <w:rFonts w:ascii="Arial" w:cs="Arial" w:eastAsia="Arial" w:hAnsi="Arial"/>
                <w:sz w:val="13"/>
                <w:szCs w:val="13"/>
                <w:color w:val="auto"/>
              </w:rPr>
              <w:t>Current liabilities</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2"/>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Accounts payable, accruals and other</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985,675</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1,007,777</w:t>
            </w:r>
          </w:p>
        </w:tc>
        <w:tc>
          <w:tcPr>
            <w:tcW w:w="40" w:type="dxa"/>
            <w:vAlign w:val="bottom"/>
            <w:shd w:val="clear" w:color="auto" w:fill="CCEEFF"/>
          </w:tcPr>
          <w:p>
            <w:pPr>
              <w:spacing w:after="0"/>
              <w:rPr>
                <w:sz w:val="13"/>
                <w:szCs w:val="13"/>
                <w:color w:val="auto"/>
              </w:rPr>
            </w:pPr>
          </w:p>
        </w:tc>
      </w:tr>
      <w:tr>
        <w:trPr>
          <w:trHeight w:val="152"/>
        </w:trPr>
        <w:tc>
          <w:tcPr>
            <w:tcW w:w="5280" w:type="dxa"/>
            <w:vAlign w:val="bottom"/>
          </w:tcPr>
          <w:p>
            <w:pPr>
              <w:spacing w:after="0"/>
              <w:rPr>
                <w:sz w:val="20"/>
                <w:szCs w:val="20"/>
                <w:color w:val="auto"/>
              </w:rPr>
            </w:pPr>
            <w:r>
              <w:rPr>
                <w:rFonts w:ascii="Arial" w:cs="Arial" w:eastAsia="Arial" w:hAnsi="Arial"/>
                <w:sz w:val="13"/>
                <w:szCs w:val="13"/>
                <w:color w:val="auto"/>
              </w:rPr>
              <w:t>Lease liabilities</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56,676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58,714</w:t>
            </w:r>
          </w:p>
        </w:tc>
      </w:tr>
      <w:tr>
        <w:trPr>
          <w:trHeight w:val="152"/>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w:t>
            </w:r>
          </w:p>
        </w:tc>
        <w:tc>
          <w:tcPr>
            <w:tcW w:w="10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360,192</w:t>
            </w:r>
          </w:p>
        </w:tc>
        <w:tc>
          <w:tcPr>
            <w:tcW w:w="2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237,374</w:t>
            </w:r>
          </w:p>
        </w:tc>
        <w:tc>
          <w:tcPr>
            <w:tcW w:w="40" w:type="dxa"/>
            <w:vAlign w:val="bottom"/>
            <w:shd w:val="clear" w:color="auto" w:fill="CCEEFF"/>
          </w:tcPr>
          <w:p>
            <w:pPr>
              <w:spacing w:after="0"/>
              <w:rPr>
                <w:sz w:val="13"/>
                <w:szCs w:val="13"/>
                <w:color w:val="auto"/>
              </w:rPr>
            </w:pPr>
          </w:p>
        </w:tc>
      </w:tr>
      <w:tr>
        <w:trPr>
          <w:trHeight w:val="151"/>
        </w:trPr>
        <w:tc>
          <w:tcPr>
            <w:tcW w:w="5280" w:type="dxa"/>
            <w:vAlign w:val="bottom"/>
          </w:tcPr>
          <w:p>
            <w:pPr>
              <w:ind w:left="260"/>
              <w:spacing w:after="0"/>
              <w:rPr>
                <w:sz w:val="20"/>
                <w:szCs w:val="20"/>
                <w:color w:val="auto"/>
              </w:rPr>
            </w:pPr>
            <w:r>
              <w:rPr>
                <w:rFonts w:ascii="Arial" w:cs="Arial" w:eastAsia="Arial" w:hAnsi="Arial"/>
                <w:sz w:val="13"/>
                <w:szCs w:val="13"/>
                <w:color w:val="auto"/>
              </w:rPr>
              <w:t>Total current liabilities</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82"/>
              </w:rPr>
              <w:t>1,402,543</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1,303,865</w:t>
            </w:r>
          </w:p>
        </w:tc>
        <w:tc>
          <w:tcPr>
            <w:tcW w:w="40" w:type="dxa"/>
            <w:vAlign w:val="bottom"/>
          </w:tcPr>
          <w:p>
            <w:pPr>
              <w:spacing w:after="0"/>
              <w:rPr>
                <w:sz w:val="13"/>
                <w:szCs w:val="13"/>
                <w:color w:val="auto"/>
              </w:rPr>
            </w:pPr>
          </w:p>
        </w:tc>
      </w:tr>
      <w:tr>
        <w:trPr>
          <w:trHeight w:val="152"/>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Lease liabilities</w:t>
            </w: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179,139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177,906</w:t>
            </w:r>
          </w:p>
        </w:tc>
        <w:tc>
          <w:tcPr>
            <w:tcW w:w="40" w:type="dxa"/>
            <w:vAlign w:val="bottom"/>
            <w:shd w:val="clear" w:color="auto" w:fill="CCEEFF"/>
          </w:tcPr>
          <w:p>
            <w:pPr>
              <w:spacing w:after="0"/>
              <w:rPr>
                <w:sz w:val="13"/>
                <w:szCs w:val="13"/>
                <w:color w:val="auto"/>
              </w:rPr>
            </w:pPr>
          </w:p>
        </w:tc>
      </w:tr>
      <w:tr>
        <w:trPr>
          <w:trHeight w:val="152"/>
        </w:trPr>
        <w:tc>
          <w:tcPr>
            <w:tcW w:w="5280" w:type="dxa"/>
            <w:vAlign w:val="bottom"/>
          </w:tcPr>
          <w:p>
            <w:pPr>
              <w:spacing w:after="0"/>
              <w:rPr>
                <w:sz w:val="20"/>
                <w:szCs w:val="20"/>
                <w:color w:val="auto"/>
              </w:rPr>
            </w:pPr>
            <w:r>
              <w:rPr>
                <w:rFonts w:ascii="Arial" w:cs="Arial" w:eastAsia="Arial" w:hAnsi="Arial"/>
                <w:sz w:val="13"/>
                <w:szCs w:val="13"/>
                <w:color w:val="auto"/>
              </w:rPr>
              <w:t>Long-term debt, net of unamortized debt issuance costs</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644,832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644,553</w:t>
            </w:r>
          </w:p>
        </w:tc>
        <w:tc>
          <w:tcPr>
            <w:tcW w:w="40" w:type="dxa"/>
            <w:vAlign w:val="bottom"/>
          </w:tcPr>
          <w:p>
            <w:pPr>
              <w:spacing w:after="0"/>
              <w:rPr>
                <w:sz w:val="13"/>
                <w:szCs w:val="13"/>
                <w:color w:val="auto"/>
              </w:rPr>
            </w:pPr>
          </w:p>
        </w:tc>
      </w:tr>
      <w:tr>
        <w:trPr>
          <w:trHeight w:val="152"/>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Other noncurrent liabilities</w:t>
            </w: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728,398</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750,266</w:t>
            </w:r>
          </w:p>
        </w:tc>
        <w:tc>
          <w:tcPr>
            <w:tcW w:w="40" w:type="dxa"/>
            <w:vAlign w:val="bottom"/>
            <w:shd w:val="clear" w:color="auto" w:fill="CCEEFF"/>
          </w:tcPr>
          <w:p>
            <w:pPr>
              <w:spacing w:after="0"/>
              <w:rPr>
                <w:sz w:val="13"/>
                <w:szCs w:val="13"/>
                <w:color w:val="auto"/>
              </w:rPr>
            </w:pPr>
          </w:p>
        </w:tc>
      </w:tr>
      <w:tr>
        <w:trPr>
          <w:trHeight w:val="152"/>
        </w:trPr>
        <w:tc>
          <w:tcPr>
            <w:tcW w:w="5280" w:type="dxa"/>
            <w:vAlign w:val="bottom"/>
          </w:tcPr>
          <w:p>
            <w:pPr>
              <w:spacing w:after="0"/>
              <w:rPr>
                <w:sz w:val="20"/>
                <w:szCs w:val="20"/>
                <w:color w:val="auto"/>
              </w:rPr>
            </w:pPr>
            <w:r>
              <w:rPr>
                <w:rFonts w:ascii="Arial" w:cs="Arial" w:eastAsia="Arial" w:hAnsi="Arial"/>
                <w:sz w:val="13"/>
                <w:szCs w:val="13"/>
                <w:color w:val="auto"/>
              </w:rPr>
              <w:t>Total Amdocs Limited Shareholders’ equity</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w w:val="82"/>
              </w:rPr>
              <w:t>3,561,682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3,592,675</w:t>
            </w:r>
          </w:p>
        </w:tc>
        <w:tc>
          <w:tcPr>
            <w:tcW w:w="40" w:type="dxa"/>
            <w:vAlign w:val="bottom"/>
          </w:tcPr>
          <w:p>
            <w:pPr>
              <w:spacing w:after="0"/>
              <w:rPr>
                <w:sz w:val="13"/>
                <w:szCs w:val="13"/>
                <w:color w:val="auto"/>
              </w:rPr>
            </w:pPr>
          </w:p>
        </w:tc>
      </w:tr>
      <w:tr>
        <w:trPr>
          <w:trHeight w:val="152"/>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Noncontrolling interests</w:t>
            </w: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42,509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42,509</w:t>
            </w:r>
          </w:p>
        </w:tc>
      </w:tr>
      <w:tr>
        <w:trPr>
          <w:trHeight w:val="151"/>
        </w:trPr>
        <w:tc>
          <w:tcPr>
            <w:tcW w:w="5280" w:type="dxa"/>
            <w:vAlign w:val="bottom"/>
          </w:tcPr>
          <w:p>
            <w:pPr>
              <w:spacing w:after="0"/>
              <w:rPr>
                <w:sz w:val="20"/>
                <w:szCs w:val="20"/>
                <w:color w:val="auto"/>
              </w:rPr>
            </w:pPr>
            <w:r>
              <w:rPr>
                <w:rFonts w:ascii="Arial" w:cs="Arial" w:eastAsia="Arial" w:hAnsi="Arial"/>
                <w:sz w:val="13"/>
                <w:szCs w:val="13"/>
                <w:color w:val="auto"/>
              </w:rPr>
              <w:t>Total equity</w:t>
            </w:r>
          </w:p>
        </w:tc>
        <w:tc>
          <w:tcPr>
            <w:tcW w:w="10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3,604,191</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9"/>
              </w:rPr>
              <w:t>3,635,184</w:t>
            </w:r>
          </w:p>
        </w:tc>
        <w:tc>
          <w:tcPr>
            <w:tcW w:w="40" w:type="dxa"/>
            <w:vAlign w:val="bottom"/>
          </w:tcPr>
          <w:p>
            <w:pPr>
              <w:spacing w:after="0"/>
              <w:rPr>
                <w:sz w:val="13"/>
                <w:szCs w:val="13"/>
                <w:color w:val="auto"/>
              </w:rPr>
            </w:pPr>
          </w:p>
        </w:tc>
      </w:tr>
      <w:tr>
        <w:trPr>
          <w:trHeight w:val="151"/>
        </w:trPr>
        <w:tc>
          <w:tcPr>
            <w:tcW w:w="5280" w:type="dxa"/>
            <w:vAlign w:val="bottom"/>
            <w:shd w:val="clear" w:color="auto" w:fill="CCEEFF"/>
          </w:tcPr>
          <w:p>
            <w:pPr>
              <w:spacing w:after="0"/>
              <w:rPr>
                <w:sz w:val="20"/>
                <w:szCs w:val="20"/>
                <w:color w:val="auto"/>
              </w:rPr>
            </w:pPr>
            <w:r>
              <w:rPr>
                <w:rFonts w:ascii="Arial" w:cs="Arial" w:eastAsia="Arial" w:hAnsi="Arial"/>
                <w:sz w:val="13"/>
                <w:szCs w:val="13"/>
                <w:color w:val="auto"/>
              </w:rPr>
              <w:t>Total liabilities and equity</w:t>
            </w: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u w:val="single" w:color="auto"/>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6,559,103</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6,511,774</w:t>
            </w:r>
          </w:p>
        </w:tc>
        <w:tc>
          <w:tcPr>
            <w:tcW w:w="40" w:type="dxa"/>
            <w:vAlign w:val="bottom"/>
            <w:shd w:val="clear" w:color="auto" w:fill="CCEEFF"/>
          </w:tcPr>
          <w:p>
            <w:pPr>
              <w:spacing w:after="0"/>
              <w:rPr>
                <w:sz w:val="13"/>
                <w:szCs w:val="13"/>
                <w:color w:val="auto"/>
              </w:rPr>
            </w:pPr>
          </w:p>
        </w:tc>
      </w:tr>
      <w:tr>
        <w:trPr>
          <w:trHeight w:val="28"/>
        </w:trPr>
        <w:tc>
          <w:tcPr>
            <w:tcW w:w="5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ectPr>
          <w:pgSz w:w="11900" w:h="16838" w:orient="portrait"/>
          <w:cols w:equalWidth="0" w:num="1">
            <w:col w:w="9019"/>
          </w:cols>
          <w:pgMar w:left="1440" w:top="231" w:right="1440"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thousands)</w:t>
      </w:r>
    </w:p>
    <w:p>
      <w:pPr>
        <w:spacing w:after="0" w:line="147"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6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gridSpan w:val="4"/>
          </w:tcPr>
          <w:p>
            <w:pPr>
              <w:jc w:val="right"/>
              <w:ind w:right="340"/>
              <w:spacing w:after="0"/>
              <w:rPr>
                <w:sz w:val="20"/>
                <w:szCs w:val="20"/>
                <w:color w:val="auto"/>
              </w:rPr>
            </w:pPr>
            <w:r>
              <w:rPr>
                <w:rFonts w:ascii="Arial" w:cs="Arial" w:eastAsia="Arial" w:hAnsi="Arial"/>
                <w:sz w:val="10"/>
                <w:szCs w:val="10"/>
                <w:b w:val="1"/>
                <w:bCs w:val="1"/>
                <w:color w:val="auto"/>
              </w:rPr>
              <w:t>Six months ended</w:t>
            </w:r>
          </w:p>
        </w:tc>
        <w:tc>
          <w:tcPr>
            <w:tcW w:w="0" w:type="dxa"/>
            <w:vAlign w:val="bottom"/>
          </w:tcPr>
          <w:p>
            <w:pPr>
              <w:spacing w:after="0"/>
              <w:rPr>
                <w:sz w:val="1"/>
                <w:szCs w:val="1"/>
                <w:color w:val="auto"/>
              </w:rPr>
            </w:pPr>
          </w:p>
        </w:tc>
      </w:tr>
      <w:tr>
        <w:trPr>
          <w:trHeight w:val="119"/>
        </w:trPr>
        <w:tc>
          <w:tcPr>
            <w:tcW w:w="6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gridSpan w:val="4"/>
          </w:tcPr>
          <w:p>
            <w:pPr>
              <w:jc w:val="right"/>
              <w:ind w:right="500"/>
              <w:spacing w:after="0"/>
              <w:rPr>
                <w:sz w:val="20"/>
                <w:szCs w:val="20"/>
                <w:color w:val="auto"/>
              </w:rPr>
            </w:pPr>
            <w:r>
              <w:rPr>
                <w:rFonts w:ascii="Arial" w:cs="Arial" w:eastAsia="Arial" w:hAnsi="Arial"/>
                <w:sz w:val="10"/>
                <w:szCs w:val="10"/>
                <w:b w:val="1"/>
                <w:bCs w:val="1"/>
                <w:color w:val="auto"/>
              </w:rPr>
              <w:t>March 31,</w:t>
            </w:r>
          </w:p>
        </w:tc>
        <w:tc>
          <w:tcPr>
            <w:tcW w:w="0" w:type="dxa"/>
            <w:vAlign w:val="bottom"/>
          </w:tcPr>
          <w:p>
            <w:pPr>
              <w:spacing w:after="0"/>
              <w:rPr>
                <w:sz w:val="1"/>
                <w:szCs w:val="1"/>
                <w:color w:val="auto"/>
              </w:rPr>
            </w:pPr>
          </w:p>
        </w:tc>
      </w:tr>
      <w:tr>
        <w:trPr>
          <w:trHeight w:val="94"/>
        </w:trPr>
        <w:tc>
          <w:tcPr>
            <w:tcW w:w="638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01"/>
              <w:spacing w:after="0" w:line="94" w:lineRule="exact"/>
              <w:rPr>
                <w:sz w:val="20"/>
                <w:szCs w:val="20"/>
                <w:color w:val="auto"/>
              </w:rPr>
            </w:pPr>
            <w:r>
              <w:rPr>
                <w:rFonts w:ascii="Arial" w:cs="Arial" w:eastAsia="Arial" w:hAnsi="Arial"/>
                <w:sz w:val="10"/>
                <w:szCs w:val="10"/>
                <w:b w:val="1"/>
                <w:bCs w:val="1"/>
                <w:color w:val="auto"/>
              </w:rPr>
              <w:t>2022</w:t>
            </w:r>
          </w:p>
        </w:tc>
        <w:tc>
          <w:tcPr>
            <w:tcW w:w="240" w:type="dxa"/>
            <w:vAlign w:val="bottom"/>
            <w:tcBorders>
              <w:top w:val="single" w:sz="8" w:color="auto"/>
              <w:bottom w:val="single" w:sz="8" w:color="CCEEFF"/>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57"/>
              <w:spacing w:after="0" w:line="94" w:lineRule="exact"/>
              <w:rPr>
                <w:sz w:val="20"/>
                <w:szCs w:val="20"/>
                <w:color w:val="auto"/>
              </w:rPr>
            </w:pPr>
            <w:r>
              <w:rPr>
                <w:rFonts w:ascii="Arial" w:cs="Arial" w:eastAsia="Arial" w:hAnsi="Arial"/>
                <w:sz w:val="10"/>
                <w:szCs w:val="10"/>
                <w:b w:val="1"/>
                <w:bCs w:val="1"/>
                <w:color w:val="auto"/>
              </w:rPr>
              <w:t>2021</w:t>
            </w:r>
            <w:r>
              <w:rPr>
                <w:rFonts w:ascii="Arial" w:cs="Arial" w:eastAsia="Arial" w:hAnsi="Arial"/>
                <w:sz w:val="8"/>
                <w:szCs w:val="8"/>
                <w:b w:val="1"/>
                <w:bCs w:val="1"/>
                <w:color w:val="auto"/>
              </w:rPr>
              <w:t>(a)</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6380" w:type="dxa"/>
            <w:vAlign w:val="bottom"/>
            <w:shd w:val="clear" w:color="auto" w:fill="CCEEFF"/>
          </w:tcPr>
          <w:p>
            <w:pPr>
              <w:spacing w:after="0" w:line="132" w:lineRule="exact"/>
              <w:rPr>
                <w:sz w:val="20"/>
                <w:szCs w:val="20"/>
                <w:color w:val="auto"/>
              </w:rPr>
            </w:pPr>
            <w:r>
              <w:rPr>
                <w:rFonts w:ascii="Arial" w:cs="Arial" w:eastAsia="Arial" w:hAnsi="Arial"/>
                <w:sz w:val="13"/>
                <w:szCs w:val="13"/>
                <w:b w:val="1"/>
                <w:bCs w:val="1"/>
                <w:color w:val="auto"/>
              </w:rPr>
              <w:t>Cash Flow from Operating Activities:</w:t>
            </w:r>
          </w:p>
        </w:tc>
        <w:tc>
          <w:tcPr>
            <w:tcW w:w="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6380" w:type="dxa"/>
            <w:vAlign w:val="bottom"/>
          </w:tcPr>
          <w:p>
            <w:pPr>
              <w:spacing w:after="0"/>
              <w:rPr>
                <w:sz w:val="20"/>
                <w:szCs w:val="20"/>
                <w:color w:val="auto"/>
              </w:rPr>
            </w:pPr>
            <w:r>
              <w:rPr>
                <w:rFonts w:ascii="Arial" w:cs="Arial" w:eastAsia="Arial" w:hAnsi="Arial"/>
                <w:sz w:val="13"/>
                <w:szCs w:val="13"/>
                <w:color w:val="auto"/>
              </w:rPr>
              <w:t>Net income</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w w:val="86"/>
              </w:rPr>
              <w:t>$ 292,099</w:t>
            </w:r>
          </w:p>
        </w:tc>
        <w:tc>
          <w:tcPr>
            <w:tcW w:w="2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w w:val="86"/>
              </w:rPr>
              <w:t>$ 418,699</w:t>
            </w:r>
          </w:p>
        </w:tc>
        <w:tc>
          <w:tcPr>
            <w:tcW w:w="0" w:type="dxa"/>
            <w:vAlign w:val="bottom"/>
          </w:tcPr>
          <w:p>
            <w:pPr>
              <w:spacing w:after="0"/>
              <w:rPr>
                <w:sz w:val="1"/>
                <w:szCs w:val="1"/>
                <w:color w:val="auto"/>
              </w:rPr>
            </w:pPr>
          </w:p>
        </w:tc>
      </w:tr>
      <w:tr>
        <w:trPr>
          <w:trHeight w:val="152"/>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Reconciliation of net income to net cash provided by operating activities:</w:t>
            </w: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38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101,071</w:t>
            </w:r>
          </w:p>
        </w:tc>
        <w:tc>
          <w:tcPr>
            <w:tcW w:w="2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101,298</w:t>
            </w:r>
          </w:p>
        </w:tc>
        <w:tc>
          <w:tcPr>
            <w:tcW w:w="0" w:type="dxa"/>
            <w:vAlign w:val="bottom"/>
          </w:tcPr>
          <w:p>
            <w:pPr>
              <w:spacing w:after="0"/>
              <w:rPr>
                <w:sz w:val="1"/>
                <w:szCs w:val="1"/>
                <w:color w:val="auto"/>
              </w:rPr>
            </w:pPr>
          </w:p>
        </w:tc>
      </w:tr>
      <w:tr>
        <w:trPr>
          <w:trHeight w:val="152"/>
        </w:trPr>
        <w:tc>
          <w:tcPr>
            <w:tcW w:w="6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Amortization of debt issuance costs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279</w:t>
            </w:r>
          </w:p>
        </w:tc>
        <w:tc>
          <w:tcPr>
            <w:tcW w:w="2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272</w:t>
            </w:r>
          </w:p>
        </w:tc>
        <w:tc>
          <w:tcPr>
            <w:tcW w:w="0" w:type="dxa"/>
            <w:vAlign w:val="bottom"/>
          </w:tcPr>
          <w:p>
            <w:pPr>
              <w:spacing w:after="0"/>
              <w:rPr>
                <w:sz w:val="1"/>
                <w:szCs w:val="1"/>
                <w:color w:val="auto"/>
              </w:rPr>
            </w:pPr>
          </w:p>
        </w:tc>
      </w:tr>
      <w:tr>
        <w:trPr>
          <w:trHeight w:val="152"/>
        </w:trPr>
        <w:tc>
          <w:tcPr>
            <w:tcW w:w="6380" w:type="dxa"/>
            <w:vAlign w:val="bottom"/>
          </w:tcPr>
          <w:p>
            <w:pPr>
              <w:ind w:left="260"/>
              <w:spacing w:after="0"/>
              <w:rPr>
                <w:sz w:val="20"/>
                <w:szCs w:val="20"/>
                <w:color w:val="auto"/>
              </w:rPr>
            </w:pPr>
            <w:r>
              <w:rPr>
                <w:rFonts w:ascii="Arial" w:cs="Arial" w:eastAsia="Arial" w:hAnsi="Arial"/>
                <w:sz w:val="13"/>
                <w:szCs w:val="13"/>
                <w:color w:val="auto"/>
              </w:rPr>
              <w:t>Equity-based compensation expense</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34,578</w:t>
            </w:r>
          </w:p>
        </w:tc>
        <w:tc>
          <w:tcPr>
            <w:tcW w:w="2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25,952</w:t>
            </w:r>
          </w:p>
        </w:tc>
        <w:tc>
          <w:tcPr>
            <w:tcW w:w="0" w:type="dxa"/>
            <w:vAlign w:val="bottom"/>
          </w:tcPr>
          <w:p>
            <w:pPr>
              <w:spacing w:after="0"/>
              <w:rPr>
                <w:sz w:val="1"/>
                <w:szCs w:val="1"/>
                <w:color w:val="auto"/>
              </w:rPr>
            </w:pPr>
          </w:p>
        </w:tc>
      </w:tr>
      <w:tr>
        <w:trPr>
          <w:trHeight w:val="152"/>
        </w:trPr>
        <w:tc>
          <w:tcPr>
            <w:tcW w:w="6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Gain from sale of a business</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(10,000)</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6"/>
              </w:rPr>
              <w:t>(226,410)</w:t>
            </w:r>
          </w:p>
        </w:tc>
        <w:tc>
          <w:tcPr>
            <w:tcW w:w="0" w:type="dxa"/>
            <w:vAlign w:val="bottom"/>
          </w:tcPr>
          <w:p>
            <w:pPr>
              <w:spacing w:after="0"/>
              <w:rPr>
                <w:sz w:val="1"/>
                <w:szCs w:val="1"/>
                <w:color w:val="auto"/>
              </w:rPr>
            </w:pPr>
          </w:p>
        </w:tc>
      </w:tr>
      <w:tr>
        <w:trPr>
          <w:trHeight w:val="152"/>
        </w:trPr>
        <w:tc>
          <w:tcPr>
            <w:tcW w:w="6380" w:type="dxa"/>
            <w:vAlign w:val="bottom"/>
          </w:tcPr>
          <w:p>
            <w:pPr>
              <w:ind w:left="260"/>
              <w:spacing w:after="0"/>
              <w:rPr>
                <w:sz w:val="20"/>
                <w:szCs w:val="20"/>
                <w:color w:val="auto"/>
              </w:rPr>
            </w:pPr>
            <w:r>
              <w:rPr>
                <w:rFonts w:ascii="Arial" w:cs="Arial" w:eastAsia="Arial" w:hAnsi="Arial"/>
                <w:sz w:val="13"/>
                <w:szCs w:val="13"/>
                <w:color w:val="auto"/>
              </w:rPr>
              <w:t>Deferred income taxes</w:t>
            </w:r>
          </w:p>
        </w:tc>
        <w:tc>
          <w:tcPr>
            <w:tcW w:w="760" w:type="dxa"/>
            <w:vAlign w:val="bottom"/>
            <w:gridSpan w:val="3"/>
          </w:tcPr>
          <w:p>
            <w:pPr>
              <w:jc w:val="right"/>
              <w:ind w:right="200"/>
              <w:spacing w:after="0"/>
              <w:rPr>
                <w:sz w:val="20"/>
                <w:szCs w:val="20"/>
                <w:color w:val="auto"/>
              </w:rPr>
            </w:pPr>
            <w:r>
              <w:rPr>
                <w:rFonts w:ascii="Arial" w:cs="Arial" w:eastAsia="Arial" w:hAnsi="Arial"/>
                <w:sz w:val="13"/>
                <w:szCs w:val="13"/>
                <w:color w:val="auto"/>
              </w:rPr>
              <w:t>(35,879)</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(27,778)</w:t>
            </w:r>
          </w:p>
        </w:tc>
        <w:tc>
          <w:tcPr>
            <w:tcW w:w="0" w:type="dxa"/>
            <w:vAlign w:val="bottom"/>
          </w:tcPr>
          <w:p>
            <w:pPr>
              <w:spacing w:after="0"/>
              <w:rPr>
                <w:sz w:val="1"/>
                <w:szCs w:val="1"/>
                <w:color w:val="auto"/>
              </w:rPr>
            </w:pPr>
          </w:p>
        </w:tc>
      </w:tr>
      <w:tr>
        <w:trPr>
          <w:trHeight w:val="152"/>
        </w:trPr>
        <w:tc>
          <w:tcPr>
            <w:tcW w:w="6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Loss from short-term interest-bearing investments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1,333</w:t>
            </w:r>
          </w:p>
        </w:tc>
        <w:tc>
          <w:tcPr>
            <w:tcW w:w="2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221</w:t>
            </w:r>
          </w:p>
        </w:tc>
        <w:tc>
          <w:tcPr>
            <w:tcW w:w="0" w:type="dxa"/>
            <w:vAlign w:val="bottom"/>
          </w:tcPr>
          <w:p>
            <w:pPr>
              <w:spacing w:after="0"/>
              <w:rPr>
                <w:sz w:val="1"/>
                <w:szCs w:val="1"/>
                <w:color w:val="auto"/>
              </w:rPr>
            </w:pPr>
          </w:p>
        </w:tc>
      </w:tr>
      <w:tr>
        <w:trPr>
          <w:trHeight w:val="152"/>
        </w:trPr>
        <w:tc>
          <w:tcPr>
            <w:tcW w:w="6380" w:type="dxa"/>
            <w:vAlign w:val="bottom"/>
          </w:tcPr>
          <w:p>
            <w:pPr>
              <w:spacing w:after="0"/>
              <w:rPr>
                <w:sz w:val="20"/>
                <w:szCs w:val="20"/>
                <w:color w:val="auto"/>
              </w:rPr>
            </w:pPr>
            <w:r>
              <w:rPr>
                <w:rFonts w:ascii="Arial" w:cs="Arial" w:eastAsia="Arial" w:hAnsi="Arial"/>
                <w:sz w:val="13"/>
                <w:szCs w:val="13"/>
                <w:color w:val="auto"/>
              </w:rPr>
              <w:t>Net changes in operating assets and liabilities, net of amounts acquired:</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Accounts receivable, net</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w w:val="96"/>
              </w:rPr>
              <w:t>(140,863)</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6"/>
              </w:rPr>
              <w:t>(108,799)</w:t>
            </w:r>
          </w:p>
        </w:tc>
        <w:tc>
          <w:tcPr>
            <w:tcW w:w="0" w:type="dxa"/>
            <w:vAlign w:val="bottom"/>
          </w:tcPr>
          <w:p>
            <w:pPr>
              <w:spacing w:after="0"/>
              <w:rPr>
                <w:sz w:val="1"/>
                <w:szCs w:val="1"/>
                <w:color w:val="auto"/>
              </w:rPr>
            </w:pPr>
          </w:p>
        </w:tc>
      </w:tr>
      <w:tr>
        <w:trPr>
          <w:trHeight w:val="152"/>
        </w:trPr>
        <w:tc>
          <w:tcPr>
            <w:tcW w:w="6380" w:type="dxa"/>
            <w:vAlign w:val="bottom"/>
          </w:tcPr>
          <w:p>
            <w:pPr>
              <w:ind w:left="260"/>
              <w:spacing w:after="0"/>
              <w:rPr>
                <w:sz w:val="20"/>
                <w:szCs w:val="20"/>
                <w:color w:val="auto"/>
              </w:rPr>
            </w:pPr>
            <w:r>
              <w:rPr>
                <w:rFonts w:ascii="Arial" w:cs="Arial" w:eastAsia="Arial" w:hAnsi="Arial"/>
                <w:sz w:val="13"/>
                <w:szCs w:val="13"/>
                <w:color w:val="auto"/>
              </w:rPr>
              <w:t>Prepaid expenses and other current assets</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3,848</w:t>
            </w:r>
          </w:p>
        </w:tc>
        <w:tc>
          <w:tcPr>
            <w:tcW w:w="24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(11,906)</w:t>
            </w:r>
          </w:p>
        </w:tc>
        <w:tc>
          <w:tcPr>
            <w:tcW w:w="0" w:type="dxa"/>
            <w:vAlign w:val="bottom"/>
          </w:tcPr>
          <w:p>
            <w:pPr>
              <w:spacing w:after="0"/>
              <w:rPr>
                <w:sz w:val="1"/>
                <w:szCs w:val="1"/>
                <w:color w:val="auto"/>
              </w:rPr>
            </w:pPr>
          </w:p>
        </w:tc>
      </w:tr>
      <w:tr>
        <w:trPr>
          <w:trHeight w:val="152"/>
        </w:trPr>
        <w:tc>
          <w:tcPr>
            <w:tcW w:w="6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noncurrent assets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3,042</w:t>
            </w:r>
          </w:p>
        </w:tc>
        <w:tc>
          <w:tcPr>
            <w:tcW w:w="2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(10,763)</w:t>
            </w:r>
          </w:p>
        </w:tc>
        <w:tc>
          <w:tcPr>
            <w:tcW w:w="0" w:type="dxa"/>
            <w:vAlign w:val="bottom"/>
          </w:tcPr>
          <w:p>
            <w:pPr>
              <w:spacing w:after="0"/>
              <w:rPr>
                <w:sz w:val="1"/>
                <w:szCs w:val="1"/>
                <w:color w:val="auto"/>
              </w:rPr>
            </w:pPr>
          </w:p>
        </w:tc>
      </w:tr>
      <w:tr>
        <w:trPr>
          <w:trHeight w:val="152"/>
        </w:trPr>
        <w:tc>
          <w:tcPr>
            <w:tcW w:w="6380" w:type="dxa"/>
            <w:vAlign w:val="bottom"/>
          </w:tcPr>
          <w:p>
            <w:pPr>
              <w:ind w:left="260"/>
              <w:spacing w:after="0"/>
              <w:rPr>
                <w:sz w:val="20"/>
                <w:szCs w:val="20"/>
                <w:color w:val="auto"/>
              </w:rPr>
            </w:pPr>
            <w:r>
              <w:rPr>
                <w:rFonts w:ascii="Arial" w:cs="Arial" w:eastAsia="Arial" w:hAnsi="Arial"/>
                <w:sz w:val="13"/>
                <w:szCs w:val="13"/>
                <w:color w:val="auto"/>
              </w:rPr>
              <w:t>Lease assets and liabilities, net</w:t>
            </w:r>
          </w:p>
        </w:tc>
        <w:tc>
          <w:tcPr>
            <w:tcW w:w="760" w:type="dxa"/>
            <w:vAlign w:val="bottom"/>
            <w:gridSpan w:val="3"/>
          </w:tcPr>
          <w:p>
            <w:pPr>
              <w:jc w:val="right"/>
              <w:ind w:right="200"/>
              <w:spacing w:after="0"/>
              <w:rPr>
                <w:sz w:val="20"/>
                <w:szCs w:val="20"/>
                <w:color w:val="auto"/>
              </w:rPr>
            </w:pPr>
            <w:r>
              <w:rPr>
                <w:rFonts w:ascii="Arial" w:cs="Arial" w:eastAsia="Arial" w:hAnsi="Arial"/>
                <w:sz w:val="13"/>
                <w:szCs w:val="13"/>
                <w:color w:val="auto"/>
              </w:rPr>
              <w:t>(67)</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7,522</w:t>
            </w:r>
          </w:p>
        </w:tc>
        <w:tc>
          <w:tcPr>
            <w:tcW w:w="0" w:type="dxa"/>
            <w:vAlign w:val="bottom"/>
          </w:tcPr>
          <w:p>
            <w:pPr>
              <w:spacing w:after="0"/>
              <w:rPr>
                <w:sz w:val="1"/>
                <w:szCs w:val="1"/>
                <w:color w:val="auto"/>
              </w:rPr>
            </w:pPr>
          </w:p>
        </w:tc>
      </w:tr>
      <w:tr>
        <w:trPr>
          <w:trHeight w:val="152"/>
        </w:trPr>
        <w:tc>
          <w:tcPr>
            <w:tcW w:w="6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Accounts payable, accrued expenses and accrued personnel</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(22,006)</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76,427</w:t>
            </w:r>
          </w:p>
        </w:tc>
        <w:tc>
          <w:tcPr>
            <w:tcW w:w="0" w:type="dxa"/>
            <w:vAlign w:val="bottom"/>
          </w:tcPr>
          <w:p>
            <w:pPr>
              <w:spacing w:after="0"/>
              <w:rPr>
                <w:sz w:val="1"/>
                <w:szCs w:val="1"/>
                <w:color w:val="auto"/>
              </w:rPr>
            </w:pPr>
          </w:p>
        </w:tc>
      </w:tr>
      <w:tr>
        <w:trPr>
          <w:trHeight w:val="152"/>
        </w:trPr>
        <w:tc>
          <w:tcPr>
            <w:tcW w:w="6380" w:type="dxa"/>
            <w:vAlign w:val="bottom"/>
          </w:tcPr>
          <w:p>
            <w:pPr>
              <w:ind w:left="260"/>
              <w:spacing w:after="0"/>
              <w:rPr>
                <w:sz w:val="20"/>
                <w:szCs w:val="20"/>
                <w:color w:val="auto"/>
              </w:rPr>
            </w:pPr>
            <w:r>
              <w:rPr>
                <w:rFonts w:ascii="Arial" w:cs="Arial" w:eastAsia="Arial" w:hAnsi="Arial"/>
                <w:sz w:val="13"/>
                <w:szCs w:val="13"/>
                <w:color w:val="auto"/>
              </w:rPr>
              <w:t>Deferred revenue</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102,997</w:t>
            </w:r>
          </w:p>
        </w:tc>
        <w:tc>
          <w:tcPr>
            <w:tcW w:w="2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226,904</w:t>
            </w:r>
          </w:p>
        </w:tc>
        <w:tc>
          <w:tcPr>
            <w:tcW w:w="0" w:type="dxa"/>
            <w:vAlign w:val="bottom"/>
          </w:tcPr>
          <w:p>
            <w:pPr>
              <w:spacing w:after="0"/>
              <w:rPr>
                <w:sz w:val="1"/>
                <w:szCs w:val="1"/>
                <w:color w:val="auto"/>
              </w:rPr>
            </w:pPr>
          </w:p>
        </w:tc>
      </w:tr>
      <w:tr>
        <w:trPr>
          <w:trHeight w:val="152"/>
        </w:trPr>
        <w:tc>
          <w:tcPr>
            <w:tcW w:w="63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Income taxes payable, net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27,378</w:t>
            </w:r>
          </w:p>
        </w:tc>
        <w:tc>
          <w:tcPr>
            <w:tcW w:w="2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41,629</w:t>
            </w:r>
          </w:p>
        </w:tc>
        <w:tc>
          <w:tcPr>
            <w:tcW w:w="0" w:type="dxa"/>
            <w:vAlign w:val="bottom"/>
          </w:tcPr>
          <w:p>
            <w:pPr>
              <w:spacing w:after="0"/>
              <w:rPr>
                <w:sz w:val="1"/>
                <w:szCs w:val="1"/>
                <w:color w:val="auto"/>
              </w:rPr>
            </w:pPr>
          </w:p>
        </w:tc>
      </w:tr>
      <w:tr>
        <w:trPr>
          <w:trHeight w:val="152"/>
        </w:trPr>
        <w:tc>
          <w:tcPr>
            <w:tcW w:w="6380" w:type="dxa"/>
            <w:vAlign w:val="bottom"/>
          </w:tcPr>
          <w:p>
            <w:pPr>
              <w:ind w:left="260"/>
              <w:spacing w:after="0"/>
              <w:rPr>
                <w:sz w:val="20"/>
                <w:szCs w:val="20"/>
                <w:color w:val="auto"/>
              </w:rPr>
            </w:pPr>
            <w:r>
              <w:rPr>
                <w:rFonts w:ascii="Arial" w:cs="Arial" w:eastAsia="Arial" w:hAnsi="Arial"/>
                <w:sz w:val="13"/>
                <w:szCs w:val="13"/>
                <w:color w:val="auto"/>
              </w:rPr>
              <w:t>Other noncurrent liabilities</w:t>
            </w:r>
          </w:p>
        </w:tc>
        <w:tc>
          <w:tcPr>
            <w:tcW w:w="2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15,164</w:t>
            </w:r>
          </w:p>
        </w:tc>
        <w:tc>
          <w:tcPr>
            <w:tcW w:w="24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22,953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Net cash provided by operating activities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372,974</w:t>
            </w:r>
          </w:p>
        </w:tc>
        <w:tc>
          <w:tcPr>
            <w:tcW w:w="2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536,221</w:t>
            </w:r>
          </w:p>
        </w:tc>
        <w:tc>
          <w:tcPr>
            <w:tcW w:w="0" w:type="dxa"/>
            <w:vAlign w:val="bottom"/>
          </w:tcPr>
          <w:p>
            <w:pPr>
              <w:spacing w:after="0"/>
              <w:rPr>
                <w:sz w:val="1"/>
                <w:szCs w:val="1"/>
                <w:color w:val="auto"/>
              </w:rPr>
            </w:pPr>
          </w:p>
        </w:tc>
      </w:tr>
      <w:tr>
        <w:trPr>
          <w:trHeight w:val="151"/>
        </w:trPr>
        <w:tc>
          <w:tcPr>
            <w:tcW w:w="6380" w:type="dxa"/>
            <w:vAlign w:val="bottom"/>
          </w:tcPr>
          <w:p>
            <w:pPr>
              <w:spacing w:after="0"/>
              <w:rPr>
                <w:sz w:val="20"/>
                <w:szCs w:val="20"/>
                <w:color w:val="auto"/>
              </w:rPr>
            </w:pPr>
            <w:r>
              <w:rPr>
                <w:rFonts w:ascii="Arial" w:cs="Arial" w:eastAsia="Arial" w:hAnsi="Arial"/>
                <w:sz w:val="13"/>
                <w:szCs w:val="13"/>
                <w:b w:val="1"/>
                <w:bCs w:val="1"/>
                <w:color w:val="auto"/>
              </w:rPr>
              <w:t>Cash Flow from Investing Activities:</w:t>
            </w:r>
          </w:p>
        </w:tc>
        <w:tc>
          <w:tcPr>
            <w:tcW w:w="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 xml:space="preserve">Purchase of property and equipment, net </w:t>
            </w:r>
            <w:r>
              <w:rPr>
                <w:rFonts w:ascii="Arial" w:cs="Arial" w:eastAsia="Arial" w:hAnsi="Arial"/>
                <w:sz w:val="10"/>
                <w:szCs w:val="10"/>
                <w:b w:val="1"/>
                <w:bCs w:val="1"/>
                <w:color w:val="auto"/>
              </w:rPr>
              <w:t>(c)</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w w:val="96"/>
              </w:rPr>
              <w:t>(104,496)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(99,310)</w:t>
            </w:r>
          </w:p>
        </w:tc>
        <w:tc>
          <w:tcPr>
            <w:tcW w:w="0" w:type="dxa"/>
            <w:vAlign w:val="bottom"/>
          </w:tcPr>
          <w:p>
            <w:pPr>
              <w:spacing w:after="0"/>
              <w:rPr>
                <w:sz w:val="1"/>
                <w:szCs w:val="1"/>
                <w:color w:val="auto"/>
              </w:rPr>
            </w:pPr>
          </w:p>
        </w:tc>
      </w:tr>
      <w:tr>
        <w:trPr>
          <w:trHeight w:val="152"/>
        </w:trPr>
        <w:tc>
          <w:tcPr>
            <w:tcW w:w="6380" w:type="dxa"/>
            <w:vAlign w:val="bottom"/>
          </w:tcPr>
          <w:p>
            <w:pPr>
              <w:spacing w:after="0"/>
              <w:rPr>
                <w:sz w:val="20"/>
                <w:szCs w:val="20"/>
                <w:color w:val="auto"/>
              </w:rPr>
            </w:pPr>
            <w:r>
              <w:rPr>
                <w:rFonts w:ascii="Arial" w:cs="Arial" w:eastAsia="Arial" w:hAnsi="Arial"/>
                <w:sz w:val="13"/>
                <w:szCs w:val="13"/>
                <w:color w:val="auto"/>
              </w:rPr>
              <w:t>Proceeds from sale of short-term interest-bearing investments</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13,142</w:t>
            </w:r>
          </w:p>
        </w:tc>
        <w:tc>
          <w:tcPr>
            <w:tcW w:w="2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4,258</w:t>
            </w:r>
          </w:p>
        </w:tc>
        <w:tc>
          <w:tcPr>
            <w:tcW w:w="0" w:type="dxa"/>
            <w:vAlign w:val="bottom"/>
          </w:tcPr>
          <w:p>
            <w:pPr>
              <w:spacing w:after="0"/>
              <w:rPr>
                <w:sz w:val="1"/>
                <w:szCs w:val="1"/>
                <w:color w:val="auto"/>
              </w:rPr>
            </w:pPr>
          </w:p>
        </w:tc>
      </w:tr>
      <w:tr>
        <w:trPr>
          <w:trHeight w:val="152"/>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Purchase of short-term interest-bearing investments</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(34,275)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6"/>
              </w:rPr>
              <w:t>(200,088)</w:t>
            </w:r>
          </w:p>
        </w:tc>
        <w:tc>
          <w:tcPr>
            <w:tcW w:w="0" w:type="dxa"/>
            <w:vAlign w:val="bottom"/>
          </w:tcPr>
          <w:p>
            <w:pPr>
              <w:spacing w:after="0"/>
              <w:rPr>
                <w:sz w:val="1"/>
                <w:szCs w:val="1"/>
                <w:color w:val="auto"/>
              </w:rPr>
            </w:pPr>
          </w:p>
        </w:tc>
      </w:tr>
      <w:tr>
        <w:trPr>
          <w:trHeight w:val="152"/>
        </w:trPr>
        <w:tc>
          <w:tcPr>
            <w:tcW w:w="6380" w:type="dxa"/>
            <w:vAlign w:val="bottom"/>
          </w:tcPr>
          <w:p>
            <w:pPr>
              <w:spacing w:after="0"/>
              <w:rPr>
                <w:sz w:val="20"/>
                <w:szCs w:val="20"/>
                <w:color w:val="auto"/>
              </w:rPr>
            </w:pPr>
            <w:r>
              <w:rPr>
                <w:rFonts w:ascii="Arial" w:cs="Arial" w:eastAsia="Arial" w:hAnsi="Arial"/>
                <w:sz w:val="13"/>
                <w:szCs w:val="13"/>
                <w:color w:val="auto"/>
              </w:rPr>
              <w:t>Net cash paid for business and intangible assets acquisitions</w:t>
            </w:r>
          </w:p>
        </w:tc>
        <w:tc>
          <w:tcPr>
            <w:tcW w:w="760" w:type="dxa"/>
            <w:vAlign w:val="bottom"/>
            <w:gridSpan w:val="3"/>
          </w:tcPr>
          <w:p>
            <w:pPr>
              <w:jc w:val="right"/>
              <w:ind w:right="200"/>
              <w:spacing w:after="0"/>
              <w:rPr>
                <w:sz w:val="20"/>
                <w:szCs w:val="20"/>
                <w:color w:val="auto"/>
              </w:rPr>
            </w:pPr>
            <w:r>
              <w:rPr>
                <w:rFonts w:ascii="Arial" w:cs="Arial" w:eastAsia="Arial" w:hAnsi="Arial"/>
                <w:sz w:val="13"/>
                <w:szCs w:val="13"/>
                <w:color w:val="auto"/>
              </w:rPr>
              <w:t>(24,497)</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(87,600)</w:t>
            </w:r>
          </w:p>
        </w:tc>
        <w:tc>
          <w:tcPr>
            <w:tcW w:w="0" w:type="dxa"/>
            <w:vAlign w:val="bottom"/>
          </w:tcPr>
          <w:p>
            <w:pPr>
              <w:spacing w:after="0"/>
              <w:rPr>
                <w:sz w:val="1"/>
                <w:szCs w:val="1"/>
                <w:color w:val="auto"/>
              </w:rPr>
            </w:pPr>
          </w:p>
        </w:tc>
      </w:tr>
      <w:tr>
        <w:trPr>
          <w:trHeight w:val="152"/>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Net cash received from sale of a business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10,000</w:t>
            </w:r>
          </w:p>
        </w:tc>
        <w:tc>
          <w:tcPr>
            <w:tcW w:w="2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290,789</w:t>
            </w:r>
          </w:p>
        </w:tc>
        <w:tc>
          <w:tcPr>
            <w:tcW w:w="0" w:type="dxa"/>
            <w:vAlign w:val="bottom"/>
          </w:tcPr>
          <w:p>
            <w:pPr>
              <w:spacing w:after="0"/>
              <w:rPr>
                <w:sz w:val="1"/>
                <w:szCs w:val="1"/>
                <w:color w:val="auto"/>
              </w:rPr>
            </w:pPr>
          </w:p>
        </w:tc>
      </w:tr>
      <w:tr>
        <w:trPr>
          <w:trHeight w:val="152"/>
        </w:trPr>
        <w:tc>
          <w:tcPr>
            <w:tcW w:w="6380" w:type="dxa"/>
            <w:vAlign w:val="bottom"/>
          </w:tcPr>
          <w:p>
            <w:pPr>
              <w:spacing w:after="0"/>
              <w:rPr>
                <w:sz w:val="20"/>
                <w:szCs w:val="20"/>
                <w:color w:val="auto"/>
              </w:rPr>
            </w:pPr>
            <w:r>
              <w:rPr>
                <w:rFonts w:ascii="Arial" w:cs="Arial" w:eastAsia="Arial" w:hAnsi="Arial"/>
                <w:sz w:val="13"/>
                <w:szCs w:val="13"/>
                <w:color w:val="auto"/>
              </w:rPr>
              <w:t>Other</w:t>
            </w:r>
          </w:p>
        </w:tc>
        <w:tc>
          <w:tcPr>
            <w:tcW w:w="2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(2,958)</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562</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investing activities</w:t>
            </w:r>
          </w:p>
        </w:tc>
        <w:tc>
          <w:tcPr>
            <w:tcW w:w="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3"/>
              </w:rPr>
              <w:t>(143,084)</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(91,389)</w:t>
            </w:r>
          </w:p>
        </w:tc>
        <w:tc>
          <w:tcPr>
            <w:tcW w:w="0" w:type="dxa"/>
            <w:vAlign w:val="bottom"/>
          </w:tcPr>
          <w:p>
            <w:pPr>
              <w:spacing w:after="0"/>
              <w:rPr>
                <w:sz w:val="1"/>
                <w:szCs w:val="1"/>
                <w:color w:val="auto"/>
              </w:rPr>
            </w:pPr>
          </w:p>
        </w:tc>
      </w:tr>
      <w:tr>
        <w:trPr>
          <w:trHeight w:val="151"/>
        </w:trPr>
        <w:tc>
          <w:tcPr>
            <w:tcW w:w="6380" w:type="dxa"/>
            <w:vAlign w:val="bottom"/>
          </w:tcPr>
          <w:p>
            <w:pPr>
              <w:spacing w:after="0"/>
              <w:rPr>
                <w:sz w:val="20"/>
                <w:szCs w:val="20"/>
                <w:color w:val="auto"/>
              </w:rPr>
            </w:pPr>
            <w:r>
              <w:rPr>
                <w:rFonts w:ascii="Arial" w:cs="Arial" w:eastAsia="Arial" w:hAnsi="Arial"/>
                <w:sz w:val="13"/>
                <w:szCs w:val="13"/>
                <w:b w:val="1"/>
                <w:bCs w:val="1"/>
                <w:color w:val="auto"/>
              </w:rPr>
              <w:t>Cash Flow from Financing Activities:</w:t>
            </w:r>
          </w:p>
        </w:tc>
        <w:tc>
          <w:tcPr>
            <w:tcW w:w="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Repurchase of shares</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w w:val="96"/>
              </w:rPr>
              <w:t>(300,929)</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6"/>
              </w:rPr>
              <w:t>(450,074)</w:t>
            </w:r>
          </w:p>
        </w:tc>
        <w:tc>
          <w:tcPr>
            <w:tcW w:w="0" w:type="dxa"/>
            <w:vAlign w:val="bottom"/>
          </w:tcPr>
          <w:p>
            <w:pPr>
              <w:spacing w:after="0"/>
              <w:rPr>
                <w:sz w:val="1"/>
                <w:szCs w:val="1"/>
                <w:color w:val="auto"/>
              </w:rPr>
            </w:pPr>
          </w:p>
        </w:tc>
      </w:tr>
      <w:tr>
        <w:trPr>
          <w:trHeight w:val="152"/>
        </w:trPr>
        <w:tc>
          <w:tcPr>
            <w:tcW w:w="6380" w:type="dxa"/>
            <w:vAlign w:val="bottom"/>
          </w:tcPr>
          <w:p>
            <w:pPr>
              <w:spacing w:after="0"/>
              <w:rPr>
                <w:sz w:val="20"/>
                <w:szCs w:val="20"/>
                <w:color w:val="auto"/>
              </w:rPr>
            </w:pPr>
            <w:r>
              <w:rPr>
                <w:rFonts w:ascii="Arial" w:cs="Arial" w:eastAsia="Arial" w:hAnsi="Arial"/>
                <w:sz w:val="13"/>
                <w:szCs w:val="13"/>
                <w:color w:val="auto"/>
              </w:rPr>
              <w:t>Proceeds from employee stock options exercises</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50,550</w:t>
            </w:r>
          </w:p>
        </w:tc>
        <w:tc>
          <w:tcPr>
            <w:tcW w:w="240" w:type="dxa"/>
            <w:vAlign w:val="bottom"/>
          </w:tcPr>
          <w:p>
            <w:pPr>
              <w:spacing w:after="0"/>
              <w:rPr>
                <w:sz w:val="13"/>
                <w:szCs w:val="1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78,438</w:t>
            </w:r>
          </w:p>
        </w:tc>
        <w:tc>
          <w:tcPr>
            <w:tcW w:w="0" w:type="dxa"/>
            <w:vAlign w:val="bottom"/>
          </w:tcPr>
          <w:p>
            <w:pPr>
              <w:spacing w:after="0"/>
              <w:rPr>
                <w:sz w:val="1"/>
                <w:szCs w:val="1"/>
                <w:color w:val="auto"/>
              </w:rPr>
            </w:pPr>
          </w:p>
        </w:tc>
      </w:tr>
      <w:tr>
        <w:trPr>
          <w:trHeight w:val="152"/>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Payments of dividends</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(89,366)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(85,934)</w:t>
            </w:r>
          </w:p>
        </w:tc>
        <w:tc>
          <w:tcPr>
            <w:tcW w:w="0" w:type="dxa"/>
            <w:vAlign w:val="bottom"/>
          </w:tcPr>
          <w:p>
            <w:pPr>
              <w:spacing w:after="0"/>
              <w:rPr>
                <w:sz w:val="1"/>
                <w:szCs w:val="1"/>
                <w:color w:val="auto"/>
              </w:rPr>
            </w:pPr>
          </w:p>
        </w:tc>
      </w:tr>
      <w:tr>
        <w:trPr>
          <w:trHeight w:val="152"/>
        </w:trPr>
        <w:tc>
          <w:tcPr>
            <w:tcW w:w="6380" w:type="dxa"/>
            <w:vAlign w:val="bottom"/>
          </w:tcPr>
          <w:p>
            <w:pPr>
              <w:spacing w:after="0"/>
              <w:rPr>
                <w:sz w:val="20"/>
                <w:szCs w:val="20"/>
                <w:color w:val="auto"/>
              </w:rPr>
            </w:pPr>
            <w:r>
              <w:rPr>
                <w:rFonts w:ascii="Arial" w:cs="Arial" w:eastAsia="Arial" w:hAnsi="Arial"/>
                <w:sz w:val="13"/>
                <w:szCs w:val="13"/>
                <w:color w:val="auto"/>
              </w:rPr>
              <w:t>Payment of contingent consideration from a business acquisition</w:t>
            </w:r>
          </w:p>
        </w:tc>
        <w:tc>
          <w:tcPr>
            <w:tcW w:w="2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(6,153)</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(1,462)</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financing activities</w:t>
            </w:r>
          </w:p>
        </w:tc>
        <w:tc>
          <w:tcPr>
            <w:tcW w:w="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3"/>
              </w:rPr>
              <w:t>(345,898)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w w:val="96"/>
              </w:rPr>
              <w:t>(459,032)</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3"/>
                <w:szCs w:val="13"/>
                <w:color w:val="auto"/>
              </w:rPr>
              <w:t>Net decrease in cash and cash equivalents</w:t>
            </w: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3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w w:val="93"/>
              </w:rPr>
              <w:t>(116,008)</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(14,200)</w:t>
            </w:r>
          </w:p>
        </w:tc>
        <w:tc>
          <w:tcPr>
            <w:tcW w:w="0" w:type="dxa"/>
            <w:vAlign w:val="bottom"/>
          </w:tcPr>
          <w:p>
            <w:pPr>
              <w:spacing w:after="0"/>
              <w:rPr>
                <w:sz w:val="1"/>
                <w:szCs w:val="1"/>
                <w:color w:val="auto"/>
              </w:rPr>
            </w:pPr>
          </w:p>
        </w:tc>
      </w:tr>
      <w:tr>
        <w:trPr>
          <w:trHeight w:val="152"/>
        </w:trPr>
        <w:tc>
          <w:tcPr>
            <w:tcW w:w="638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2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709,064</w:t>
            </w:r>
          </w:p>
        </w:tc>
        <w:tc>
          <w:tcPr>
            <w:tcW w:w="24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983,188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6380" w:type="dxa"/>
            <w:vAlign w:val="bottom"/>
          </w:tcPr>
          <w:p>
            <w:pPr>
              <w:spacing w:after="0"/>
              <w:rPr>
                <w:sz w:val="20"/>
                <w:szCs w:val="20"/>
                <w:color w:val="auto"/>
              </w:rPr>
            </w:pPr>
            <w:r>
              <w:rPr>
                <w:rFonts w:ascii="Arial" w:cs="Arial" w:eastAsia="Arial" w:hAnsi="Arial"/>
                <w:sz w:val="13"/>
                <w:szCs w:val="13"/>
                <w:color w:val="auto"/>
              </w:rPr>
              <w:t>Cash and cash equivalents at end of period</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86"/>
              </w:rPr>
              <w:t>$ 593,056</w:t>
            </w:r>
          </w:p>
        </w:tc>
        <w:tc>
          <w:tcPr>
            <w:tcW w:w="24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6"/>
              </w:rPr>
              <w:t>$ 968,988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31" w:right="1440"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AMDOCS LIMITED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Supplementary Information</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 millions)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4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5"/>
          </w:tcPr>
          <w:p>
            <w:pPr>
              <w:jc w:val="center"/>
              <w:ind w:left="323"/>
              <w:spacing w:after="0"/>
              <w:rPr>
                <w:sz w:val="20"/>
                <w:szCs w:val="20"/>
                <w:color w:val="auto"/>
              </w:rPr>
            </w:pPr>
            <w:r>
              <w:rPr>
                <w:rFonts w:ascii="Arial" w:cs="Arial" w:eastAsia="Arial" w:hAnsi="Arial"/>
                <w:sz w:val="10"/>
                <w:szCs w:val="10"/>
                <w:b w:val="1"/>
                <w:bCs w:val="1"/>
                <w:color w:val="auto"/>
                <w:w w:val="89"/>
              </w:rPr>
              <w:t>Three months ended</w:t>
            </w: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4400" w:type="dxa"/>
            <w:vAlign w:val="bottom"/>
          </w:tcPr>
          <w:p>
            <w:pPr>
              <w:spacing w:after="0"/>
              <w:rPr>
                <w:sz w:val="6"/>
                <w:szCs w:val="6"/>
                <w:color w:val="auto"/>
              </w:rPr>
            </w:pPr>
          </w:p>
        </w:tc>
        <w:tc>
          <w:tcPr>
            <w:tcW w:w="540" w:type="dxa"/>
            <w:vAlign w:val="bottom"/>
            <w:gridSpan w:val="3"/>
          </w:tcPr>
          <w:p>
            <w:pPr>
              <w:spacing w:after="0" w:line="79" w:lineRule="exact"/>
              <w:rPr>
                <w:sz w:val="20"/>
                <w:szCs w:val="20"/>
                <w:color w:val="auto"/>
              </w:rPr>
            </w:pPr>
            <w:r>
              <w:rPr>
                <w:rFonts w:ascii="Arial" w:cs="Arial" w:eastAsia="Arial" w:hAnsi="Arial"/>
                <w:sz w:val="9"/>
                <w:szCs w:val="9"/>
                <w:b w:val="1"/>
                <w:bCs w:val="1"/>
                <w:color w:val="auto"/>
              </w:rPr>
              <w:t>March 31,</w:t>
            </w:r>
          </w:p>
        </w:tc>
        <w:tc>
          <w:tcPr>
            <w:tcW w:w="80" w:type="dxa"/>
            <w:vAlign w:val="bottom"/>
          </w:tcPr>
          <w:p>
            <w:pPr>
              <w:spacing w:after="0"/>
              <w:rPr>
                <w:sz w:val="6"/>
                <w:szCs w:val="6"/>
                <w:color w:val="auto"/>
              </w:rPr>
            </w:pPr>
          </w:p>
        </w:tc>
        <w:tc>
          <w:tcPr>
            <w:tcW w:w="600" w:type="dxa"/>
            <w:vAlign w:val="bottom"/>
            <w:gridSpan w:val="2"/>
          </w:tcPr>
          <w:p>
            <w:pPr>
              <w:ind w:left="20"/>
              <w:spacing w:after="0" w:line="79" w:lineRule="exact"/>
              <w:rPr>
                <w:sz w:val="20"/>
                <w:szCs w:val="20"/>
                <w:color w:val="auto"/>
              </w:rPr>
            </w:pPr>
            <w:r>
              <w:rPr>
                <w:rFonts w:ascii="Arial" w:cs="Arial" w:eastAsia="Arial" w:hAnsi="Arial"/>
                <w:sz w:val="9"/>
                <w:szCs w:val="9"/>
                <w:b w:val="1"/>
                <w:bCs w:val="1"/>
                <w:color w:val="auto"/>
                <w:w w:val="95"/>
              </w:rPr>
              <w:t>December 31,</w:t>
            </w:r>
          </w:p>
        </w:tc>
        <w:tc>
          <w:tcPr>
            <w:tcW w:w="180" w:type="dxa"/>
            <w:vAlign w:val="bottom"/>
          </w:tcPr>
          <w:p>
            <w:pPr>
              <w:spacing w:after="0"/>
              <w:rPr>
                <w:sz w:val="6"/>
                <w:szCs w:val="6"/>
                <w:color w:val="auto"/>
              </w:rPr>
            </w:pPr>
          </w:p>
        </w:tc>
        <w:tc>
          <w:tcPr>
            <w:tcW w:w="740" w:type="dxa"/>
            <w:vAlign w:val="bottom"/>
            <w:gridSpan w:val="3"/>
          </w:tcPr>
          <w:p>
            <w:pPr>
              <w:spacing w:after="0" w:line="79" w:lineRule="exact"/>
              <w:rPr>
                <w:sz w:val="20"/>
                <w:szCs w:val="20"/>
                <w:color w:val="auto"/>
              </w:rPr>
            </w:pPr>
            <w:r>
              <w:rPr>
                <w:rFonts w:ascii="Arial" w:cs="Arial" w:eastAsia="Arial" w:hAnsi="Arial"/>
                <w:sz w:val="9"/>
                <w:szCs w:val="9"/>
                <w:b w:val="1"/>
                <w:bCs w:val="1"/>
                <w:color w:val="auto"/>
              </w:rPr>
              <w:t>September 30,</w:t>
            </w:r>
          </w:p>
        </w:tc>
        <w:tc>
          <w:tcPr>
            <w:tcW w:w="80" w:type="dxa"/>
            <w:vAlign w:val="bottom"/>
          </w:tcPr>
          <w:p>
            <w:pPr>
              <w:spacing w:after="0"/>
              <w:rPr>
                <w:sz w:val="6"/>
                <w:szCs w:val="6"/>
                <w:color w:val="auto"/>
              </w:rPr>
            </w:pPr>
          </w:p>
        </w:tc>
        <w:tc>
          <w:tcPr>
            <w:tcW w:w="540" w:type="dxa"/>
            <w:vAlign w:val="bottom"/>
            <w:gridSpan w:val="3"/>
          </w:tcPr>
          <w:p>
            <w:pPr>
              <w:jc w:val="center"/>
              <w:ind w:right="100"/>
              <w:spacing w:after="0" w:line="79" w:lineRule="exact"/>
              <w:rPr>
                <w:sz w:val="20"/>
                <w:szCs w:val="20"/>
                <w:color w:val="auto"/>
              </w:rPr>
            </w:pPr>
            <w:r>
              <w:rPr>
                <w:rFonts w:ascii="Arial" w:cs="Arial" w:eastAsia="Arial" w:hAnsi="Arial"/>
                <w:sz w:val="9"/>
                <w:szCs w:val="9"/>
                <w:b w:val="1"/>
                <w:bCs w:val="1"/>
                <w:color w:val="auto"/>
                <w:w w:val="99"/>
              </w:rPr>
              <w:t>June 30,</w:t>
            </w:r>
          </w:p>
        </w:tc>
        <w:tc>
          <w:tcPr>
            <w:tcW w:w="80" w:type="dxa"/>
            <w:vAlign w:val="bottom"/>
          </w:tcPr>
          <w:p>
            <w:pPr>
              <w:spacing w:after="0"/>
              <w:rPr>
                <w:sz w:val="6"/>
                <w:szCs w:val="6"/>
                <w:color w:val="auto"/>
              </w:rPr>
            </w:pPr>
          </w:p>
        </w:tc>
        <w:tc>
          <w:tcPr>
            <w:tcW w:w="460" w:type="dxa"/>
            <w:vAlign w:val="bottom"/>
            <w:gridSpan w:val="2"/>
          </w:tcPr>
          <w:p>
            <w:pPr>
              <w:spacing w:after="0" w:line="79" w:lineRule="exact"/>
              <w:rPr>
                <w:sz w:val="20"/>
                <w:szCs w:val="20"/>
                <w:color w:val="auto"/>
              </w:rPr>
            </w:pPr>
            <w:r>
              <w:rPr>
                <w:rFonts w:ascii="Arial" w:cs="Arial" w:eastAsia="Arial" w:hAnsi="Arial"/>
                <w:sz w:val="9"/>
                <w:szCs w:val="9"/>
                <w:b w:val="1"/>
                <w:bCs w:val="1"/>
                <w:color w:val="auto"/>
              </w:rPr>
              <w:t>March 31,</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44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98"/>
              </w:rPr>
              <w:t>2022</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3"/>
              <w:spacing w:after="0"/>
              <w:rPr>
                <w:sz w:val="20"/>
                <w:szCs w:val="20"/>
                <w:color w:val="auto"/>
              </w:rPr>
            </w:pPr>
            <w:r>
              <w:rPr>
                <w:rFonts w:ascii="Arial" w:cs="Arial" w:eastAsia="Arial" w:hAnsi="Arial"/>
                <w:sz w:val="10"/>
                <w:szCs w:val="10"/>
                <w:b w:val="1"/>
                <w:bCs w:val="1"/>
                <w:color w:val="auto"/>
              </w:rPr>
              <w:t>2021</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2021</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ind w:right="1"/>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98"/>
              </w:rPr>
              <w:t>2021</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4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North America</w:t>
            </w:r>
          </w:p>
        </w:tc>
        <w:tc>
          <w:tcPr>
            <w:tcW w:w="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772.2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745.5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722.8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686.1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679.1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4400" w:type="dxa"/>
            <w:vAlign w:val="bottom"/>
          </w:tcPr>
          <w:p>
            <w:pPr>
              <w:spacing w:after="0"/>
              <w:rPr>
                <w:sz w:val="20"/>
                <w:szCs w:val="20"/>
                <w:color w:val="auto"/>
              </w:rPr>
            </w:pPr>
            <w:r>
              <w:rPr>
                <w:rFonts w:ascii="Arial" w:cs="Arial" w:eastAsia="Arial" w:hAnsi="Arial"/>
                <w:sz w:val="13"/>
                <w:szCs w:val="13"/>
                <w:color w:val="auto"/>
              </w:rPr>
              <w:t>Europe</w:t>
            </w:r>
          </w:p>
        </w:tc>
        <w:tc>
          <w:tcPr>
            <w:tcW w:w="8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147.2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142.5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146.8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155.7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148.8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Rest of the World</w:t>
            </w: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216.6</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217.7</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224.5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3"/>
                <w:szCs w:val="13"/>
                <w:color w:val="auto"/>
              </w:rPr>
              <w:t>Total Revenue</w:t>
            </w:r>
          </w:p>
        </w:tc>
        <w:tc>
          <w:tcPr>
            <w:tcW w:w="4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400" w:type="dxa"/>
            <w:vAlign w:val="bottom"/>
            <w:vMerge w:val="continue"/>
          </w:tcPr>
          <w:p>
            <w:pPr>
              <w:spacing w:after="0"/>
              <w:rPr>
                <w:sz w:val="13"/>
                <w:szCs w:val="13"/>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3"/>
                <w:szCs w:val="13"/>
                <w:u w:val="single" w:color="auto"/>
                <w:color w:val="auto"/>
                <w:w w:val="82"/>
              </w:rPr>
              <w:t>$</w:t>
            </w:r>
            <w:r>
              <w:rPr>
                <w:rFonts w:ascii="Arial" w:cs="Arial" w:eastAsia="Arial" w:hAnsi="Arial"/>
                <w:sz w:val="13"/>
                <w:szCs w:val="13"/>
                <w:color w:val="auto"/>
                <w:w w:val="82"/>
              </w:rPr>
              <w:t>1,145.3</w:t>
            </w:r>
          </w:p>
        </w:tc>
        <w:tc>
          <w:tcPr>
            <w:tcW w:w="2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1,104.6</w:t>
            </w:r>
          </w:p>
        </w:tc>
        <w:tc>
          <w:tcPr>
            <w:tcW w:w="28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1,087.3</w:t>
            </w:r>
          </w:p>
        </w:tc>
        <w:tc>
          <w:tcPr>
            <w:tcW w:w="140" w:type="dxa"/>
            <w:vAlign w:val="bottom"/>
            <w:gridSpan w:val="2"/>
          </w:tcPr>
          <w:p>
            <w:pPr>
              <w:jc w:val="right"/>
              <w:spacing w:after="0"/>
              <w:rPr>
                <w:sz w:val="20"/>
                <w:szCs w:val="20"/>
                <w:color w:val="auto"/>
              </w:rPr>
            </w:pPr>
            <w:r>
              <w:rPr>
                <w:rFonts w:ascii="Arial" w:cs="Arial" w:eastAsia="Arial" w:hAnsi="Arial"/>
                <w:sz w:val="13"/>
                <w:szCs w:val="13"/>
                <w:u w:val="single" w:color="auto"/>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82"/>
              </w:rPr>
              <w:t>1,066.3</w:t>
            </w:r>
          </w:p>
        </w:tc>
        <w:tc>
          <w:tcPr>
            <w:tcW w:w="100" w:type="dxa"/>
            <w:vAlign w:val="bottom"/>
          </w:tcPr>
          <w:p>
            <w:pPr>
              <w:spacing w:after="0"/>
              <w:rPr>
                <w:sz w:val="13"/>
                <w:szCs w:val="13"/>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1,048.7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4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40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gridSpan w:val="5"/>
          </w:tcPr>
          <w:p>
            <w:pPr>
              <w:jc w:val="center"/>
              <w:ind w:left="323"/>
              <w:spacing w:after="0"/>
              <w:rPr>
                <w:sz w:val="20"/>
                <w:szCs w:val="20"/>
                <w:color w:val="auto"/>
              </w:rPr>
            </w:pPr>
            <w:r>
              <w:rPr>
                <w:rFonts w:ascii="Arial" w:cs="Arial" w:eastAsia="Arial" w:hAnsi="Arial"/>
                <w:sz w:val="10"/>
                <w:szCs w:val="10"/>
                <w:b w:val="1"/>
                <w:bCs w:val="1"/>
                <w:color w:val="auto"/>
                <w:w w:val="89"/>
              </w:rPr>
              <w:t>Three months ended</w:t>
            </w:r>
          </w:p>
        </w:tc>
        <w:tc>
          <w:tcPr>
            <w:tcW w:w="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
        </w:trPr>
        <w:tc>
          <w:tcPr>
            <w:tcW w:w="4400" w:type="dxa"/>
            <w:vAlign w:val="bottom"/>
          </w:tcPr>
          <w:p>
            <w:pPr>
              <w:spacing w:after="0"/>
              <w:rPr>
                <w:sz w:val="6"/>
                <w:szCs w:val="6"/>
                <w:color w:val="auto"/>
              </w:rPr>
            </w:pPr>
          </w:p>
        </w:tc>
        <w:tc>
          <w:tcPr>
            <w:tcW w:w="540" w:type="dxa"/>
            <w:vAlign w:val="bottom"/>
            <w:gridSpan w:val="3"/>
          </w:tcPr>
          <w:p>
            <w:pPr>
              <w:spacing w:after="0" w:line="79" w:lineRule="exact"/>
              <w:rPr>
                <w:sz w:val="20"/>
                <w:szCs w:val="20"/>
                <w:color w:val="auto"/>
              </w:rPr>
            </w:pPr>
            <w:r>
              <w:rPr>
                <w:rFonts w:ascii="Arial" w:cs="Arial" w:eastAsia="Arial" w:hAnsi="Arial"/>
                <w:sz w:val="9"/>
                <w:szCs w:val="9"/>
                <w:b w:val="1"/>
                <w:bCs w:val="1"/>
                <w:color w:val="auto"/>
              </w:rPr>
              <w:t>March 31,</w:t>
            </w:r>
          </w:p>
        </w:tc>
        <w:tc>
          <w:tcPr>
            <w:tcW w:w="80" w:type="dxa"/>
            <w:vAlign w:val="bottom"/>
          </w:tcPr>
          <w:p>
            <w:pPr>
              <w:spacing w:after="0"/>
              <w:rPr>
                <w:sz w:val="6"/>
                <w:szCs w:val="6"/>
                <w:color w:val="auto"/>
              </w:rPr>
            </w:pPr>
          </w:p>
        </w:tc>
        <w:tc>
          <w:tcPr>
            <w:tcW w:w="600" w:type="dxa"/>
            <w:vAlign w:val="bottom"/>
            <w:gridSpan w:val="2"/>
          </w:tcPr>
          <w:p>
            <w:pPr>
              <w:ind w:left="20"/>
              <w:spacing w:after="0" w:line="79" w:lineRule="exact"/>
              <w:rPr>
                <w:sz w:val="20"/>
                <w:szCs w:val="20"/>
                <w:color w:val="auto"/>
              </w:rPr>
            </w:pPr>
            <w:r>
              <w:rPr>
                <w:rFonts w:ascii="Arial" w:cs="Arial" w:eastAsia="Arial" w:hAnsi="Arial"/>
                <w:sz w:val="9"/>
                <w:szCs w:val="9"/>
                <w:b w:val="1"/>
                <w:bCs w:val="1"/>
                <w:color w:val="auto"/>
                <w:w w:val="95"/>
              </w:rPr>
              <w:t>December 31,</w:t>
            </w:r>
          </w:p>
        </w:tc>
        <w:tc>
          <w:tcPr>
            <w:tcW w:w="180" w:type="dxa"/>
            <w:vAlign w:val="bottom"/>
          </w:tcPr>
          <w:p>
            <w:pPr>
              <w:spacing w:after="0"/>
              <w:rPr>
                <w:sz w:val="6"/>
                <w:szCs w:val="6"/>
                <w:color w:val="auto"/>
              </w:rPr>
            </w:pPr>
          </w:p>
        </w:tc>
        <w:tc>
          <w:tcPr>
            <w:tcW w:w="740" w:type="dxa"/>
            <w:vAlign w:val="bottom"/>
            <w:gridSpan w:val="3"/>
          </w:tcPr>
          <w:p>
            <w:pPr>
              <w:spacing w:after="0" w:line="79" w:lineRule="exact"/>
              <w:rPr>
                <w:sz w:val="20"/>
                <w:szCs w:val="20"/>
                <w:color w:val="auto"/>
              </w:rPr>
            </w:pPr>
            <w:r>
              <w:rPr>
                <w:rFonts w:ascii="Arial" w:cs="Arial" w:eastAsia="Arial" w:hAnsi="Arial"/>
                <w:sz w:val="9"/>
                <w:szCs w:val="9"/>
                <w:b w:val="1"/>
                <w:bCs w:val="1"/>
                <w:color w:val="auto"/>
              </w:rPr>
              <w:t>September 30,</w:t>
            </w:r>
          </w:p>
        </w:tc>
        <w:tc>
          <w:tcPr>
            <w:tcW w:w="80" w:type="dxa"/>
            <w:vAlign w:val="bottom"/>
          </w:tcPr>
          <w:p>
            <w:pPr>
              <w:spacing w:after="0"/>
              <w:rPr>
                <w:sz w:val="6"/>
                <w:szCs w:val="6"/>
                <w:color w:val="auto"/>
              </w:rPr>
            </w:pPr>
          </w:p>
        </w:tc>
        <w:tc>
          <w:tcPr>
            <w:tcW w:w="540" w:type="dxa"/>
            <w:vAlign w:val="bottom"/>
            <w:gridSpan w:val="3"/>
          </w:tcPr>
          <w:p>
            <w:pPr>
              <w:jc w:val="center"/>
              <w:ind w:right="100"/>
              <w:spacing w:after="0" w:line="79" w:lineRule="exact"/>
              <w:rPr>
                <w:sz w:val="20"/>
                <w:szCs w:val="20"/>
                <w:color w:val="auto"/>
              </w:rPr>
            </w:pPr>
            <w:r>
              <w:rPr>
                <w:rFonts w:ascii="Arial" w:cs="Arial" w:eastAsia="Arial" w:hAnsi="Arial"/>
                <w:sz w:val="9"/>
                <w:szCs w:val="9"/>
                <w:b w:val="1"/>
                <w:bCs w:val="1"/>
                <w:color w:val="auto"/>
                <w:w w:val="99"/>
              </w:rPr>
              <w:t>June 30,</w:t>
            </w:r>
          </w:p>
        </w:tc>
        <w:tc>
          <w:tcPr>
            <w:tcW w:w="80" w:type="dxa"/>
            <w:vAlign w:val="bottom"/>
          </w:tcPr>
          <w:p>
            <w:pPr>
              <w:spacing w:after="0"/>
              <w:rPr>
                <w:sz w:val="6"/>
                <w:szCs w:val="6"/>
                <w:color w:val="auto"/>
              </w:rPr>
            </w:pPr>
          </w:p>
        </w:tc>
        <w:tc>
          <w:tcPr>
            <w:tcW w:w="460" w:type="dxa"/>
            <w:vAlign w:val="bottom"/>
            <w:gridSpan w:val="2"/>
          </w:tcPr>
          <w:p>
            <w:pPr>
              <w:spacing w:after="0" w:line="79" w:lineRule="exact"/>
              <w:rPr>
                <w:sz w:val="20"/>
                <w:szCs w:val="20"/>
                <w:color w:val="auto"/>
              </w:rPr>
            </w:pPr>
            <w:r>
              <w:rPr>
                <w:rFonts w:ascii="Arial" w:cs="Arial" w:eastAsia="Arial" w:hAnsi="Arial"/>
                <w:sz w:val="9"/>
                <w:szCs w:val="9"/>
                <w:b w:val="1"/>
                <w:bCs w:val="1"/>
                <w:color w:val="auto"/>
              </w:rPr>
              <w:t>March 31,</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44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98"/>
              </w:rPr>
              <w:t>2022</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3"/>
              <w:spacing w:after="0"/>
              <w:rPr>
                <w:sz w:val="20"/>
                <w:szCs w:val="20"/>
                <w:color w:val="auto"/>
              </w:rPr>
            </w:pPr>
            <w:r>
              <w:rPr>
                <w:rFonts w:ascii="Arial" w:cs="Arial" w:eastAsia="Arial" w:hAnsi="Arial"/>
                <w:sz w:val="10"/>
                <w:szCs w:val="10"/>
                <w:b w:val="1"/>
                <w:bCs w:val="1"/>
                <w:color w:val="auto"/>
              </w:rPr>
              <w:t>2021</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2021</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ind w:right="1"/>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98"/>
              </w:rPr>
              <w:t>2021</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4400" w:type="dxa"/>
            <w:vAlign w:val="bottom"/>
            <w:shd w:val="clear" w:color="auto" w:fill="CCEEFF"/>
          </w:tcPr>
          <w:p>
            <w:pPr>
              <w:spacing w:after="0" w:line="132" w:lineRule="exact"/>
              <w:rPr>
                <w:sz w:val="20"/>
                <w:szCs w:val="20"/>
                <w:color w:val="auto"/>
              </w:rPr>
            </w:pPr>
            <w:r>
              <w:rPr>
                <w:rFonts w:ascii="Arial" w:cs="Arial" w:eastAsia="Arial" w:hAnsi="Arial"/>
                <w:sz w:val="13"/>
                <w:szCs w:val="13"/>
                <w:color w:val="auto"/>
              </w:rPr>
              <w:t>Managed Services</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4400" w:type="dxa"/>
            <w:vAlign w:val="bottom"/>
          </w:tcPr>
          <w:p>
            <w:pPr>
              <w:spacing w:after="0"/>
              <w:rPr>
                <w:sz w:val="20"/>
                <w:szCs w:val="20"/>
                <w:color w:val="auto"/>
              </w:rPr>
            </w:pPr>
            <w:r>
              <w:rPr>
                <w:rFonts w:ascii="Arial" w:cs="Arial" w:eastAsia="Arial" w:hAnsi="Arial"/>
                <w:sz w:val="13"/>
                <w:szCs w:val="13"/>
                <w:color w:val="auto"/>
              </w:rPr>
              <w:t>Revenue</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663.4</w:t>
            </w:r>
          </w:p>
        </w:tc>
        <w:tc>
          <w:tcPr>
            <w:tcW w:w="2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659.7</w:t>
            </w:r>
          </w:p>
        </w:tc>
        <w:tc>
          <w:tcPr>
            <w:tcW w:w="28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637.5</w:t>
            </w:r>
          </w:p>
        </w:tc>
        <w:tc>
          <w:tcPr>
            <w:tcW w:w="1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650.5</w:t>
            </w:r>
          </w:p>
        </w:tc>
        <w:tc>
          <w:tcPr>
            <w:tcW w:w="18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634.6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440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center"/>
              <w:ind w:right="162"/>
              <w:spacing w:after="0"/>
              <w:rPr>
                <w:sz w:val="20"/>
                <w:szCs w:val="20"/>
                <w:color w:val="auto"/>
              </w:rPr>
            </w:pPr>
            <w:r>
              <w:rPr>
                <w:rFonts w:ascii="Arial" w:cs="Arial" w:eastAsia="Arial" w:hAnsi="Arial"/>
                <w:sz w:val="10"/>
                <w:szCs w:val="10"/>
                <w:b w:val="1"/>
                <w:bCs w:val="1"/>
                <w:color w:val="auto"/>
                <w:w w:val="87"/>
              </w:rPr>
              <w:t>As of</w:t>
            </w: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9"/>
        </w:trPr>
        <w:tc>
          <w:tcPr>
            <w:tcW w:w="4400" w:type="dxa"/>
            <w:vAlign w:val="bottom"/>
          </w:tcPr>
          <w:p>
            <w:pPr>
              <w:spacing w:after="0"/>
              <w:rPr>
                <w:sz w:val="6"/>
                <w:szCs w:val="6"/>
                <w:color w:val="auto"/>
              </w:rPr>
            </w:pPr>
          </w:p>
        </w:tc>
        <w:tc>
          <w:tcPr>
            <w:tcW w:w="540" w:type="dxa"/>
            <w:vAlign w:val="bottom"/>
            <w:gridSpan w:val="3"/>
          </w:tcPr>
          <w:p>
            <w:pPr>
              <w:spacing w:after="0" w:line="79" w:lineRule="exact"/>
              <w:rPr>
                <w:sz w:val="20"/>
                <w:szCs w:val="20"/>
                <w:color w:val="auto"/>
              </w:rPr>
            </w:pPr>
            <w:r>
              <w:rPr>
                <w:rFonts w:ascii="Arial" w:cs="Arial" w:eastAsia="Arial" w:hAnsi="Arial"/>
                <w:sz w:val="9"/>
                <w:szCs w:val="9"/>
                <w:b w:val="1"/>
                <w:bCs w:val="1"/>
                <w:color w:val="auto"/>
              </w:rPr>
              <w:t>March 31,</w:t>
            </w:r>
          </w:p>
        </w:tc>
        <w:tc>
          <w:tcPr>
            <w:tcW w:w="80" w:type="dxa"/>
            <w:vAlign w:val="bottom"/>
          </w:tcPr>
          <w:p>
            <w:pPr>
              <w:spacing w:after="0"/>
              <w:rPr>
                <w:sz w:val="6"/>
                <w:szCs w:val="6"/>
                <w:color w:val="auto"/>
              </w:rPr>
            </w:pPr>
          </w:p>
        </w:tc>
        <w:tc>
          <w:tcPr>
            <w:tcW w:w="600" w:type="dxa"/>
            <w:vAlign w:val="bottom"/>
            <w:gridSpan w:val="2"/>
          </w:tcPr>
          <w:p>
            <w:pPr>
              <w:ind w:left="20"/>
              <w:spacing w:after="0" w:line="79" w:lineRule="exact"/>
              <w:rPr>
                <w:sz w:val="20"/>
                <w:szCs w:val="20"/>
                <w:color w:val="auto"/>
              </w:rPr>
            </w:pPr>
            <w:r>
              <w:rPr>
                <w:rFonts w:ascii="Arial" w:cs="Arial" w:eastAsia="Arial" w:hAnsi="Arial"/>
                <w:sz w:val="9"/>
                <w:szCs w:val="9"/>
                <w:b w:val="1"/>
                <w:bCs w:val="1"/>
                <w:color w:val="auto"/>
                <w:w w:val="95"/>
              </w:rPr>
              <w:t>December 31,</w:t>
            </w:r>
          </w:p>
        </w:tc>
        <w:tc>
          <w:tcPr>
            <w:tcW w:w="180" w:type="dxa"/>
            <w:vAlign w:val="bottom"/>
          </w:tcPr>
          <w:p>
            <w:pPr>
              <w:spacing w:after="0"/>
              <w:rPr>
                <w:sz w:val="6"/>
                <w:szCs w:val="6"/>
                <w:color w:val="auto"/>
              </w:rPr>
            </w:pPr>
          </w:p>
        </w:tc>
        <w:tc>
          <w:tcPr>
            <w:tcW w:w="740" w:type="dxa"/>
            <w:vAlign w:val="bottom"/>
            <w:gridSpan w:val="3"/>
          </w:tcPr>
          <w:p>
            <w:pPr>
              <w:spacing w:after="0" w:line="79" w:lineRule="exact"/>
              <w:rPr>
                <w:sz w:val="20"/>
                <w:szCs w:val="20"/>
                <w:color w:val="auto"/>
              </w:rPr>
            </w:pPr>
            <w:r>
              <w:rPr>
                <w:rFonts w:ascii="Arial" w:cs="Arial" w:eastAsia="Arial" w:hAnsi="Arial"/>
                <w:sz w:val="9"/>
                <w:szCs w:val="9"/>
                <w:b w:val="1"/>
                <w:bCs w:val="1"/>
                <w:color w:val="auto"/>
              </w:rPr>
              <w:t>September 30,</w:t>
            </w:r>
          </w:p>
        </w:tc>
        <w:tc>
          <w:tcPr>
            <w:tcW w:w="80" w:type="dxa"/>
            <w:vAlign w:val="bottom"/>
          </w:tcPr>
          <w:p>
            <w:pPr>
              <w:spacing w:after="0"/>
              <w:rPr>
                <w:sz w:val="6"/>
                <w:szCs w:val="6"/>
                <w:color w:val="auto"/>
              </w:rPr>
            </w:pPr>
          </w:p>
        </w:tc>
        <w:tc>
          <w:tcPr>
            <w:tcW w:w="540" w:type="dxa"/>
            <w:vAlign w:val="bottom"/>
            <w:gridSpan w:val="3"/>
          </w:tcPr>
          <w:p>
            <w:pPr>
              <w:jc w:val="center"/>
              <w:ind w:right="100"/>
              <w:spacing w:after="0" w:line="79" w:lineRule="exact"/>
              <w:rPr>
                <w:sz w:val="20"/>
                <w:szCs w:val="20"/>
                <w:color w:val="auto"/>
              </w:rPr>
            </w:pPr>
            <w:r>
              <w:rPr>
                <w:rFonts w:ascii="Arial" w:cs="Arial" w:eastAsia="Arial" w:hAnsi="Arial"/>
                <w:sz w:val="9"/>
                <w:szCs w:val="9"/>
                <w:b w:val="1"/>
                <w:bCs w:val="1"/>
                <w:color w:val="auto"/>
                <w:w w:val="99"/>
              </w:rPr>
              <w:t>June 30,</w:t>
            </w:r>
          </w:p>
        </w:tc>
        <w:tc>
          <w:tcPr>
            <w:tcW w:w="80" w:type="dxa"/>
            <w:vAlign w:val="bottom"/>
          </w:tcPr>
          <w:p>
            <w:pPr>
              <w:spacing w:after="0"/>
              <w:rPr>
                <w:sz w:val="6"/>
                <w:szCs w:val="6"/>
                <w:color w:val="auto"/>
              </w:rPr>
            </w:pPr>
          </w:p>
        </w:tc>
        <w:tc>
          <w:tcPr>
            <w:tcW w:w="460" w:type="dxa"/>
            <w:vAlign w:val="bottom"/>
            <w:gridSpan w:val="2"/>
          </w:tcPr>
          <w:p>
            <w:pPr>
              <w:spacing w:after="0" w:line="79" w:lineRule="exact"/>
              <w:rPr>
                <w:sz w:val="20"/>
                <w:szCs w:val="20"/>
                <w:color w:val="auto"/>
              </w:rPr>
            </w:pPr>
            <w:r>
              <w:rPr>
                <w:rFonts w:ascii="Arial" w:cs="Arial" w:eastAsia="Arial" w:hAnsi="Arial"/>
                <w:sz w:val="9"/>
                <w:szCs w:val="9"/>
                <w:b w:val="1"/>
                <w:bCs w:val="1"/>
                <w:color w:val="auto"/>
              </w:rPr>
              <w:t>March 31,</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44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98"/>
              </w:rPr>
              <w:t>2022</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43"/>
              <w:spacing w:after="0"/>
              <w:rPr>
                <w:sz w:val="20"/>
                <w:szCs w:val="20"/>
                <w:color w:val="auto"/>
              </w:rPr>
            </w:pPr>
            <w:r>
              <w:rPr>
                <w:rFonts w:ascii="Arial" w:cs="Arial" w:eastAsia="Arial" w:hAnsi="Arial"/>
                <w:sz w:val="10"/>
                <w:szCs w:val="10"/>
                <w:b w:val="1"/>
                <w:bCs w:val="1"/>
                <w:color w:val="auto"/>
              </w:rPr>
              <w:t>2021</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42"/>
              <w:spacing w:after="0"/>
              <w:rPr>
                <w:sz w:val="20"/>
                <w:szCs w:val="20"/>
                <w:color w:val="auto"/>
              </w:rPr>
            </w:pPr>
            <w:r>
              <w:rPr>
                <w:rFonts w:ascii="Arial" w:cs="Arial" w:eastAsia="Arial" w:hAnsi="Arial"/>
                <w:sz w:val="10"/>
                <w:szCs w:val="10"/>
                <w:b w:val="1"/>
                <w:bCs w:val="1"/>
                <w:color w:val="auto"/>
              </w:rPr>
              <w:t>2021</w:t>
            </w:r>
          </w:p>
        </w:tc>
        <w:tc>
          <w:tcPr>
            <w:tcW w:w="1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center"/>
              <w:ind w:right="1"/>
              <w:spacing w:after="0"/>
              <w:rPr>
                <w:sz w:val="20"/>
                <w:szCs w:val="20"/>
                <w:color w:val="auto"/>
              </w:rPr>
            </w:pPr>
            <w:r>
              <w:rPr>
                <w:rFonts w:ascii="Arial" w:cs="Arial" w:eastAsia="Arial" w:hAnsi="Arial"/>
                <w:sz w:val="10"/>
                <w:szCs w:val="10"/>
                <w:b w:val="1"/>
                <w:bCs w:val="1"/>
                <w:color w:val="auto"/>
                <w:w w:val="89"/>
              </w:rPr>
              <w:t>2021</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b w:val="1"/>
                <w:bCs w:val="1"/>
                <w:color w:val="auto"/>
                <w:w w:val="98"/>
              </w:rPr>
              <w:t>2021</w:t>
            </w:r>
          </w:p>
        </w:tc>
        <w:tc>
          <w:tcPr>
            <w:tcW w:w="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440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12-Month Backlog</w:t>
            </w:r>
          </w:p>
        </w:tc>
        <w:tc>
          <w:tcPr>
            <w:tcW w:w="80" w:type="dxa"/>
            <w:vAlign w:val="bottom"/>
            <w:tcBorders>
              <w:bottom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w w:val="82"/>
              </w:rPr>
              <w:t>$</w:t>
            </w:r>
          </w:p>
        </w:tc>
        <w:tc>
          <w:tcPr>
            <w:tcW w:w="36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3,890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3,830</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3,690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38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3,590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line="141" w:lineRule="exact"/>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3,540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 # #</w:t>
      </w:r>
    </w:p>
    <w:p>
      <w:pPr>
        <w:sectPr>
          <w:pgSz w:w="11900" w:h="16838" w:orient="portrait"/>
          <w:cols w:equalWidth="0" w:num="1">
            <w:col w:w="9019"/>
          </w:cols>
          <w:pgMar w:left="1440" w:top="231" w:right="1440" w:bottom="1440"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lvl>
    <w:lvl w:ilvl="1">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
      <w:numFmt w:val="bullet"/>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2022-05-12T05:24:09Z</dcterms:created>
  <dcterms:modified xsi:type="dcterms:W3CDTF">2022-05-12T05:24:09Z</dcterms:modified>
</cp:coreProperties>
</file>