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August 16, 2012</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333-57036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POST-EFFECTIVE AMENDMENT NO. 2</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jc w:val="center"/>
        <w:spacing w:after="0" w:line="237" w:lineRule="auto"/>
        <w:rPr>
          <w:sz w:val="20"/>
          <w:szCs w:val="20"/>
          <w:color w:val="auto"/>
        </w:rPr>
      </w:pPr>
      <w:r>
        <w:rPr>
          <w:rFonts w:ascii="Arial" w:cs="Arial" w:eastAsia="Arial" w:hAnsi="Arial"/>
          <w:sz w:val="32"/>
          <w:szCs w:val="32"/>
          <w:b w:val="1"/>
          <w:bCs w:val="1"/>
          <w:color w:val="auto"/>
        </w:rPr>
        <w:t>FORM F-3</w:t>
      </w: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124460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AMDOCS LIMITED</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4"/>
          <w:szCs w:val="24"/>
          <w:color w:val="auto"/>
        </w:rPr>
      </w:pPr>
    </w:p>
    <w:tbl>
      <w:tblPr>
        <w:tblLayout w:type="fixed"/>
        <w:tblInd w:w="2020" w:type="dxa"/>
        <w:tblCellMar>
          <w:top w:w="0" w:type="dxa"/>
          <w:left w:w="0" w:type="dxa"/>
          <w:bottom w:w="0" w:type="dxa"/>
          <w:right w:w="0" w:type="dxa"/>
        </w:tblCellMar>
      </w:tblPr>
      <w:tr>
        <w:trPr>
          <w:trHeight w:val="218"/>
        </w:trPr>
        <w:tc>
          <w:tcPr>
            <w:tcW w:w="3860" w:type="dxa"/>
            <w:vAlign w:val="bottom"/>
          </w:tcPr>
          <w:p>
            <w:pPr>
              <w:jc w:val="center"/>
              <w:ind w:right="2046"/>
              <w:spacing w:after="0"/>
              <w:rPr>
                <w:sz w:val="20"/>
                <w:szCs w:val="20"/>
                <w:color w:val="auto"/>
              </w:rPr>
            </w:pPr>
            <w:r>
              <w:rPr>
                <w:rFonts w:ascii="Arial" w:cs="Arial" w:eastAsia="Arial" w:hAnsi="Arial"/>
                <w:sz w:val="18"/>
                <w:szCs w:val="18"/>
                <w:b w:val="1"/>
                <w:bCs w:val="1"/>
                <w:color w:val="auto"/>
                <w:w w:val="87"/>
              </w:rPr>
              <w:t>Island of Guernsey</w:t>
            </w:r>
          </w:p>
        </w:tc>
        <w:tc>
          <w:tcPr>
            <w:tcW w:w="3440" w:type="dxa"/>
            <w:vAlign w:val="bottom"/>
          </w:tcPr>
          <w:p>
            <w:pPr>
              <w:jc w:val="center"/>
              <w:ind w:left="2026"/>
              <w:spacing w:after="0"/>
              <w:rPr>
                <w:sz w:val="20"/>
                <w:szCs w:val="20"/>
                <w:color w:val="auto"/>
              </w:rPr>
            </w:pPr>
            <w:r>
              <w:rPr>
                <w:rFonts w:ascii="Arial" w:cs="Arial" w:eastAsia="Arial" w:hAnsi="Arial"/>
                <w:sz w:val="18"/>
                <w:szCs w:val="18"/>
                <w:b w:val="1"/>
                <w:bCs w:val="1"/>
                <w:color w:val="auto"/>
                <w:w w:val="89"/>
              </w:rPr>
              <w:t>Not applicable</w:t>
            </w:r>
          </w:p>
        </w:tc>
      </w:tr>
      <w:tr>
        <w:trPr>
          <w:trHeight w:val="149"/>
        </w:trPr>
        <w:tc>
          <w:tcPr>
            <w:tcW w:w="3860" w:type="dxa"/>
            <w:vAlign w:val="bottom"/>
          </w:tcPr>
          <w:p>
            <w:pPr>
              <w:jc w:val="center"/>
              <w:ind w:right="2046"/>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440" w:type="dxa"/>
            <w:vAlign w:val="bottom"/>
          </w:tcPr>
          <w:p>
            <w:pPr>
              <w:jc w:val="center"/>
              <w:ind w:left="202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860" w:type="dxa"/>
            <w:vAlign w:val="bottom"/>
          </w:tcPr>
          <w:p>
            <w:pPr>
              <w:jc w:val="center"/>
              <w:ind w:right="2026"/>
              <w:spacing w:after="0"/>
              <w:rPr>
                <w:sz w:val="20"/>
                <w:szCs w:val="20"/>
                <w:color w:val="auto"/>
              </w:rPr>
            </w:pPr>
            <w:r>
              <w:rPr>
                <w:rFonts w:ascii="Arial" w:cs="Arial" w:eastAsia="Arial" w:hAnsi="Arial"/>
                <w:sz w:val="14"/>
                <w:szCs w:val="14"/>
                <w:b w:val="1"/>
                <w:bCs w:val="1"/>
                <w:color w:val="auto"/>
                <w:w w:val="88"/>
              </w:rPr>
              <w:t>incorporation or organization)</w:t>
            </w:r>
          </w:p>
        </w:tc>
        <w:tc>
          <w:tcPr>
            <w:tcW w:w="3440" w:type="dxa"/>
            <w:vAlign w:val="bottom"/>
          </w:tcPr>
          <w:p>
            <w:pPr>
              <w:jc w:val="center"/>
              <w:ind w:left="2026"/>
              <w:spacing w:after="0"/>
              <w:rPr>
                <w:sz w:val="20"/>
                <w:szCs w:val="20"/>
                <w:color w:val="auto"/>
              </w:rPr>
            </w:pPr>
            <w:r>
              <w:rPr>
                <w:rFonts w:ascii="Arial" w:cs="Arial" w:eastAsia="Arial" w:hAnsi="Arial"/>
                <w:sz w:val="14"/>
                <w:szCs w:val="14"/>
                <w:b w:val="1"/>
                <w:bCs w:val="1"/>
                <w:color w:val="auto"/>
                <w:w w:val="90"/>
              </w:rPr>
              <w:t>Identification Number)</w:t>
            </w:r>
          </w:p>
        </w:tc>
      </w:tr>
    </w:tbl>
    <w:p>
      <w:pPr>
        <w:jc w:val="center"/>
        <w:spacing w:after="0"/>
        <w:rPr>
          <w:sz w:val="20"/>
          <w:szCs w:val="20"/>
          <w:color w:val="auto"/>
        </w:rPr>
      </w:pPr>
      <w:r>
        <w:rPr>
          <w:rFonts w:ascii="Arial" w:cs="Arial" w:eastAsia="Arial" w:hAnsi="Arial"/>
          <w:sz w:val="18"/>
          <w:szCs w:val="18"/>
          <w:b w:val="1"/>
          <w:bCs w:val="1"/>
          <w:color w:val="auto"/>
        </w:rPr>
        <w:t>Suite 5, Tower Hill House Le Bordage</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 Peter Port, Island Of Guernsey, GY1 3QT Channel Islands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011-44-1481-728444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and telephone number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Amdocs,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1390 Timberlake Manor Parkway,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Chesterfield, Missouri 63017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Attention: Thomas G. O’Brien, Treasurer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314-212-8328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and telephone number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Copy to:</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Robert A. Schwed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Wilmer Cutler Pickering Hale and Dorr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 World Trade Center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250 Greenwich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10007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212-937-7276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Fax: 212-230-8888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3" w:lineRule="exact"/>
        <w:rPr>
          <w:sz w:val="24"/>
          <w:szCs w:val="24"/>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Approximate date of commencement of proposed sale to public: </w:t>
      </w:r>
      <w:r>
        <w:rPr>
          <w:rFonts w:ascii="Arial" w:cs="Arial" w:eastAsia="Arial" w:hAnsi="Arial"/>
          <w:sz w:val="18"/>
          <w:szCs w:val="18"/>
          <w:b w:val="1"/>
          <w:bCs w:val="1"/>
          <w:color w:val="auto"/>
        </w:rPr>
        <w:t>Completed</w:t>
      </w:r>
    </w:p>
    <w:p>
      <w:pPr>
        <w:spacing w:after="0" w:line="177" w:lineRule="exact"/>
        <w:rPr>
          <w:sz w:val="24"/>
          <w:szCs w:val="24"/>
          <w:color w:val="auto"/>
        </w:rPr>
      </w:pPr>
    </w:p>
    <w:p>
      <w:pPr>
        <w:ind w:right="600" w:firstLine="456"/>
        <w:spacing w:after="0" w:line="229"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300" w:firstLine="456"/>
        <w:spacing w:after="0" w:line="229"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If this Form is filed to register additional securities for an offering pursuant to Rule 462(b) under the Securities Act, please check the following box and list</w:t>
      </w:r>
    </w:p>
    <w:p>
      <w:pPr>
        <w:spacing w:after="0" w:line="38" w:lineRule="exact"/>
        <w:rPr>
          <w:sz w:val="24"/>
          <w:szCs w:val="24"/>
          <w:color w:val="auto"/>
        </w:rPr>
      </w:pPr>
    </w:p>
    <w:p>
      <w:pPr>
        <w:spacing w:after="0" w:line="184" w:lineRule="exact"/>
        <w:tabs>
          <w:tab w:leader="none" w:pos="8920" w:val="left"/>
        </w:tabs>
        <w:rPr>
          <w:sz w:val="20"/>
          <w:szCs w:val="20"/>
          <w:color w:val="auto"/>
        </w:rPr>
      </w:pPr>
      <w:r>
        <w:rPr>
          <w:rFonts w:ascii="Arial" w:cs="Arial" w:eastAsia="Arial" w:hAnsi="Arial"/>
          <w:sz w:val="16"/>
          <w:szCs w:val="16"/>
          <w:color w:val="auto"/>
        </w:rPr>
        <w:t xml:space="preserve">the Securities Act registration statement number of the earlier effective registration statement for the same offering.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5338445</wp:posOffset>
            </wp:positionH>
            <wp:positionV relativeFrom="paragraph">
              <wp:posOffset>-3175</wp:posOffset>
            </wp:positionV>
            <wp:extent cx="3346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6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If this Form is a post-effective amendment filed pursuant to Rule 462(c) under the Securities Act, check the following box and list the Securities Act</w:t>
      </w:r>
    </w:p>
    <w:p>
      <w:pPr>
        <w:spacing w:after="0" w:line="38" w:lineRule="exact"/>
        <w:rPr>
          <w:sz w:val="24"/>
          <w:szCs w:val="24"/>
          <w:color w:val="auto"/>
        </w:rPr>
      </w:pPr>
    </w:p>
    <w:p>
      <w:pPr>
        <w:spacing w:after="0" w:line="184" w:lineRule="exact"/>
        <w:tabs>
          <w:tab w:leader="none" w:pos="7620" w:val="left"/>
        </w:tabs>
        <w:rPr>
          <w:sz w:val="20"/>
          <w:szCs w:val="20"/>
          <w:color w:val="auto"/>
        </w:rPr>
      </w:pPr>
      <w:r>
        <w:rPr>
          <w:rFonts w:ascii="Arial" w:cs="Arial" w:eastAsia="Arial" w:hAnsi="Arial"/>
          <w:sz w:val="16"/>
          <w:szCs w:val="16"/>
          <w:color w:val="auto"/>
        </w:rPr>
        <w:t xml:space="preserve">registration statement number of the earlier effective registration statement for the same offering.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4518025</wp:posOffset>
            </wp:positionH>
            <wp:positionV relativeFrom="paragraph">
              <wp:posOffset>-3175</wp:posOffset>
            </wp:positionV>
            <wp:extent cx="3346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68" w:lineRule="exact"/>
        <w:rPr>
          <w:sz w:val="24"/>
          <w:szCs w:val="24"/>
          <w:color w:val="auto"/>
        </w:rPr>
      </w:pPr>
    </w:p>
    <w:p>
      <w:pPr>
        <w:ind w:right="280" w:firstLine="456"/>
        <w:spacing w:after="0" w:line="229" w:lineRule="exact"/>
        <w:rPr>
          <w:sz w:val="20"/>
          <w:szCs w:val="20"/>
          <w:color w:val="auto"/>
        </w:rPr>
      </w:pPr>
      <w:r>
        <w:rPr>
          <w:rFonts w:ascii="Arial" w:cs="Arial" w:eastAsia="Arial" w:hAnsi="Arial"/>
          <w:sz w:val="18"/>
          <w:szCs w:val="18"/>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44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100965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DEREGISTRATION OF SECURITIES</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On April 5, 2001, the Securities and Exchange Commission declared effective the registration statement on Form F-3 (File No. 333-57036) (the “Registration Statement”) filed by Amdocs Limited (the “Company”) with respect to the offer and sale of up to 7,259,224 ordinary shares, £0.01 par value, of the Company (the “Securities”), issuable upon exchange of the Exchangeable Shares of Solect Technology Group Inc. (“Solect”) by the holders of the Exchangeable Shares, all of whom were formerly common shareholders of Solect prior to the Company’s acquisition of Solect on April 5, 2000.</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Registration Statement was filed for the benefit of holders of the Exchangeable Shares (the “Holders”).</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Under the terms of a registration rights agreement dated April 5, 2000 entered into in connection with the business combination between the Company, Solect and some of Solect’s former common shareholders, the Company agreed to use its commercially reasonable efforts to keep the Registration Statement effective until the earlier of (1) April 5, 2002, (2) the date on which all of the shares covered by the Registration Statement have been sold, and (3) the date on which all of the shares covered by the Registration Statement, and those covered by the Company’s registration statements on Form F-3 (Reg. No. 333-39278 and Reg. No. 333-44994), can be sold without registration without regard to Rule 144’s volume restrictions.</w:t>
      </w:r>
    </w:p>
    <w:p>
      <w:pPr>
        <w:spacing w:after="0" w:line="11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In accordance with such agreement, and in accordance with the Company’s undertaking under Regulation S-K Item 512(a)(3), the Company is filing this Post-Effective Amendment No. 2 to the Registration Statement to remove from registration all Securities not sold by the Holders pursuant to the Registration Statement. Accordingly, the Company hereby requests that upon the effectiveness of this Post-Effective Amendment No. 2, such Securities be removed from registration.</w:t>
      </w:r>
    </w:p>
    <w:p>
      <w:pPr>
        <w:sectPr>
          <w:pgSz w:w="11900" w:h="16838" w:orient="portrait"/>
          <w:cols w:equalWidth="0" w:num="1">
            <w:col w:w="11380"/>
          </w:cols>
          <w:pgMar w:left="240" w:top="274" w:right="27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F-3 and has duly caused this Post-Effective Amendment No. 2 on Form F-3 to be signed on its behalf by the undersigned, thereunto duly authorized, in the City of Chesterfield, State of Missouri on August 16, 2012.</w:t>
      </w:r>
    </w:p>
    <w:p>
      <w:pPr>
        <w:spacing w:after="0" w:line="17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AMDOCS LIMITED</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Elizabeth W. Grausam McDermon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Elizabeth W. Grausam McDermon</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Secretary and Authorized Signatory</w:t>
      </w:r>
    </w:p>
    <w:p>
      <w:pPr>
        <w:spacing w:after="0" w:line="17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Pursuant to the requirements of the Securities Act, this Post-Effective Amendment No. 2 to the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320" w:type="dxa"/>
            <w:vAlign w:val="bottom"/>
          </w:tcPr>
          <w:p>
            <w:pPr>
              <w:spacing w:after="0"/>
              <w:rPr>
                <w:sz w:val="20"/>
                <w:szCs w:val="20"/>
                <w:color w:val="auto"/>
              </w:rPr>
            </w:pPr>
            <w:r>
              <w:rPr>
                <w:rFonts w:ascii="Arial" w:cs="Arial" w:eastAsia="Arial" w:hAnsi="Arial"/>
                <w:sz w:val="14"/>
                <w:szCs w:val="14"/>
                <w:b w:val="1"/>
                <w:bCs w:val="1"/>
                <w:color w:val="auto"/>
              </w:rPr>
              <w:t>Signature</w:t>
            </w:r>
          </w:p>
        </w:tc>
        <w:tc>
          <w:tcPr>
            <w:tcW w:w="4360" w:type="dxa"/>
            <w:vAlign w:val="bottom"/>
          </w:tcPr>
          <w:p>
            <w:pPr>
              <w:ind w:left="340"/>
              <w:spacing w:after="0"/>
              <w:rPr>
                <w:sz w:val="20"/>
                <w:szCs w:val="20"/>
                <w:color w:val="auto"/>
              </w:rPr>
            </w:pPr>
            <w:r>
              <w:rPr>
                <w:rFonts w:ascii="Arial" w:cs="Arial" w:eastAsia="Arial" w:hAnsi="Arial"/>
                <w:sz w:val="14"/>
                <w:szCs w:val="14"/>
                <w:b w:val="1"/>
                <w:bCs w:val="1"/>
                <w:color w:val="auto"/>
              </w:rPr>
              <w:t>Title</w:t>
            </w:r>
          </w:p>
        </w:tc>
        <w:tc>
          <w:tcPr>
            <w:tcW w:w="2140" w:type="dxa"/>
            <w:vAlign w:val="bottom"/>
          </w:tcPr>
          <w:p>
            <w:pPr>
              <w:ind w:left="980"/>
              <w:spacing w:after="0"/>
              <w:rPr>
                <w:sz w:val="20"/>
                <w:szCs w:val="20"/>
                <w:color w:val="auto"/>
              </w:rPr>
            </w:pPr>
            <w:r>
              <w:rPr>
                <w:rFonts w:ascii="Arial" w:cs="Arial" w:eastAsia="Arial" w:hAnsi="Arial"/>
                <w:sz w:val="14"/>
                <w:szCs w:val="14"/>
                <w:b w:val="1"/>
                <w:bCs w:val="1"/>
                <w:color w:val="auto"/>
              </w:rPr>
              <w:t>Date</w:t>
            </w:r>
          </w:p>
        </w:tc>
      </w:tr>
      <w:tr>
        <w:trPr>
          <w:trHeight w:val="310"/>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A. Minicucci</w:t>
            </w:r>
          </w:p>
        </w:tc>
        <w:tc>
          <w:tcPr>
            <w:tcW w:w="4360" w:type="dxa"/>
            <w:vAlign w:val="bottom"/>
          </w:tcPr>
          <w:p>
            <w:pPr>
              <w:ind w:left="340"/>
              <w:spacing w:after="0"/>
              <w:rPr>
                <w:sz w:val="20"/>
                <w:szCs w:val="20"/>
                <w:color w:val="auto"/>
              </w:rPr>
            </w:pPr>
            <w:r>
              <w:rPr>
                <w:rFonts w:ascii="Arial" w:cs="Arial" w:eastAsia="Arial" w:hAnsi="Arial"/>
                <w:sz w:val="18"/>
                <w:szCs w:val="18"/>
                <w:color w:val="auto"/>
              </w:rPr>
              <w:t>Chairman of the Board of Directors</w:t>
            </w:r>
          </w:p>
        </w:tc>
        <w:tc>
          <w:tcPr>
            <w:tcW w:w="2140" w:type="dxa"/>
            <w:vAlign w:val="bottom"/>
          </w:tcPr>
          <w:p>
            <w:pPr>
              <w:ind w:left="980"/>
              <w:spacing w:after="0"/>
              <w:rPr>
                <w:sz w:val="20"/>
                <w:szCs w:val="20"/>
                <w:color w:val="auto"/>
              </w:rPr>
            </w:pPr>
            <w:r>
              <w:rPr>
                <w:rFonts w:ascii="Arial" w:cs="Arial" w:eastAsia="Arial" w:hAnsi="Arial"/>
                <w:sz w:val="18"/>
                <w:szCs w:val="18"/>
                <w:color w:val="auto"/>
                <w:w w:val="86"/>
              </w:rPr>
              <w:t>August 16, 2012</w:t>
            </w:r>
          </w:p>
        </w:tc>
      </w:tr>
      <w:tr>
        <w:trPr>
          <w:trHeight w:val="217"/>
        </w:trPr>
        <w:tc>
          <w:tcPr>
            <w:tcW w:w="4320" w:type="dxa"/>
            <w:vAlign w:val="bottom"/>
          </w:tcPr>
          <w:p>
            <w:pPr>
              <w:spacing w:after="0"/>
              <w:rPr>
                <w:sz w:val="20"/>
                <w:szCs w:val="20"/>
                <w:color w:val="auto"/>
              </w:rPr>
            </w:pPr>
            <w:r>
              <w:rPr>
                <w:rFonts w:ascii="Arial" w:cs="Arial" w:eastAsia="Arial" w:hAnsi="Arial"/>
                <w:sz w:val="18"/>
                <w:szCs w:val="18"/>
                <w:color w:val="auto"/>
              </w:rPr>
              <w:t>Robert A. Minicucci</w:t>
            </w:r>
          </w:p>
        </w:tc>
        <w:tc>
          <w:tcPr>
            <w:tcW w:w="436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438"/>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Eli Gelman</w:t>
            </w:r>
          </w:p>
        </w:tc>
        <w:tc>
          <w:tcPr>
            <w:tcW w:w="4360" w:type="dxa"/>
            <w:vAlign w:val="bottom"/>
          </w:tcPr>
          <w:p>
            <w:pPr>
              <w:ind w:left="340"/>
              <w:spacing w:after="0"/>
              <w:rPr>
                <w:sz w:val="20"/>
                <w:szCs w:val="20"/>
                <w:color w:val="auto"/>
              </w:rPr>
            </w:pPr>
            <w:r>
              <w:rPr>
                <w:rFonts w:ascii="Arial" w:cs="Arial" w:eastAsia="Arial" w:hAnsi="Arial"/>
                <w:sz w:val="18"/>
                <w:szCs w:val="18"/>
                <w:color w:val="auto"/>
              </w:rPr>
              <w:t>Director, Principal Executive Officer</w:t>
            </w:r>
          </w:p>
        </w:tc>
        <w:tc>
          <w:tcPr>
            <w:tcW w:w="2140" w:type="dxa"/>
            <w:vAlign w:val="bottom"/>
          </w:tcPr>
          <w:p>
            <w:pPr>
              <w:ind w:left="980"/>
              <w:spacing w:after="0"/>
              <w:rPr>
                <w:sz w:val="20"/>
                <w:szCs w:val="20"/>
                <w:color w:val="auto"/>
              </w:rPr>
            </w:pPr>
            <w:r>
              <w:rPr>
                <w:rFonts w:ascii="Arial" w:cs="Arial" w:eastAsia="Arial" w:hAnsi="Arial"/>
                <w:sz w:val="18"/>
                <w:szCs w:val="18"/>
                <w:color w:val="auto"/>
                <w:w w:val="86"/>
              </w:rPr>
              <w:t>August 16, 2012</w:t>
            </w:r>
          </w:p>
        </w:tc>
      </w:tr>
      <w:tr>
        <w:trPr>
          <w:trHeight w:val="217"/>
        </w:trPr>
        <w:tc>
          <w:tcPr>
            <w:tcW w:w="4320" w:type="dxa"/>
            <w:vAlign w:val="bottom"/>
          </w:tcPr>
          <w:p>
            <w:pPr>
              <w:spacing w:after="0"/>
              <w:rPr>
                <w:sz w:val="20"/>
                <w:szCs w:val="20"/>
                <w:color w:val="auto"/>
              </w:rPr>
            </w:pPr>
            <w:r>
              <w:rPr>
                <w:rFonts w:ascii="Arial" w:cs="Arial" w:eastAsia="Arial" w:hAnsi="Arial"/>
                <w:sz w:val="18"/>
                <w:szCs w:val="18"/>
                <w:color w:val="auto"/>
              </w:rPr>
              <w:t>Eli Gelman</w:t>
            </w:r>
          </w:p>
        </w:tc>
        <w:tc>
          <w:tcPr>
            <w:tcW w:w="436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438"/>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Tamar Rapaport-Dagim</w:t>
            </w:r>
          </w:p>
        </w:tc>
        <w:tc>
          <w:tcPr>
            <w:tcW w:w="4360" w:type="dxa"/>
            <w:vAlign w:val="bottom"/>
          </w:tcPr>
          <w:p>
            <w:pPr>
              <w:ind w:left="340"/>
              <w:spacing w:after="0"/>
              <w:rPr>
                <w:sz w:val="20"/>
                <w:szCs w:val="20"/>
                <w:color w:val="auto"/>
              </w:rPr>
            </w:pPr>
            <w:r>
              <w:rPr>
                <w:rFonts w:ascii="Arial" w:cs="Arial" w:eastAsia="Arial" w:hAnsi="Arial"/>
                <w:sz w:val="18"/>
                <w:szCs w:val="18"/>
                <w:color w:val="auto"/>
              </w:rPr>
              <w:t>Principal Financial and Accounting Officer</w:t>
            </w:r>
          </w:p>
        </w:tc>
        <w:tc>
          <w:tcPr>
            <w:tcW w:w="2140" w:type="dxa"/>
            <w:vAlign w:val="bottom"/>
          </w:tcPr>
          <w:p>
            <w:pPr>
              <w:ind w:left="980"/>
              <w:spacing w:after="0"/>
              <w:rPr>
                <w:sz w:val="20"/>
                <w:szCs w:val="20"/>
                <w:color w:val="auto"/>
              </w:rPr>
            </w:pPr>
            <w:r>
              <w:rPr>
                <w:rFonts w:ascii="Arial" w:cs="Arial" w:eastAsia="Arial" w:hAnsi="Arial"/>
                <w:sz w:val="18"/>
                <w:szCs w:val="18"/>
                <w:color w:val="auto"/>
                <w:w w:val="86"/>
              </w:rPr>
              <w:t>August 16, 2012</w:t>
            </w:r>
          </w:p>
        </w:tc>
      </w:tr>
      <w:tr>
        <w:trPr>
          <w:trHeight w:val="217"/>
        </w:trPr>
        <w:tc>
          <w:tcPr>
            <w:tcW w:w="4320" w:type="dxa"/>
            <w:vAlign w:val="bottom"/>
          </w:tcPr>
          <w:p>
            <w:pPr>
              <w:spacing w:after="0"/>
              <w:rPr>
                <w:sz w:val="20"/>
                <w:szCs w:val="20"/>
                <w:color w:val="auto"/>
              </w:rPr>
            </w:pPr>
            <w:r>
              <w:rPr>
                <w:rFonts w:ascii="Arial" w:cs="Arial" w:eastAsia="Arial" w:hAnsi="Arial"/>
                <w:sz w:val="18"/>
                <w:szCs w:val="18"/>
                <w:color w:val="auto"/>
              </w:rPr>
              <w:t>Tamar Rapaport-Dagim</w:t>
            </w:r>
          </w:p>
        </w:tc>
        <w:tc>
          <w:tcPr>
            <w:tcW w:w="436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438"/>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3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2140" w:type="dxa"/>
            <w:vAlign w:val="bottom"/>
          </w:tcPr>
          <w:p>
            <w:pPr>
              <w:ind w:left="980"/>
              <w:spacing w:after="0"/>
              <w:rPr>
                <w:sz w:val="20"/>
                <w:szCs w:val="20"/>
                <w:color w:val="auto"/>
              </w:rPr>
            </w:pPr>
            <w:r>
              <w:rPr>
                <w:rFonts w:ascii="Arial" w:cs="Arial" w:eastAsia="Arial" w:hAnsi="Arial"/>
                <w:sz w:val="18"/>
                <w:szCs w:val="18"/>
                <w:color w:val="auto"/>
                <w:w w:val="86"/>
              </w:rPr>
              <w:t>August 16, 2012</w:t>
            </w:r>
          </w:p>
        </w:tc>
      </w:tr>
      <w:tr>
        <w:trPr>
          <w:trHeight w:val="217"/>
        </w:trPr>
        <w:tc>
          <w:tcPr>
            <w:tcW w:w="4320" w:type="dxa"/>
            <w:vAlign w:val="bottom"/>
          </w:tcPr>
          <w:p>
            <w:pPr>
              <w:spacing w:after="0"/>
              <w:rPr>
                <w:sz w:val="20"/>
                <w:szCs w:val="20"/>
                <w:color w:val="auto"/>
              </w:rPr>
            </w:pPr>
            <w:r>
              <w:rPr>
                <w:rFonts w:ascii="Arial" w:cs="Arial" w:eastAsia="Arial" w:hAnsi="Arial"/>
                <w:sz w:val="18"/>
                <w:szCs w:val="18"/>
                <w:color w:val="auto"/>
              </w:rPr>
              <w:t>Bruce K. Anderson</w:t>
            </w:r>
          </w:p>
        </w:tc>
        <w:tc>
          <w:tcPr>
            <w:tcW w:w="436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438"/>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3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2140" w:type="dxa"/>
            <w:vAlign w:val="bottom"/>
          </w:tcPr>
          <w:p>
            <w:pPr>
              <w:ind w:left="980"/>
              <w:spacing w:after="0"/>
              <w:rPr>
                <w:sz w:val="20"/>
                <w:szCs w:val="20"/>
                <w:color w:val="auto"/>
              </w:rPr>
            </w:pPr>
            <w:r>
              <w:rPr>
                <w:rFonts w:ascii="Arial" w:cs="Arial" w:eastAsia="Arial" w:hAnsi="Arial"/>
                <w:sz w:val="18"/>
                <w:szCs w:val="18"/>
                <w:color w:val="auto"/>
                <w:w w:val="86"/>
              </w:rPr>
              <w:t>August 16, 2012</w:t>
            </w:r>
          </w:p>
        </w:tc>
      </w:tr>
      <w:tr>
        <w:trPr>
          <w:trHeight w:val="217"/>
        </w:trPr>
        <w:tc>
          <w:tcPr>
            <w:tcW w:w="4320" w:type="dxa"/>
            <w:vAlign w:val="bottom"/>
          </w:tcPr>
          <w:p>
            <w:pPr>
              <w:spacing w:after="0"/>
              <w:rPr>
                <w:sz w:val="20"/>
                <w:szCs w:val="20"/>
                <w:color w:val="auto"/>
              </w:rPr>
            </w:pPr>
            <w:r>
              <w:rPr>
                <w:rFonts w:ascii="Arial" w:cs="Arial" w:eastAsia="Arial" w:hAnsi="Arial"/>
                <w:sz w:val="18"/>
                <w:szCs w:val="18"/>
                <w:color w:val="auto"/>
              </w:rPr>
              <w:t>Adrian Gardner</w:t>
            </w:r>
          </w:p>
        </w:tc>
        <w:tc>
          <w:tcPr>
            <w:tcW w:w="436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438"/>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S. Kahan</w:t>
            </w:r>
          </w:p>
        </w:tc>
        <w:tc>
          <w:tcPr>
            <w:tcW w:w="43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2140" w:type="dxa"/>
            <w:vAlign w:val="bottom"/>
          </w:tcPr>
          <w:p>
            <w:pPr>
              <w:ind w:left="980"/>
              <w:spacing w:after="0"/>
              <w:rPr>
                <w:sz w:val="20"/>
                <w:szCs w:val="20"/>
                <w:color w:val="auto"/>
              </w:rPr>
            </w:pPr>
            <w:r>
              <w:rPr>
                <w:rFonts w:ascii="Arial" w:cs="Arial" w:eastAsia="Arial" w:hAnsi="Arial"/>
                <w:sz w:val="18"/>
                <w:szCs w:val="18"/>
                <w:color w:val="auto"/>
                <w:w w:val="86"/>
              </w:rPr>
              <w:t>August 16, 2012</w:t>
            </w:r>
          </w:p>
        </w:tc>
      </w:tr>
      <w:tr>
        <w:trPr>
          <w:trHeight w:val="217"/>
        </w:trPr>
        <w:tc>
          <w:tcPr>
            <w:tcW w:w="4320" w:type="dxa"/>
            <w:vAlign w:val="bottom"/>
          </w:tcPr>
          <w:p>
            <w:pPr>
              <w:spacing w:after="0"/>
              <w:rPr>
                <w:sz w:val="20"/>
                <w:szCs w:val="20"/>
                <w:color w:val="auto"/>
              </w:rPr>
            </w:pPr>
            <w:r>
              <w:rPr>
                <w:rFonts w:ascii="Arial" w:cs="Arial" w:eastAsia="Arial" w:hAnsi="Arial"/>
                <w:sz w:val="18"/>
                <w:szCs w:val="18"/>
                <w:color w:val="auto"/>
              </w:rPr>
              <w:t>James S. Kahan</w:t>
            </w:r>
          </w:p>
        </w:tc>
        <w:tc>
          <w:tcPr>
            <w:tcW w:w="436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438"/>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Simon Olswang</w:t>
            </w:r>
          </w:p>
        </w:tc>
        <w:tc>
          <w:tcPr>
            <w:tcW w:w="43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2140" w:type="dxa"/>
            <w:vAlign w:val="bottom"/>
          </w:tcPr>
          <w:p>
            <w:pPr>
              <w:ind w:left="980"/>
              <w:spacing w:after="0"/>
              <w:rPr>
                <w:sz w:val="20"/>
                <w:szCs w:val="20"/>
                <w:color w:val="auto"/>
              </w:rPr>
            </w:pPr>
            <w:r>
              <w:rPr>
                <w:rFonts w:ascii="Arial" w:cs="Arial" w:eastAsia="Arial" w:hAnsi="Arial"/>
                <w:sz w:val="18"/>
                <w:szCs w:val="18"/>
                <w:color w:val="auto"/>
                <w:w w:val="86"/>
              </w:rPr>
              <w:t>August 16, 2012</w:t>
            </w:r>
          </w:p>
        </w:tc>
      </w:tr>
      <w:tr>
        <w:trPr>
          <w:trHeight w:val="217"/>
        </w:trPr>
        <w:tc>
          <w:tcPr>
            <w:tcW w:w="4320" w:type="dxa"/>
            <w:vAlign w:val="bottom"/>
          </w:tcPr>
          <w:p>
            <w:pPr>
              <w:spacing w:after="0"/>
              <w:rPr>
                <w:sz w:val="20"/>
                <w:szCs w:val="20"/>
                <w:color w:val="auto"/>
              </w:rPr>
            </w:pPr>
            <w:r>
              <w:rPr>
                <w:rFonts w:ascii="Arial" w:cs="Arial" w:eastAsia="Arial" w:hAnsi="Arial"/>
                <w:sz w:val="18"/>
                <w:szCs w:val="18"/>
                <w:color w:val="auto"/>
              </w:rPr>
              <w:t>Simon Olswang</w:t>
            </w:r>
          </w:p>
        </w:tc>
        <w:tc>
          <w:tcPr>
            <w:tcW w:w="436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438"/>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Zohar Zisapel</w:t>
            </w:r>
          </w:p>
        </w:tc>
        <w:tc>
          <w:tcPr>
            <w:tcW w:w="43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2140" w:type="dxa"/>
            <w:vAlign w:val="bottom"/>
          </w:tcPr>
          <w:p>
            <w:pPr>
              <w:ind w:left="980"/>
              <w:spacing w:after="0"/>
              <w:rPr>
                <w:sz w:val="20"/>
                <w:szCs w:val="20"/>
                <w:color w:val="auto"/>
              </w:rPr>
            </w:pPr>
            <w:r>
              <w:rPr>
                <w:rFonts w:ascii="Arial" w:cs="Arial" w:eastAsia="Arial" w:hAnsi="Arial"/>
                <w:sz w:val="18"/>
                <w:szCs w:val="18"/>
                <w:color w:val="auto"/>
                <w:w w:val="86"/>
              </w:rPr>
              <w:t>August 16, 2012</w:t>
            </w:r>
          </w:p>
        </w:tc>
      </w:tr>
      <w:tr>
        <w:trPr>
          <w:trHeight w:val="217"/>
        </w:trPr>
        <w:tc>
          <w:tcPr>
            <w:tcW w:w="4320" w:type="dxa"/>
            <w:vAlign w:val="bottom"/>
          </w:tcPr>
          <w:p>
            <w:pPr>
              <w:spacing w:after="0"/>
              <w:rPr>
                <w:sz w:val="20"/>
                <w:szCs w:val="20"/>
                <w:color w:val="auto"/>
              </w:rPr>
            </w:pPr>
            <w:r>
              <w:rPr>
                <w:rFonts w:ascii="Arial" w:cs="Arial" w:eastAsia="Arial" w:hAnsi="Arial"/>
                <w:sz w:val="18"/>
                <w:szCs w:val="18"/>
                <w:color w:val="auto"/>
              </w:rPr>
              <w:t>Zohar Zisapel</w:t>
            </w:r>
          </w:p>
        </w:tc>
        <w:tc>
          <w:tcPr>
            <w:tcW w:w="436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438"/>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Julian A. Brodsky</w:t>
            </w:r>
          </w:p>
        </w:tc>
        <w:tc>
          <w:tcPr>
            <w:tcW w:w="43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2140" w:type="dxa"/>
            <w:vAlign w:val="bottom"/>
          </w:tcPr>
          <w:p>
            <w:pPr>
              <w:ind w:left="980"/>
              <w:spacing w:after="0"/>
              <w:rPr>
                <w:sz w:val="20"/>
                <w:szCs w:val="20"/>
                <w:color w:val="auto"/>
              </w:rPr>
            </w:pPr>
            <w:r>
              <w:rPr>
                <w:rFonts w:ascii="Arial" w:cs="Arial" w:eastAsia="Arial" w:hAnsi="Arial"/>
                <w:sz w:val="18"/>
                <w:szCs w:val="18"/>
                <w:color w:val="auto"/>
                <w:w w:val="86"/>
              </w:rPr>
              <w:t>August 16, 2012</w:t>
            </w:r>
          </w:p>
        </w:tc>
      </w:tr>
      <w:tr>
        <w:trPr>
          <w:trHeight w:val="217"/>
        </w:trPr>
        <w:tc>
          <w:tcPr>
            <w:tcW w:w="4320" w:type="dxa"/>
            <w:vAlign w:val="bottom"/>
          </w:tcPr>
          <w:p>
            <w:pPr>
              <w:spacing w:after="0"/>
              <w:rPr>
                <w:sz w:val="20"/>
                <w:szCs w:val="20"/>
                <w:color w:val="auto"/>
              </w:rPr>
            </w:pPr>
            <w:r>
              <w:rPr>
                <w:rFonts w:ascii="Arial" w:cs="Arial" w:eastAsia="Arial" w:hAnsi="Arial"/>
                <w:sz w:val="18"/>
                <w:szCs w:val="18"/>
                <w:color w:val="auto"/>
              </w:rPr>
              <w:t>Julian A. Brodsky</w:t>
            </w:r>
          </w:p>
        </w:tc>
        <w:tc>
          <w:tcPr>
            <w:tcW w:w="436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438"/>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3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2140" w:type="dxa"/>
            <w:vAlign w:val="bottom"/>
          </w:tcPr>
          <w:p>
            <w:pPr>
              <w:ind w:left="980"/>
              <w:spacing w:after="0"/>
              <w:rPr>
                <w:sz w:val="20"/>
                <w:szCs w:val="20"/>
                <w:color w:val="auto"/>
              </w:rPr>
            </w:pPr>
            <w:r>
              <w:rPr>
                <w:rFonts w:ascii="Arial" w:cs="Arial" w:eastAsia="Arial" w:hAnsi="Arial"/>
                <w:sz w:val="18"/>
                <w:szCs w:val="18"/>
                <w:color w:val="auto"/>
                <w:w w:val="86"/>
              </w:rPr>
              <w:t>August 16, 2012</w:t>
            </w:r>
          </w:p>
        </w:tc>
      </w:tr>
      <w:tr>
        <w:trPr>
          <w:trHeight w:val="217"/>
        </w:trPr>
        <w:tc>
          <w:tcPr>
            <w:tcW w:w="4320" w:type="dxa"/>
            <w:vAlign w:val="bottom"/>
          </w:tcPr>
          <w:p>
            <w:pPr>
              <w:spacing w:after="0"/>
              <w:rPr>
                <w:sz w:val="20"/>
                <w:szCs w:val="20"/>
                <w:color w:val="auto"/>
              </w:rPr>
            </w:pPr>
            <w:r>
              <w:rPr>
                <w:rFonts w:ascii="Arial" w:cs="Arial" w:eastAsia="Arial" w:hAnsi="Arial"/>
                <w:sz w:val="18"/>
                <w:szCs w:val="18"/>
                <w:color w:val="auto"/>
              </w:rPr>
              <w:t>John T. McLennan</w:t>
            </w:r>
          </w:p>
        </w:tc>
        <w:tc>
          <w:tcPr>
            <w:tcW w:w="436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438"/>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Giora Yaron</w:t>
            </w:r>
          </w:p>
        </w:tc>
        <w:tc>
          <w:tcPr>
            <w:tcW w:w="43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2140" w:type="dxa"/>
            <w:vAlign w:val="bottom"/>
          </w:tcPr>
          <w:p>
            <w:pPr>
              <w:ind w:left="980"/>
              <w:spacing w:after="0"/>
              <w:rPr>
                <w:sz w:val="20"/>
                <w:szCs w:val="20"/>
                <w:color w:val="auto"/>
              </w:rPr>
            </w:pPr>
            <w:r>
              <w:rPr>
                <w:rFonts w:ascii="Arial" w:cs="Arial" w:eastAsia="Arial" w:hAnsi="Arial"/>
                <w:sz w:val="18"/>
                <w:szCs w:val="18"/>
                <w:color w:val="auto"/>
                <w:w w:val="86"/>
              </w:rPr>
              <w:t>August 16, 2012</w:t>
            </w:r>
          </w:p>
        </w:tc>
      </w:tr>
      <w:tr>
        <w:trPr>
          <w:trHeight w:val="217"/>
        </w:trPr>
        <w:tc>
          <w:tcPr>
            <w:tcW w:w="4320" w:type="dxa"/>
            <w:vAlign w:val="bottom"/>
          </w:tcPr>
          <w:p>
            <w:pPr>
              <w:spacing w:after="0"/>
              <w:rPr>
                <w:sz w:val="20"/>
                <w:szCs w:val="20"/>
                <w:color w:val="auto"/>
              </w:rPr>
            </w:pPr>
            <w:r>
              <w:rPr>
                <w:rFonts w:ascii="Arial" w:cs="Arial" w:eastAsia="Arial" w:hAnsi="Arial"/>
                <w:sz w:val="18"/>
                <w:szCs w:val="18"/>
                <w:color w:val="auto"/>
              </w:rPr>
              <w:t>Giora Yaron</w:t>
            </w:r>
          </w:p>
        </w:tc>
        <w:tc>
          <w:tcPr>
            <w:tcW w:w="436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438"/>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Nehmeia Lemelbaum</w:t>
            </w:r>
          </w:p>
        </w:tc>
        <w:tc>
          <w:tcPr>
            <w:tcW w:w="43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2140" w:type="dxa"/>
            <w:vAlign w:val="bottom"/>
          </w:tcPr>
          <w:p>
            <w:pPr>
              <w:ind w:left="980"/>
              <w:spacing w:after="0"/>
              <w:rPr>
                <w:sz w:val="20"/>
                <w:szCs w:val="20"/>
                <w:color w:val="auto"/>
              </w:rPr>
            </w:pPr>
            <w:r>
              <w:rPr>
                <w:rFonts w:ascii="Arial" w:cs="Arial" w:eastAsia="Arial" w:hAnsi="Arial"/>
                <w:sz w:val="18"/>
                <w:szCs w:val="18"/>
                <w:color w:val="auto"/>
                <w:w w:val="86"/>
              </w:rPr>
              <w:t>August 16, 2012</w:t>
            </w:r>
          </w:p>
        </w:tc>
      </w:tr>
      <w:tr>
        <w:trPr>
          <w:trHeight w:val="217"/>
        </w:trPr>
        <w:tc>
          <w:tcPr>
            <w:tcW w:w="4320" w:type="dxa"/>
            <w:vAlign w:val="bottom"/>
          </w:tcPr>
          <w:p>
            <w:pPr>
              <w:spacing w:after="0"/>
              <w:rPr>
                <w:sz w:val="20"/>
                <w:szCs w:val="20"/>
                <w:color w:val="auto"/>
              </w:rPr>
            </w:pPr>
            <w:r>
              <w:rPr>
                <w:rFonts w:ascii="Arial" w:cs="Arial" w:eastAsia="Arial" w:hAnsi="Arial"/>
                <w:sz w:val="18"/>
                <w:szCs w:val="18"/>
                <w:color w:val="auto"/>
              </w:rPr>
              <w:t>Nehmeia Lemelbaum</w:t>
            </w:r>
          </w:p>
        </w:tc>
        <w:tc>
          <w:tcPr>
            <w:tcW w:w="4360" w:type="dxa"/>
            <w:vAlign w:val="bottom"/>
          </w:tcPr>
          <w:p>
            <w:pPr>
              <w:spacing w:after="0"/>
              <w:rPr>
                <w:sz w:val="18"/>
                <w:szCs w:val="18"/>
                <w:color w:val="auto"/>
              </w:rPr>
            </w:pPr>
          </w:p>
        </w:tc>
        <w:tc>
          <w:tcPr>
            <w:tcW w:w="2140" w:type="dxa"/>
            <w:vAlign w:val="bottom"/>
          </w:tcPr>
          <w:p>
            <w:pPr>
              <w:spacing w:after="0"/>
              <w:rPr>
                <w:sz w:val="18"/>
                <w:szCs w:val="18"/>
                <w:color w:val="auto"/>
              </w:rPr>
            </w:pPr>
          </w:p>
        </w:tc>
      </w:tr>
    </w:tbl>
    <w:p>
      <w:pPr>
        <w:sectPr>
          <w:pgSz w:w="11900" w:h="16838" w:orient="portrait"/>
          <w:cols w:equalWidth="0" w:num="1">
            <w:col w:w="11300"/>
          </w:cols>
          <w:pgMar w:left="240" w:top="274" w:right="35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4"/>
        </w:trPr>
        <w:tc>
          <w:tcPr>
            <w:tcW w:w="4320" w:type="dxa"/>
            <w:vAlign w:val="bottom"/>
          </w:tcPr>
          <w:p>
            <w:pPr>
              <w:spacing w:after="0"/>
              <w:rPr>
                <w:sz w:val="20"/>
                <w:szCs w:val="20"/>
                <w:color w:val="auto"/>
              </w:rPr>
            </w:pPr>
            <w:r>
              <w:rPr>
                <w:rFonts w:ascii="Arial" w:cs="Arial" w:eastAsia="Arial" w:hAnsi="Arial"/>
                <w:sz w:val="14"/>
                <w:szCs w:val="14"/>
                <w:b w:val="1"/>
                <w:bCs w:val="1"/>
                <w:color w:val="auto"/>
              </w:rPr>
              <w:t>Signature</w:t>
            </w:r>
          </w:p>
        </w:tc>
        <w:tc>
          <w:tcPr>
            <w:tcW w:w="3140" w:type="dxa"/>
            <w:vAlign w:val="bottom"/>
          </w:tcPr>
          <w:p>
            <w:pPr>
              <w:ind w:left="340"/>
              <w:spacing w:after="0"/>
              <w:rPr>
                <w:sz w:val="20"/>
                <w:szCs w:val="20"/>
                <w:color w:val="auto"/>
              </w:rPr>
            </w:pPr>
            <w:r>
              <w:rPr>
                <w:rFonts w:ascii="Arial" w:cs="Arial" w:eastAsia="Arial" w:hAnsi="Arial"/>
                <w:sz w:val="14"/>
                <w:szCs w:val="14"/>
                <w:b w:val="1"/>
                <w:bCs w:val="1"/>
                <w:color w:val="auto"/>
              </w:rPr>
              <w:t>Title</w:t>
            </w:r>
          </w:p>
        </w:tc>
        <w:tc>
          <w:tcPr>
            <w:tcW w:w="3360" w:type="dxa"/>
            <w:vAlign w:val="bottom"/>
          </w:tcPr>
          <w:p>
            <w:pPr>
              <w:ind w:left="2200"/>
              <w:spacing w:after="0"/>
              <w:rPr>
                <w:sz w:val="20"/>
                <w:szCs w:val="20"/>
                <w:color w:val="auto"/>
              </w:rPr>
            </w:pPr>
            <w:r>
              <w:rPr>
                <w:rFonts w:ascii="Arial" w:cs="Arial" w:eastAsia="Arial" w:hAnsi="Arial"/>
                <w:sz w:val="14"/>
                <w:szCs w:val="14"/>
                <w:b w:val="1"/>
                <w:bCs w:val="1"/>
                <w:color w:val="auto"/>
              </w:rPr>
              <w:t>Date</w:t>
            </w:r>
          </w:p>
        </w:tc>
      </w:tr>
      <w:tr>
        <w:trPr>
          <w:trHeight w:val="310"/>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T.C. LeFave</w:t>
            </w:r>
          </w:p>
        </w:tc>
        <w:tc>
          <w:tcPr>
            <w:tcW w:w="3140" w:type="dxa"/>
            <w:vAlign w:val="bottom"/>
          </w:tcPr>
          <w:p>
            <w:pPr>
              <w:ind w:left="340"/>
              <w:spacing w:after="0"/>
              <w:rPr>
                <w:sz w:val="20"/>
                <w:szCs w:val="20"/>
                <w:color w:val="auto"/>
              </w:rPr>
            </w:pPr>
            <w:r>
              <w:rPr>
                <w:rFonts w:ascii="Arial" w:cs="Arial" w:eastAsia="Arial" w:hAnsi="Arial"/>
                <w:sz w:val="18"/>
                <w:szCs w:val="18"/>
                <w:color w:val="auto"/>
              </w:rPr>
              <w:t>Director</w:t>
            </w:r>
          </w:p>
        </w:tc>
        <w:tc>
          <w:tcPr>
            <w:tcW w:w="3360" w:type="dxa"/>
            <w:vAlign w:val="bottom"/>
          </w:tcPr>
          <w:p>
            <w:pPr>
              <w:ind w:left="2200"/>
              <w:spacing w:after="0"/>
              <w:rPr>
                <w:sz w:val="20"/>
                <w:szCs w:val="20"/>
                <w:color w:val="auto"/>
              </w:rPr>
            </w:pPr>
            <w:r>
              <w:rPr>
                <w:rFonts w:ascii="Arial" w:cs="Arial" w:eastAsia="Arial" w:hAnsi="Arial"/>
                <w:sz w:val="18"/>
                <w:szCs w:val="18"/>
                <w:color w:val="auto"/>
                <w:w w:val="86"/>
              </w:rPr>
              <w:t>August 16, 2012</w:t>
            </w:r>
          </w:p>
        </w:tc>
      </w:tr>
      <w:tr>
        <w:trPr>
          <w:trHeight w:val="217"/>
        </w:trPr>
        <w:tc>
          <w:tcPr>
            <w:tcW w:w="4320" w:type="dxa"/>
            <w:vAlign w:val="bottom"/>
          </w:tcPr>
          <w:p>
            <w:pPr>
              <w:spacing w:after="0"/>
              <w:rPr>
                <w:sz w:val="20"/>
                <w:szCs w:val="20"/>
                <w:color w:val="auto"/>
              </w:rPr>
            </w:pPr>
            <w:r>
              <w:rPr>
                <w:rFonts w:ascii="Arial" w:cs="Arial" w:eastAsia="Arial" w:hAnsi="Arial"/>
                <w:sz w:val="18"/>
                <w:szCs w:val="18"/>
                <w:color w:val="auto"/>
              </w:rPr>
              <w:t>Richard T.C. LeFave</w:t>
            </w:r>
          </w:p>
        </w:tc>
        <w:tc>
          <w:tcPr>
            <w:tcW w:w="3140" w:type="dxa"/>
            <w:vAlign w:val="bottom"/>
          </w:tcPr>
          <w:p>
            <w:pPr>
              <w:spacing w:after="0"/>
              <w:rPr>
                <w:sz w:val="18"/>
                <w:szCs w:val="18"/>
                <w:color w:val="auto"/>
              </w:rPr>
            </w:pPr>
          </w:p>
        </w:tc>
        <w:tc>
          <w:tcPr>
            <w:tcW w:w="3360" w:type="dxa"/>
            <w:vAlign w:val="bottom"/>
          </w:tcPr>
          <w:p>
            <w:pPr>
              <w:spacing w:after="0"/>
              <w:rPr>
                <w:sz w:val="18"/>
                <w:szCs w:val="18"/>
                <w:color w:val="auto"/>
              </w:rPr>
            </w:pPr>
          </w:p>
        </w:tc>
      </w:tr>
    </w:tbl>
    <w:p>
      <w:pPr>
        <w:spacing w:after="0" w:line="201" w:lineRule="exact"/>
        <w:rPr>
          <w:sz w:val="20"/>
          <w:szCs w:val="20"/>
          <w:color w:val="auto"/>
        </w:rPr>
      </w:pPr>
    </w:p>
    <w:p>
      <w:pPr>
        <w:ind w:left="220" w:hanging="212"/>
        <w:spacing w:after="0" w:line="268" w:lineRule="auto"/>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By the signature set forth below, the undersigned, pursuant to the duly authorized powers of attorney filed with the Securities and Exchange Commission, has signed this Post-Effective Amendment No. 2 to the Registration Statement on behalf of the persons indicated.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Robert A. Minicucci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A. Minicucci</w:t>
      </w:r>
    </w:p>
    <w:sectPr>
      <w:pgSz w:w="11900" w:h="16838" w:orient="portrait"/>
      <w:cols w:equalWidth="0" w:num="1">
        <w:col w:w="11300"/>
      </w:cols>
      <w:pgMar w:left="240" w:top="27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2019-12-09T12:36:37Z</dcterms:created>
  <dcterms:modified xsi:type="dcterms:W3CDTF">2019-12-09T12:36:37Z</dcterms:modified>
</cp:coreProperties>
</file>