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May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06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bookmarkStart w:id="1" w:name="page2"/>
    <w:bookmarkEnd w:id="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May 7, 2020, Amdocs Limited (“Amdocs”) issued a press release announcing financial results for the quarter ended March 31, 2020. A copy of the press release is furnished as Exhibit 99.1 to this Report of Foreign Private Issuer on Form 6-K.</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00"/>
          </w:cols>
          <w:pgMar w:left="440" w:top="274" w:right="55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60"/>
        <w:spacing w:after="0"/>
        <w:tabs>
          <w:tab w:leader="none" w:pos="12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Amdocs Limited Press Release dated May 7, 2020.</w:t>
        </w:r>
      </w:hyperlink>
    </w:p>
    <w:p>
      <w:pPr>
        <w:sectPr>
          <w:pgSz w:w="11900" w:h="16838" w:orient="portrait"/>
          <w:cols w:equalWidth="0" w:num="1">
            <w:col w:w="10019"/>
          </w:cols>
          <w:pgMar w:left="440" w:top="27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Arial" w:cs="Arial" w:eastAsia="Arial" w:hAnsi="Arial"/>
                <w:sz w:val="18"/>
                <w:szCs w:val="18"/>
                <w:color w:val="auto"/>
              </w:rPr>
              <w:t>AMDOCS LIMITED</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7, 2020</w:t>
            </w:r>
          </w:p>
        </w:tc>
        <w:tc>
          <w:tcPr>
            <w:tcW w:w="7540" w:type="dxa"/>
            <w:vAlign w:val="bottom"/>
            <w:gridSpan w:val="2"/>
          </w:tcPr>
          <w:p>
            <w:pPr>
              <w:ind w:left="2140"/>
              <w:spacing w:after="0"/>
              <w:rPr>
                <w:sz w:val="20"/>
                <w:szCs w:val="20"/>
                <w:color w:val="auto"/>
              </w:rPr>
            </w:pPr>
            <w:r>
              <w:rPr>
                <w:rFonts w:ascii="Arial" w:cs="Arial" w:eastAsia="Arial" w:hAnsi="Arial"/>
                <w:sz w:val="18"/>
                <w:szCs w:val="18"/>
                <w:color w:val="auto"/>
              </w:rPr>
              <w:t>By:  /s/ Matthew E. Smith</w:t>
            </w:r>
          </w:p>
        </w:tc>
      </w:tr>
      <w:tr>
        <w:trPr>
          <w:trHeight w:val="195"/>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Matthew E. Smith</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Secretary and Authorized Signatory</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171450</wp:posOffset>
            </wp:positionV>
            <wp:extent cx="180022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2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25"/>
          <w:szCs w:val="25"/>
          <w:b w:val="1"/>
          <w:bCs w:val="1"/>
          <w:color w:val="auto"/>
        </w:rPr>
        <w:t>Amdocs Limited Reports Second Quarter Fiscal 2020 Results</w:t>
      </w:r>
    </w:p>
    <w:p>
      <w:pPr>
        <w:spacing w:after="0" w:line="38" w:lineRule="exact"/>
        <w:rPr>
          <w:sz w:val="20"/>
          <w:szCs w:val="20"/>
          <w:color w:val="auto"/>
        </w:rPr>
      </w:pPr>
    </w:p>
    <w:p>
      <w:pPr>
        <w:jc w:val="center"/>
        <w:ind w:right="-3"/>
        <w:spacing w:after="0"/>
        <w:rPr>
          <w:sz w:val="20"/>
          <w:szCs w:val="20"/>
          <w:color w:val="auto"/>
        </w:rPr>
      </w:pPr>
      <w:r>
        <w:rPr>
          <w:rFonts w:ascii="Arial" w:cs="Arial" w:eastAsia="Arial" w:hAnsi="Arial"/>
          <w:sz w:val="25"/>
          <w:szCs w:val="25"/>
          <w:b w:val="1"/>
          <w:bCs w:val="1"/>
          <w:color w:val="auto"/>
        </w:rPr>
        <w:t>Record Quarterly Revenue of $1.05 Billion</w:t>
      </w:r>
    </w:p>
    <w:p>
      <w:pPr>
        <w:spacing w:after="0" w:line="10" w:lineRule="exact"/>
        <w:rPr>
          <w:sz w:val="20"/>
          <w:szCs w:val="20"/>
          <w:color w:val="auto"/>
        </w:rPr>
      </w:pPr>
    </w:p>
    <w:p>
      <w:pPr>
        <w:jc w:val="center"/>
        <w:ind w:right="-3"/>
        <w:spacing w:after="0"/>
        <w:rPr>
          <w:sz w:val="20"/>
          <w:szCs w:val="20"/>
          <w:color w:val="auto"/>
        </w:rPr>
      </w:pPr>
      <w:r>
        <w:rPr>
          <w:rFonts w:ascii="Arial" w:cs="Arial" w:eastAsia="Arial" w:hAnsi="Arial"/>
          <w:sz w:val="25"/>
          <w:szCs w:val="25"/>
          <w:b w:val="1"/>
          <w:bCs w:val="1"/>
          <w:color w:val="auto"/>
        </w:rPr>
        <w:t>Strong Balance Sheet and Liquidity Position</w:t>
      </w:r>
    </w:p>
    <w:p>
      <w:pPr>
        <w:spacing w:after="0" w:line="1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Updates Fiscal 2020 Business Growth Outlook to Reflect Expected Impact of the COVID-19 Pandemic</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 Quarter Fiscal 2020 Highlights</w:t>
      </w:r>
    </w:p>
    <w:p>
      <w:pPr>
        <w:spacing w:after="0" w:line="256" w:lineRule="exact"/>
        <w:rPr>
          <w:sz w:val="20"/>
          <w:szCs w:val="20"/>
          <w:color w:val="auto"/>
        </w:rPr>
      </w:pPr>
    </w:p>
    <w:p>
      <w:pPr>
        <w:ind w:left="964" w:right="8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Revenue of $1,048 million, slightly above the midpoint of the $1,035-$1,075 million guidance range, adjusting for a negative impact from foreign currency movements of approximately $8 million compared to our guidance assumptions</w:t>
      </w:r>
    </w:p>
    <w:p>
      <w:pPr>
        <w:spacing w:after="0" w:line="197"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diluted EPS of $0.94, above the $0.82-$0.90 guidance range</w:t>
      </w:r>
    </w:p>
    <w:p>
      <w:pPr>
        <w:spacing w:after="0" w:line="252"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diluted EPS of $1.08, above the midpoint of the $1.03-$1.09 guidance range</w:t>
      </w:r>
    </w:p>
    <w:p>
      <w:pPr>
        <w:spacing w:after="0" w:line="252"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operating income of $157 million; GAAP operating margin of 15.0%</w:t>
      </w:r>
    </w:p>
    <w:p>
      <w:pPr>
        <w:spacing w:after="0" w:line="252"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operating income of $181 million; non-GAAP operating margin of 17.2%</w:t>
      </w:r>
    </w:p>
    <w:p>
      <w:pPr>
        <w:spacing w:after="0" w:line="252" w:lineRule="exact"/>
        <w:rPr>
          <w:rFonts w:ascii="Arial" w:cs="Arial" w:eastAsia="Arial" w:hAnsi="Arial"/>
          <w:sz w:val="18"/>
          <w:szCs w:val="18"/>
          <w:color w:val="auto"/>
        </w:rPr>
      </w:pPr>
    </w:p>
    <w:p>
      <w:pPr>
        <w:ind w:left="964" w:right="88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Quarterly free cash flow of $57 million, comprised of cash flow from operations of $103 million, less $46 million in net capital expenditures and other; normalized free cash flow of $76 million (1)</w:t>
      </w:r>
    </w:p>
    <w:p>
      <w:pPr>
        <w:spacing w:after="0" w:line="197"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Cash and cash equivalents of $763 million, including aggregate borrowings of $350 million</w:t>
      </w:r>
    </w:p>
    <w:p>
      <w:pPr>
        <w:spacing w:after="0" w:line="252" w:lineRule="exact"/>
        <w:rPr>
          <w:rFonts w:ascii="Arial" w:cs="Arial" w:eastAsia="Arial" w:hAnsi="Arial"/>
          <w:sz w:val="18"/>
          <w:szCs w:val="18"/>
          <w:color w:val="auto"/>
        </w:rPr>
      </w:pPr>
    </w:p>
    <w:p>
      <w:pPr>
        <w:ind w:left="964" w:right="50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Twelve-month backlog of $3.46 billion, down $60 million sequentially and up 2.1% as compared to last year’s second fiscal quarter; twelve-month backlog was approximately flat sequentially, adjusting for foreign currency movements</w:t>
      </w:r>
    </w:p>
    <w:p>
      <w:pPr>
        <w:spacing w:after="0" w:line="197"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of $0.3275 per share to be paid on July 24, 2020</w:t>
      </w:r>
    </w:p>
    <w:p>
      <w:pPr>
        <w:spacing w:after="0" w:line="220" w:lineRule="exact"/>
        <w:rPr>
          <w:rFonts w:ascii="Arial" w:cs="Arial" w:eastAsia="Arial" w:hAnsi="Arial"/>
          <w:sz w:val="18"/>
          <w:szCs w:val="18"/>
          <w:color w:val="auto"/>
        </w:rPr>
      </w:pPr>
    </w:p>
    <w:p>
      <w:pPr>
        <w:ind w:left="304" w:hanging="304"/>
        <w:spacing w:after="0"/>
        <w:tabs>
          <w:tab w:leader="none" w:pos="304" w:val="left"/>
        </w:tabs>
        <w:numPr>
          <w:ilvl w:val="0"/>
          <w:numId w:val="1"/>
        </w:numPr>
        <w:rPr>
          <w:rFonts w:ascii="Arial" w:cs="Arial" w:eastAsia="Arial" w:hAnsi="Arial"/>
          <w:sz w:val="14"/>
          <w:szCs w:val="14"/>
          <w:color w:val="auto"/>
        </w:rPr>
      </w:pPr>
      <w:r>
        <w:rPr>
          <w:rFonts w:ascii="Arial" w:cs="Arial" w:eastAsia="Arial" w:hAnsi="Arial"/>
          <w:sz w:val="14"/>
          <w:szCs w:val="14"/>
          <w:color w:val="auto"/>
        </w:rPr>
        <w:t>Please refer to the Selected Financial Metrics tables below (figures may not sum because of rounding).</w:t>
      </w:r>
    </w:p>
    <w:p>
      <w:pPr>
        <w:sectPr>
          <w:pgSz w:w="11900" w:h="16838" w:orient="portrait"/>
          <w:cols w:equalWidth="0" w:num="1">
            <w:col w:w="11024"/>
          </w:cols>
          <w:pgMar w:left="436" w:top="121" w:right="4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 LOUIS – May 7, 2020 </w:t>
      </w:r>
      <w:r>
        <w:rPr>
          <w:rFonts w:ascii="Arial" w:cs="Arial" w:eastAsia="Arial" w:hAnsi="Arial"/>
          <w:sz w:val="17"/>
          <w:szCs w:val="17"/>
          <w:color w:val="auto"/>
        </w:rPr>
        <w:t>– Amdocs Limited (NASDAQ: DOX) today reported operating results for the three months ended March 31, 2020.</w:t>
      </w:r>
    </w:p>
    <w:p>
      <w:pPr>
        <w:spacing w:after="0" w:line="24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 am proud of our results for the second fiscal quarter, especially considering the global health and economic crisis created by the COVID-19 pandemic. We delivered record-high revenue, that was slightly above the midpoint of our guidance adjusting for foreign currency headwinds. We also had our best-ever quarter in North America, during which we secured a significant project with a major new logo. Around the world, Amdocs Media signed several new deals, including an expanded pan-European agreement at Liberty Global to deliver cloud-based seamless end user access to media content and communication services. At the operating level, we delivered stable profitability and we ended the quarter with solid free cash flow generation, a strong balance sheet and enough liquidity to support our ongoing business requirements and future growth investments,” said Shuky Sheffer, president and chief executive officer of Amdocs Management Limited.</w:t>
      </w:r>
    </w:p>
    <w:p>
      <w:pPr>
        <w:spacing w:after="0" w:line="17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Sheffer continued, “Amdocs was among the first in our industry to proactively address the business impact of the COVID-19 crisis. We quickly adapted our global operations to ensure business continuity and the health and well-being of our employees, customers and partners. By mid-March, nearly all our 25,000 employees were equipped to work from home, remotely operating the mission critical systems required to support our customers’ operations across 85 countries. Furthermore, we underwent this change while maintaining a high level of productivity, successfully completing an incredible 20 go-lives in March using new methodologies, best-in-class practices and a variety of remote deployment tools. I would like to take a moment to warmly thank our employees for their professionalism, commitment and ability to quickly adapt to new circumstances during this critical time.”</w:t>
      </w:r>
    </w:p>
    <w:p>
      <w:pPr>
        <w:spacing w:after="0" w:line="164"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Sheffer concluded, “As a result of the business disruption caused by the COVID-19 pandemic, several deals did not close as planned in March. The slower pace of pipeline conversion is impacting our outlook in the fiscal second half, but we are encouraged to say that some deals have since been signed early in Q3. We believe we can still generate positive revenue and earnings growth at the midpoint of our guidance for the full fiscal year, as supported by the visibility of our 12-month backlog. We are providing a financial outlook</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third fiscal quarter of fiscal 2020 and the full fiscal year 2020, but we remind you that these are based on our current expectations at a time of great uncertainty regarding the spread and severity of the COVID-19 pandemic and the adverse effects on the global economy remains. We remain confident in our leading market position serving the mission critical needs of the world’s largest communication and media companies, often under long-term managed services contracts with highly visible and recurring revenue streams attached. Additionally, we believe we have the right solutions to accelerate major industry drivers such as digital modernization, 5G and the journey to the cloud, and we will continue to invest during and after the pandemic to ensure we emerge from this crisis with an even stronger competitive advantage than before.”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Revenue for the second fiscal quarter ended March 31, 2020 was $1,048 million, up $6 million sequentially from the first fiscal quarter of 2020 and up 2.8% as reported and 3.7% in constant currency as compared to last year’s second fiscal quarter. Revenue for the second fiscal quarter of 2020 includes a negative impact from foreign currency movements of approximately $6 million relative to the first quarter of fiscal 2020. Revenue was slightly above the midpoint of Amdocs’ guidance, adjusting for the negative impact of approximately $8 million of foreign currency movements relative to guidance.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GAAP net income for the second quarter of fiscal 2020 was $127.0 million, or $0.94 per diluted share, compared to GAAP net income of $124.3 million, or $0.90 per diluted share, in the prior fiscal year’s second quarter. Net income on a non-GAAP basis was $145.7 million, or $1.08 per diluted share, compared to non-GAAP net income of $147.0 million, or $1.06 per diluted share, in the second quarter of fiscal 2019. Non-GAAP net income excludes amortization of purchased intangible assets and other acquisition-related costs, changes in certain acquisitions related liabilities measured at fair value, equity-based compensation expenses, net of related tax effects, in the second quarter of fiscal 2020 and in the second quarter of fiscal 2019.</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further details of reconciliation of selected financial metrics from GAAP to Non-GAAP, please refer to the tables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960" w:right="10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May 7, 2020, the Board approved the Company’s next quarterly cash dividend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$0.3275 per share and set June 30, 2020 as the record date for determining the shareholders entitled to receive the dividend, which will be payable on July 24, 2020.</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$120 million of ordinary shares during the second quarter of fiscal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$3.46 billion at the end of the second quarter of fiscal 2020, down $60 million from the end of the prior quarter and up 2.1% as compared to last year’s second fiscal quarter. Adjusting for foreign currency movements, twelve-month backlog was approximately flat on a sequential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2020 Outlook</w:t>
      </w:r>
    </w:p>
    <w:p>
      <w:pPr>
        <w:spacing w:after="0" w:line="135" w:lineRule="exact"/>
        <w:rPr>
          <w:sz w:val="20"/>
          <w:szCs w:val="20"/>
          <w:color w:val="auto"/>
        </w:rPr>
      </w:pPr>
    </w:p>
    <w:p>
      <w:pPr>
        <w:ind w:left="960" w:right="3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approximately $990-$1,040 million, assuming approximately $8 million sequential negative impact from foreign currency fluctuations as compared to the second quarter of fiscal 2020</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diluted EPS of approximately $0.81-$0.91</w:t>
      </w:r>
    </w:p>
    <w:p>
      <w:pPr>
        <w:spacing w:after="0" w:line="130" w:lineRule="exact"/>
        <w:rPr>
          <w:rFonts w:ascii="Arial" w:cs="Arial" w:eastAsia="Arial" w:hAnsi="Arial"/>
          <w:sz w:val="18"/>
          <w:szCs w:val="18"/>
          <w:color w:val="auto"/>
        </w:rPr>
      </w:pPr>
    </w:p>
    <w:p>
      <w:pPr>
        <w:ind w:left="960" w:right="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diluted EPS of approximately $1.00-$1.08, excluding amortization of purchased intangible assets and other acquisition-related costs, changes in certain acquisitions related liabilities measured at fair value, and approximately $0.06-$0.08 per share of equity-based compensation expense, net of related tax effects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2020 Outlook</w:t>
      </w:r>
    </w:p>
    <w:p>
      <w:pPr>
        <w:spacing w:after="0" w:line="135"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growth of (0.5%) -2.5% year-over-year on a reported basis as compared with 2.5%-5.5% year-over-year previously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growth of 0.5%-3.5% year-over-year on a constant currency basis as compared with 2.5%-5.5% year-over-year previously</w:t>
      </w:r>
    </w:p>
    <w:p>
      <w:pPr>
        <w:spacing w:after="0" w:line="142" w:lineRule="exact"/>
        <w:rPr>
          <w:rFonts w:ascii="Arial" w:cs="Arial" w:eastAsia="Arial" w:hAnsi="Arial"/>
          <w:sz w:val="17"/>
          <w:szCs w:val="17"/>
          <w:color w:val="auto"/>
        </w:rPr>
      </w:pPr>
    </w:p>
    <w:p>
      <w:pPr>
        <w:ind w:left="960" w:right="220" w:hanging="424"/>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Full year fiscal 2020 revenue guidance incorporates just over 1% of growth from the acquisition of TTS Wireless, and a negative impact from foreign currency fluctuations of approximately 1% as compared with an immaterial impact year-over-year previously</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GAAP diluted earnings per share growth of roughly 4.0%-10.0% year-over-year as compared with 5.0%-12.0% year-over-year previously</w:t>
      </w:r>
    </w:p>
    <w:p>
      <w:pPr>
        <w:spacing w:after="0" w:line="153" w:lineRule="exact"/>
        <w:rPr>
          <w:rFonts w:ascii="Arial" w:cs="Arial" w:eastAsia="Arial" w:hAnsi="Arial"/>
          <w:sz w:val="16"/>
          <w:szCs w:val="16"/>
          <w:color w:val="auto"/>
        </w:rPr>
      </w:pPr>
    </w:p>
    <w:p>
      <w:pPr>
        <w:ind w:left="960" w:hanging="424"/>
        <w:spacing w:after="0" w:line="31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Non-GAAP diluted earnings per share growth of roughly 0.0%-4.0% year-over-year as compared with 3.0%- 7.0% year-over-year previously, excluding amortization of purchased intangible assets and other acquisition-related costs, changes in certain acquisitions related liabilities measured at fair value, and approximately $0.24-$0.28 per share of equity-based compensation expense, net of related tax effects</w:t>
      </w:r>
    </w:p>
    <w:p>
      <w:pPr>
        <w:spacing w:after="0" w:line="54" w:lineRule="exact"/>
        <w:rPr>
          <w:rFonts w:ascii="Arial" w:cs="Arial" w:eastAsia="Arial" w:hAnsi="Arial"/>
          <w:sz w:val="16"/>
          <w:szCs w:val="16"/>
          <w:color w:val="auto"/>
        </w:rPr>
      </w:pPr>
    </w:p>
    <w:p>
      <w:pPr>
        <w:ind w:left="960" w:hanging="42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Reiterates free cash flow of approximately $400 million, comprised of cash flow from operations, less net capital expenditures and other</w:t>
      </w:r>
    </w:p>
    <w:p>
      <w:pPr>
        <w:spacing w:after="0" w:line="153" w:lineRule="exact"/>
        <w:rPr>
          <w:rFonts w:ascii="Arial" w:cs="Arial" w:eastAsia="Arial" w:hAnsi="Arial"/>
          <w:sz w:val="16"/>
          <w:szCs w:val="16"/>
          <w:color w:val="auto"/>
        </w:rPr>
      </w:pPr>
    </w:p>
    <w:p>
      <w:pPr>
        <w:ind w:left="960" w:right="4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Reiterates normalized free cash flow of approximately $500 million; normalized free cash flow excludes capital expenditure of up to $90 million related to the new campus development in Israel, and other items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third fiscal quarter 2020 and full year fiscal 2020 outlook takes into consideration the Company’s current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the COVID-19 pandemic, which has created a significant amount of uncertainty, and from T-Mobile’s recently completed merger with Sprint, or from other current and potential customer consolidation activity.</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Conference Call Details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Amdocs will host a conference call on May 7, 2020 at 5:00 p.m. Eastern Time to discuss the Company’s second quarter of fiscal 2020 results. To participate, please dial +1 (844) 513-7152, or +1 (508) 637-5600 outside the United States, approximately 15 minutes before the call and enter passcode 3006068. The call will also be carried live on the Internet via the Amdocs website, www.amdocs.com.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release includes non-GAAP diluted earnings per share and other non-GAAP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non-GAAP measures exclude the following items:</w:t>
      </w:r>
    </w:p>
    <w:p>
      <w:pPr>
        <w:spacing w:after="0" w:line="77"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non-recurring and unusual charges;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previously expensed restructuring charges, payments for legal dispute settlement,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0940"/>
          </w:cols>
          <w:pgMar w:left="440" w:top="270" w:right="519" w:bottom="1440" w:gutter="0" w:footer="0" w:header="0"/>
        </w:sectPr>
      </w:pPr>
    </w:p>
    <w:bookmarkStart w:id="8" w:name="page9"/>
    <w:bookmarkEnd w:id="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6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1900" w:h="16838" w:orient="portrait"/>
          <w:cols w:equalWidth="0" w:num="1">
            <w:col w:w="10960"/>
          </w:cols>
          <w:pgMar w:left="440" w:top="274"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Supporting Resources</w:t>
      </w:r>
    </w:p>
    <w:p>
      <w:pPr>
        <w:spacing w:after="0" w:line="135"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Amdocs’ purpose is to enrich lives and progress society, using creativity and technology to build a better connected world. Amdocs and its 25,000 employees partner with the leading players in the communications and media industry, enabling next-generation experiences in 85 countries. Our cloud-native, open and dynamic portfolio of digital solutions, platforms and services brings greater choice, faster time to market and flexibility, to better meet the evolving needs of our customers as they drive growth, transform and take their business to the cloud. Listed on the NASDAQ Global Select Market, Amdocs had revenue of $4.1 billion in fiscal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2019 filed on December 16, 2019 and our Form 6-K furnished for the first quarter of fiscal 2020 on February 18,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0980"/>
          </w:cols>
          <w:pgMar w:left="440" w:top="270" w:right="4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1,047,933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1,019,657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2,089,890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2,031,712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658,613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1,370,282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1,321,181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68,795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66,765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136,106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135,451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120,463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242,323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40,638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49,485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1,789,601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1,748,440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150,175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148,309</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56,957</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124,279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134,443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138,918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0.535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6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1,047,933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1,019,657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2,089,890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2,031,712</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180,524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177,762</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358,464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352,611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147,008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289,844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284,826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138,698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135,339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139,612</w:t>
            </w:r>
          </w:p>
        </w:tc>
      </w:tr>
    </w:tbl>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Free Cash Flows and Normalized Free Cash Flow</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168,629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278,279</w:t>
            </w:r>
          </w:p>
        </w:tc>
        <w:tc>
          <w:tcPr>
            <w:tcW w:w="1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Purchases of property and equipment, net (*)</w:t>
            </w:r>
          </w:p>
        </w:tc>
        <w:tc>
          <w:tcPr>
            <w:tcW w:w="18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(46,170)</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(20,650)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(104,705)</w:t>
            </w: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(57,928)</w:t>
            </w:r>
          </w:p>
        </w:tc>
      </w:tr>
      <w:tr>
        <w:trPr>
          <w:trHeight w:val="27"/>
        </w:trPr>
        <w:tc>
          <w:tcPr>
            <w:tcW w:w="6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147,979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162,071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220,351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Payments for legal dispute settlement</w:t>
            </w:r>
          </w:p>
        </w:tc>
        <w:tc>
          <w:tcPr>
            <w:tcW w:w="1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55,000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Payment of acquisition related liabilities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4,314</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1,645</w:t>
            </w: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10,939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capital expenditures related to the new campus development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31,292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(5,616)</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Normalized Free Cash Flow</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75,932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144,623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196,758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280,674</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4" w:right="120" w:hanging="4"/>
        <w:spacing w:after="0" w:line="238" w:lineRule="auto"/>
        <w:tabs>
          <w:tab w:leader="none" w:pos="208"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amounts under “Purchase of property and equipment, net” and the amounts under “Net capital expenditures related to the new campus development”, include proceeds from sale of property and equipment of $82 and $63, for the six months ended March 31, 2020 and 2019, respectively, and proceeds of $9,676 relating to the refund of betterment levy, for the six months ended March 31, 2019 ($4,776 of which was a refund to the noncontrolling interests).</w:t>
      </w:r>
    </w:p>
    <w:p>
      <w:pPr>
        <w:sectPr>
          <w:pgSz w:w="11900" w:h="16838" w:orient="portrait"/>
          <w:cols w:equalWidth="0" w:num="1">
            <w:col w:w="11024"/>
          </w:cols>
          <w:pgMar w:left="436" w:top="270"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4"/>
              </w:rPr>
              <w:t>March 31, 2020</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98"/>
              </w:rPr>
              <w:t>Reconciliation items</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Changes in certain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 purchased</w:t>
            </w:r>
          </w:p>
        </w:tc>
        <w:tc>
          <w:tcPr>
            <w:tcW w:w="120" w:type="dxa"/>
            <w:vAlign w:val="bottom"/>
          </w:tcPr>
          <w:p>
            <w:pPr>
              <w:spacing w:after="0"/>
              <w:rPr>
                <w:sz w:val="12"/>
                <w:szCs w:val="12"/>
                <w:color w:val="auto"/>
              </w:rPr>
            </w:pP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1"/>
              </w:rPr>
              <w:t>Equity based</w:t>
            </w: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expense</w:t>
            </w: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at fair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effect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$683,970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(4,693)</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6,284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$ 685,561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68,795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68,072</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119,108</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(5,332)</w:t>
            </w:r>
          </w:p>
        </w:tc>
        <w:tc>
          <w:tcPr>
            <w:tcW w:w="6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113,776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 assets and other</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19,348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891,221</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(10,748)</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156,712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10,748</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180,524</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Income taxes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27,384</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127,038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10,748</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(5,161)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$ 145,689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4"/>
              </w:rPr>
              <w:t>March 31, 2019</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98"/>
              </w:rPr>
              <w:t>Reconciliation items</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Changes in certain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 purchased</w:t>
            </w:r>
          </w:p>
        </w:tc>
        <w:tc>
          <w:tcPr>
            <w:tcW w:w="12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expense</w:t>
            </w: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at fair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effect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$658,613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(5,330)</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5,668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$ 658,951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66,765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66,181</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120,463</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(3,700)</w:t>
            </w:r>
          </w:p>
        </w:tc>
        <w:tc>
          <w:tcPr>
            <w:tcW w:w="6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116,763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 assets and other</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23,641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869,482</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841,895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150,175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9,614</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177,762</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Income taxes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24,030</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124,279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9,614</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(4,858)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$ 147,008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ind w:left="440"/>
              <w:spacing w:after="0"/>
              <w:rPr>
                <w:sz w:val="20"/>
                <w:szCs w:val="20"/>
                <w:color w:val="auto"/>
              </w:rPr>
            </w:pPr>
            <w:r>
              <w:rPr>
                <w:rFonts w:ascii="Arial" w:cs="Arial" w:eastAsia="Arial" w:hAnsi="Arial"/>
                <w:sz w:val="14"/>
                <w:szCs w:val="14"/>
                <w:b w:val="1"/>
                <w:bCs w:val="1"/>
                <w:color w:val="auto"/>
                <w:w w:val="99"/>
              </w:rPr>
              <w:t>Six months ended</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March 31, 2020</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w w:val="95"/>
              </w:rPr>
              <w:t>Reconciliation items</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Changes in certain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purchased</w:t>
            </w: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Equity based</w:t>
            </w:r>
          </w:p>
        </w:tc>
        <w:tc>
          <w:tcPr>
            <w:tcW w:w="1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intangible</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at fair value</w:t>
            </w: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effect</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1,370,282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(10,039)</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3,972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$1,364,215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134,580</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242,575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(9,944)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232,631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Amortization of purchased intangible assets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(40,638)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1,789,601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(40,638)</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1,731,426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40,638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21,509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358,464</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242,970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40,638</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21,509</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(11,301)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289,844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ind w:left="440"/>
              <w:spacing w:after="0"/>
              <w:rPr>
                <w:sz w:val="20"/>
                <w:szCs w:val="20"/>
                <w:color w:val="auto"/>
              </w:rPr>
            </w:pPr>
            <w:r>
              <w:rPr>
                <w:rFonts w:ascii="Arial" w:cs="Arial" w:eastAsia="Arial" w:hAnsi="Arial"/>
                <w:sz w:val="14"/>
                <w:szCs w:val="14"/>
                <w:b w:val="1"/>
                <w:bCs w:val="1"/>
                <w:color w:val="auto"/>
                <w:w w:val="99"/>
              </w:rPr>
              <w:t>Six months ended</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March 31, 2019</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w w:val="95"/>
              </w:rPr>
              <w:t>Reconciliation items</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Changes in certain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purchased</w:t>
            </w: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Equity based</w:t>
            </w:r>
          </w:p>
        </w:tc>
        <w:tc>
          <w:tcPr>
            <w:tcW w:w="1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intangible</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at fair value</w:t>
            </w: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effect</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1,321,181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(10,181)</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$1,312,877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134,102</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242,323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232,122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Amortization of purchased intangible assets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(49,485)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1,748,440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(49,485)</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(1,877)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1,679,101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49,485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21,731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352,611</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225,971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49,485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21,731</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(10,484)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284,826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9"/>
              </w:rPr>
              <w:t>March 31,</w:t>
            </w:r>
          </w:p>
        </w:tc>
        <w:tc>
          <w:tcPr>
            <w:tcW w:w="26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30, 2019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762,602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471,632</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Accounts receivable, net, including unbilled of $190,886 and $227,061, respectively</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946,279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987,858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216,084</w:t>
            </w:r>
          </w:p>
        </w:tc>
        <w:tc>
          <w:tcPr>
            <w:tcW w:w="0" w:type="dxa"/>
            <w:vAlign w:val="bottom"/>
          </w:tcPr>
          <w:p>
            <w:pPr>
              <w:spacing w:after="0"/>
              <w:rPr>
                <w:sz w:val="1"/>
                <w:szCs w:val="1"/>
                <w:color w:val="auto"/>
              </w:rPr>
            </w:pP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1,951,234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1,675,574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554,765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525,314</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Lease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288,489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2,656,038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2,667,997</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455,052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5,905,578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5,292,826</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1,019,558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1,089,748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59,767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118,182</w:t>
            </w:r>
          </w:p>
        </w:tc>
        <w:tc>
          <w:tcPr>
            <w:tcW w:w="0" w:type="dxa"/>
            <w:vAlign w:val="bottom"/>
          </w:tcPr>
          <w:p>
            <w:pPr>
              <w:spacing w:after="0"/>
              <w:rPr>
                <w:sz w:val="1"/>
                <w:szCs w:val="1"/>
                <w:color w:val="auto"/>
              </w:rPr>
            </w:pP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1,566,793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1,207,930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218,391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541,582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542,430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3,536,303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3,499,957</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3,578,812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3,542,466</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5,905,578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5,292,826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Six months ended</w:t>
      </w:r>
    </w:p>
    <w:p>
      <w:pPr>
        <w:jc w:val="center"/>
        <w:ind w:left="89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 w:type="dxa"/>
        <w:tblCellMar>
          <w:top w:w="0" w:type="dxa"/>
          <w:left w:w="0" w:type="dxa"/>
          <w:bottom w:w="0" w:type="dxa"/>
          <w:right w:w="0" w:type="dxa"/>
        </w:tblCellMar>
      </w:tblPr>
      <w:tr>
        <w:trPr>
          <w:trHeight w:val="142"/>
        </w:trPr>
        <w:tc>
          <w:tcPr>
            <w:tcW w:w="9100" w:type="dxa"/>
            <w:vAlign w:val="bottom"/>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9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$ 242,970</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$ 225,971</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98,107</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101,853</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21,509</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21,731</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9,150</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4,395</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513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19,957</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14,806</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(22,637)</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8,758</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359</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Lease assets and liabilities, net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(11,947)</w:t>
            </w:r>
          </w:p>
        </w:tc>
        <w:tc>
          <w:tcPr>
            <w:tcW w:w="1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(96,647)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(84,922)</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17,616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(1,107)</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(6,640)</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(17,502)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(7,438)</w:t>
            </w:r>
          </w:p>
        </w:tc>
      </w:tr>
      <w:tr>
        <w:trPr>
          <w:trHeight w:val="27"/>
        </w:trPr>
        <w:tc>
          <w:tcPr>
            <w:tcW w:w="9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278,279</w:t>
            </w:r>
          </w:p>
        </w:tc>
      </w:tr>
      <w:tr>
        <w:trPr>
          <w:trHeight w:val="331"/>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net (*)</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(104,705)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(57,928)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50,609</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(8,331)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(3,273)</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398</w:t>
            </w:r>
          </w:p>
        </w:tc>
      </w:tr>
      <w:tr>
        <w:trPr>
          <w:trHeight w:val="27"/>
        </w:trPr>
        <w:tc>
          <w:tcPr>
            <w:tcW w:w="9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(107,978)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(15,252)</w:t>
            </w:r>
          </w:p>
        </w:tc>
      </w:tr>
      <w:tr>
        <w:trPr>
          <w:trHeight w:val="331"/>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Repurchase of shares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(210,048)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(219,214)</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70,639</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11,499</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Payments of dividends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(76,770)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(69,801)</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interests, net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(4,776)</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(1,411)</w:t>
            </w:r>
          </w:p>
        </w:tc>
        <w:tc>
          <w:tcPr>
            <w:tcW w:w="1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15"/>
        </w:trPr>
        <w:tc>
          <w:tcPr>
            <w:tcW w:w="9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290,970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(19,588)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471,632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418,783</w:t>
            </w:r>
          </w:p>
        </w:tc>
      </w:tr>
      <w:tr>
        <w:trPr>
          <w:trHeight w:val="27"/>
        </w:trPr>
        <w:tc>
          <w:tcPr>
            <w:tcW w:w="9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$ 762,602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$ 399,195</w:t>
            </w:r>
          </w:p>
        </w:tc>
      </w:tr>
      <w:tr>
        <w:trPr>
          <w:trHeight w:val="20"/>
        </w:trPr>
        <w:tc>
          <w:tcPr>
            <w:tcW w:w="9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4" w:right="320" w:hanging="4"/>
        <w:spacing w:after="0" w:line="263"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$82 and $63, for the six months ended March 31, 2020 and 2019, respectively, and proceeds of $9,676 relating to the refund of betterment levy for the six months ended March 31, 2019 ($4,776 of which was a refund to the noncontrolling interests).</w:t>
      </w:r>
    </w:p>
    <w:p>
      <w:pPr>
        <w:sectPr>
          <w:pgSz w:w="11900" w:h="16838" w:orient="portrait"/>
          <w:cols w:equalWidth="0" w:num="1">
            <w:col w:w="11024"/>
          </w:cols>
          <w:pgMar w:left="436" w:top="270" w:right="4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 w:type="dxa"/>
            <w:vAlign w:val="bottom"/>
          </w:tcPr>
          <w:p>
            <w:pPr>
              <w:spacing w:after="0"/>
              <w:rPr>
                <w:sz w:val="10"/>
                <w:szCs w:val="10"/>
                <w:color w:val="auto"/>
              </w:rPr>
            </w:pPr>
          </w:p>
        </w:tc>
        <w:tc>
          <w:tcPr>
            <w:tcW w:w="7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3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w w:val="84"/>
              </w:rPr>
              <w:t>644.2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643.9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Europe</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148.3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154.7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360"/>
              <w:spacing w:after="0"/>
              <w:rPr>
                <w:sz w:val="20"/>
                <w:szCs w:val="20"/>
                <w:color w:val="auto"/>
              </w:rPr>
            </w:pPr>
            <w:r>
              <w:rPr>
                <w:rFonts w:ascii="Arial" w:cs="Arial" w:eastAsia="Arial" w:hAnsi="Arial"/>
                <w:sz w:val="18"/>
                <w:szCs w:val="18"/>
                <w:color w:val="auto"/>
              </w:rPr>
              <w:t>156.1</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151.0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230.0</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234.5</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Revenue</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w w:val="86"/>
              </w:rPr>
              <w:t>1,030.3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1,019.7</w:t>
            </w:r>
          </w:p>
        </w:tc>
        <w:tc>
          <w:tcPr>
            <w:tcW w:w="6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3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March 31,</w:t>
            </w:r>
          </w:p>
        </w:tc>
        <w:tc>
          <w:tcPr>
            <w:tcW w:w="420" w:type="dxa"/>
            <w:vAlign w:val="bottom"/>
          </w:tcPr>
          <w:p>
            <w:pPr>
              <w:spacing w:after="0"/>
              <w:rPr>
                <w:sz w:val="10"/>
                <w:szCs w:val="10"/>
                <w:color w:val="auto"/>
              </w:rPr>
            </w:pPr>
          </w:p>
        </w:tc>
        <w:tc>
          <w:tcPr>
            <w:tcW w:w="1260" w:type="dxa"/>
            <w:vAlign w:val="bottom"/>
            <w:gridSpan w:val="7"/>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3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39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583.3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60" w:type="dxa"/>
            <w:vAlign w:val="bottom"/>
            <w:shd w:val="clear" w:color="auto" w:fill="CCEEFF"/>
          </w:tcPr>
          <w:p>
            <w:pPr>
              <w:spacing w:after="0"/>
              <w:rPr>
                <w:sz w:val="18"/>
                <w:szCs w:val="18"/>
                <w:color w:val="auto"/>
              </w:rPr>
            </w:pPr>
          </w:p>
        </w:tc>
      </w:tr>
      <w:tr>
        <w:trPr>
          <w:trHeight w:val="399"/>
        </w:trPr>
        <w:tc>
          <w:tcPr>
            <w:tcW w:w="3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March 31,</w:t>
            </w:r>
          </w:p>
        </w:tc>
        <w:tc>
          <w:tcPr>
            <w:tcW w:w="420" w:type="dxa"/>
            <w:vAlign w:val="bottom"/>
          </w:tcPr>
          <w:p>
            <w:pPr>
              <w:spacing w:after="0"/>
              <w:rPr>
                <w:sz w:val="10"/>
                <w:szCs w:val="10"/>
                <w:color w:val="auto"/>
              </w:rPr>
            </w:pPr>
          </w:p>
        </w:tc>
        <w:tc>
          <w:tcPr>
            <w:tcW w:w="1260" w:type="dxa"/>
            <w:vAlign w:val="bottom"/>
            <w:gridSpan w:val="7"/>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3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39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3,490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2020-05-08T05:04:43Z</dcterms:created>
  <dcterms:modified xsi:type="dcterms:W3CDTF">2020-05-08T05:04:43Z</dcterms:modified>
</cp:coreProperties>
</file>