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6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6-K</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REPORT OF FOREIGN PRIVATE ISSUER</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PURSUANT TO RULE 13A-16 OR 15D-16 OF</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61"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For the Quarter Ended June 30, 2005</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Commission File Number 1-14840</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3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Suite 5, Tower Hill House Le Bordage</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16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Amdocs, Inc.</w:t>
      </w:r>
    </w:p>
    <w:p>
      <w:pPr>
        <w:spacing w:after="0" w:line="3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16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91" w:lineRule="exact"/>
        <w:rPr>
          <w:sz w:val="24"/>
          <w:szCs w:val="24"/>
          <w:color w:val="auto"/>
        </w:rPr>
      </w:pPr>
    </w:p>
    <w:p>
      <w:pPr>
        <w:ind w:right="2559"/>
        <w:spacing w:after="0" w:line="367"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pacing w:after="0" w:line="5" w:lineRule="exact"/>
        <w:rPr>
          <w:sz w:val="24"/>
          <w:szCs w:val="24"/>
          <w:color w:val="auto"/>
        </w:rPr>
      </w:pPr>
    </w:p>
    <w:p>
      <w:pPr>
        <w:ind w:left="2420"/>
        <w:spacing w:after="0"/>
        <w:tabs>
          <w:tab w:leader="none" w:pos="4240" w:val="left"/>
        </w:tabs>
        <w:rPr>
          <w:sz w:val="20"/>
          <w:szCs w:val="20"/>
          <w:color w:val="auto"/>
        </w:rPr>
      </w:pPr>
      <w:r>
        <w:rPr>
          <w:rFonts w:ascii="Courier New" w:cs="Courier New" w:eastAsia="Courier New" w:hAnsi="Courier New"/>
          <w:sz w:val="16"/>
          <w:szCs w:val="16"/>
          <w:color w:val="auto"/>
        </w:rPr>
        <w:t>FORM 20-F [X]</w:t>
      </w:r>
      <w:r>
        <w:rPr>
          <w:sz w:val="20"/>
          <w:szCs w:val="20"/>
          <w:color w:val="auto"/>
        </w:rPr>
        <w:tab/>
      </w:r>
      <w:r>
        <w:rPr>
          <w:rFonts w:ascii="Courier New" w:cs="Courier New" w:eastAsia="Courier New" w:hAnsi="Courier New"/>
          <w:sz w:val="16"/>
          <w:szCs w:val="16"/>
          <w:color w:val="auto"/>
        </w:rPr>
        <w:t>FORM 40-F [ ]</w:t>
      </w:r>
    </w:p>
    <w:p>
      <w:pPr>
        <w:spacing w:after="0" w:line="191" w:lineRule="exact"/>
        <w:rPr>
          <w:sz w:val="24"/>
          <w:szCs w:val="24"/>
          <w:color w:val="auto"/>
        </w:rPr>
      </w:pPr>
    </w:p>
    <w:p>
      <w:pPr>
        <w:ind w:right="2459"/>
        <w:spacing w:after="0" w:line="307"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50" w:lineRule="exact"/>
        <w:rPr>
          <w:sz w:val="24"/>
          <w:szCs w:val="24"/>
          <w:color w:val="auto"/>
        </w:rPr>
      </w:pPr>
    </w:p>
    <w:p>
      <w:pPr>
        <w:ind w:left="2620"/>
        <w:spacing w:after="0"/>
        <w:tabs>
          <w:tab w:leader="none" w:pos="3080" w:val="left"/>
          <w:tab w:leader="none" w:pos="4240" w:val="left"/>
          <w:tab w:leader="none" w:pos="4640" w:val="left"/>
        </w:tabs>
        <w:rPr>
          <w:sz w:val="20"/>
          <w:szCs w:val="20"/>
          <w:color w:val="auto"/>
        </w:rPr>
      </w:pPr>
      <w:r>
        <w:rPr>
          <w:rFonts w:ascii="Courier New" w:cs="Courier New" w:eastAsia="Courier New" w:hAnsi="Courier New"/>
          <w:sz w:val="16"/>
          <w:szCs w:val="16"/>
          <w:color w:val="auto"/>
        </w:rPr>
        <w:t>YES</w:t>
        <w:tab/>
        <w:t>[ ]</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5"/>
          <w:szCs w:val="15"/>
          <w:color w:val="auto"/>
        </w:rPr>
        <w:t>[X]</w:t>
      </w:r>
    </w:p>
    <w:p>
      <w:pPr>
        <w:sectPr>
          <w:pgSz w:w="11900" w:h="16838" w:orient="portrait"/>
          <w:cols w:equalWidth="0" w:num="1">
            <w:col w:w="10219"/>
          </w:cols>
          <w:pgMar w:left="240" w:top="584" w:right="1440" w:bottom="1440" w:gutter="0" w:footer="0" w:header="0"/>
        </w:sectPr>
      </w:pPr>
    </w:p>
    <w:bookmarkStart w:id="1" w:name="page2"/>
    <w:bookmarkEnd w:id="1"/>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6-K</w:t>
      </w: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REPORT OF FOREIGN PRIVATE ISSUER</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FOR THE QUARTER ENDED JUNE 30, 2005</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INDEX</w:t>
      </w:r>
    </w:p>
    <w:p>
      <w:pPr>
        <w:spacing w:after="0" w:line="19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91" w:lineRule="exact"/>
        <w:rPr>
          <w:sz w:val="20"/>
          <w:szCs w:val="20"/>
          <w:color w:val="auto"/>
        </w:rPr>
      </w:pPr>
    </w:p>
    <w:p>
      <w:pPr>
        <w:ind w:left="1060"/>
        <w:spacing w:after="0"/>
        <w:tabs>
          <w:tab w:leader="none" w:pos="1920" w:val="left"/>
        </w:tabs>
        <w:rPr>
          <w:sz w:val="20"/>
          <w:szCs w:val="20"/>
          <w:color w:val="auto"/>
        </w:rPr>
      </w:pPr>
      <w:r>
        <w:rPr>
          <w:rFonts w:ascii="Courier New" w:cs="Courier New" w:eastAsia="Courier New" w:hAnsi="Courier New"/>
          <w:sz w:val="16"/>
          <w:szCs w:val="16"/>
          <w:color w:val="auto"/>
        </w:rPr>
        <w:t>Item 1.</w:t>
        <w:tab/>
        <w:t>Financial Statements</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Unaudited Consolidated Financial Statements</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Consolidated Balance Sheets</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Consolidated Statement of Changes in Shareholders' Equity</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91"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91" w:lineRule="exact"/>
        <w:rPr>
          <w:sz w:val="20"/>
          <w:szCs w:val="20"/>
          <w:color w:val="auto"/>
        </w:rPr>
      </w:pPr>
    </w:p>
    <w:p>
      <w:pPr>
        <w:ind w:left="1060"/>
        <w:spacing w:after="0"/>
        <w:tabs>
          <w:tab w:leader="none" w:pos="1920" w:val="left"/>
        </w:tabs>
        <w:rPr>
          <w:sz w:val="20"/>
          <w:szCs w:val="20"/>
          <w:color w:val="auto"/>
        </w:rPr>
      </w:pPr>
      <w:r>
        <w:rPr>
          <w:rFonts w:ascii="Courier New" w:cs="Courier New" w:eastAsia="Courier New" w:hAnsi="Courier New"/>
          <w:sz w:val="16"/>
          <w:szCs w:val="16"/>
          <w:color w:val="auto"/>
        </w:rPr>
        <w:t>Item 2.</w:t>
        <w:tab/>
        <w:t>Operating and Financial Review and Prospects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1" w:lineRule="exact"/>
        <w:rPr>
          <w:sz w:val="20"/>
          <w:szCs w:val="20"/>
          <w:color w:val="auto"/>
        </w:rPr>
      </w:pPr>
    </w:p>
    <w:p>
      <w:pPr>
        <w:ind w:left="1940" w:right="2559" w:hanging="871"/>
        <w:spacing w:after="0" w:line="367" w:lineRule="auto"/>
        <w:tabs>
          <w:tab w:leader="none" w:pos="1920" w:val="left"/>
        </w:tabs>
        <w:rPr>
          <w:sz w:val="20"/>
          <w:szCs w:val="20"/>
          <w:color w:val="auto"/>
        </w:rPr>
      </w:pPr>
      <w:r>
        <w:rPr>
          <w:rFonts w:ascii="Courier New" w:cs="Courier New" w:eastAsia="Courier New" w:hAnsi="Courier New"/>
          <w:sz w:val="16"/>
          <w:szCs w:val="16"/>
          <w:color w:val="auto"/>
        </w:rPr>
        <w:t>Item 1.</w:t>
        <w:tab/>
        <w:t>Changes in Securities, Use of Proceeds and Issuer Purchases of Equity Securities</w:t>
      </w:r>
    </w:p>
    <w:p>
      <w:pPr>
        <w:spacing w:after="0" w:line="5" w:lineRule="exact"/>
        <w:rPr>
          <w:sz w:val="20"/>
          <w:szCs w:val="20"/>
          <w:color w:val="auto"/>
        </w:rPr>
      </w:pPr>
    </w:p>
    <w:p>
      <w:pPr>
        <w:ind w:left="1060"/>
        <w:spacing w:after="0"/>
        <w:tabs>
          <w:tab w:leader="none" w:pos="1920" w:val="left"/>
        </w:tabs>
        <w:rPr>
          <w:sz w:val="20"/>
          <w:szCs w:val="20"/>
          <w:color w:val="auto"/>
        </w:rPr>
      </w:pPr>
      <w:r>
        <w:rPr>
          <w:rFonts w:ascii="Courier New" w:cs="Courier New" w:eastAsia="Courier New" w:hAnsi="Courier New"/>
          <w:sz w:val="16"/>
          <w:szCs w:val="16"/>
          <w:color w:val="auto"/>
        </w:rPr>
        <w:t>Item 2.</w:t>
        <w:tab/>
        <w:t>Reports on Form 6-K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459"/>
        <w:spacing w:after="0" w:line="276" w:lineRule="auto"/>
        <w:rPr>
          <w:sz w:val="20"/>
          <w:szCs w:val="20"/>
          <w:color w:val="auto"/>
        </w:rPr>
      </w:pPr>
      <w:r>
        <w:rPr>
          <w:rFonts w:ascii="Courier New" w:cs="Courier New" w:eastAsia="Courier New" w:hAnsi="Courier New"/>
          <w:sz w:val="16"/>
          <w:szCs w:val="16"/>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76"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280" w:type="dxa"/>
            <w:vAlign w:val="bottom"/>
          </w:tcPr>
          <w:p>
            <w:pPr>
              <w:ind w:left="60"/>
              <w:spacing w:after="0"/>
              <w:rPr>
                <w:sz w:val="20"/>
                <w:szCs w:val="20"/>
                <w:color w:val="auto"/>
              </w:rPr>
            </w:pPr>
            <w:r>
              <w:rPr>
                <w:rFonts w:ascii="Courier New" w:cs="Courier New" w:eastAsia="Courier New" w:hAnsi="Courier New"/>
                <w:sz w:val="16"/>
                <w:szCs w:val="16"/>
                <w:color w:val="auto"/>
              </w:rPr>
              <w:t>FINANCIAL INFORMATION</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8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7280" w:type="dxa"/>
            <w:vAlign w:val="bottom"/>
          </w:tcPr>
          <w:p>
            <w:pPr>
              <w:ind w:left="60"/>
              <w:spacing w:after="0"/>
              <w:rPr>
                <w:sz w:val="20"/>
                <w:szCs w:val="20"/>
                <w:color w:val="auto"/>
              </w:rPr>
            </w:pPr>
            <w:r>
              <w:rPr>
                <w:rFonts w:ascii="Courier New" w:cs="Courier New" w:eastAsia="Courier New" w:hAnsi="Courier New"/>
                <w:sz w:val="16"/>
                <w:szCs w:val="16"/>
                <w:color w:val="auto"/>
              </w:rPr>
              <w:t>FINANCIAL STATEMENTS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20" w:type="dxa"/>
            <w:vAlign w:val="bottom"/>
          </w:tcPr>
          <w:p>
            <w:pPr>
              <w:spacing w:after="0"/>
              <w:rPr>
                <w:sz w:val="24"/>
                <w:szCs w:val="24"/>
                <w:color w:val="auto"/>
              </w:rPr>
            </w:pPr>
          </w:p>
        </w:tc>
        <w:tc>
          <w:tcPr>
            <w:tcW w:w="7280" w:type="dxa"/>
            <w:vAlign w:val="bottom"/>
          </w:tcPr>
          <w:p>
            <w:pPr>
              <w:ind w:left="2380"/>
              <w:spacing w:after="0"/>
              <w:rPr>
                <w:sz w:val="20"/>
                <w:szCs w:val="20"/>
                <w:color w:val="auto"/>
              </w:rPr>
            </w:pPr>
            <w:r>
              <w:rPr>
                <w:rFonts w:ascii="Courier New" w:cs="Courier New" w:eastAsia="Courier New" w:hAnsi="Courier New"/>
                <w:sz w:val="16"/>
                <w:szCs w:val="16"/>
                <w:color w:val="auto"/>
              </w:rPr>
              <w:t>AMDOCS LIMITED</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tcPr>
          <w:p>
            <w:pPr>
              <w:ind w:left="1800"/>
              <w:spacing w:after="0"/>
              <w:rPr>
                <w:sz w:val="20"/>
                <w:szCs w:val="20"/>
                <w:color w:val="auto"/>
              </w:rPr>
            </w:pPr>
            <w:r>
              <w:rPr>
                <w:rFonts w:ascii="Courier New" w:cs="Courier New" w:eastAsia="Courier New" w:hAnsi="Courier New"/>
                <w:sz w:val="16"/>
                <w:szCs w:val="16"/>
                <w:color w:val="auto"/>
              </w:rPr>
              <w:t>CONSOLIDATED BALANCE SHEETS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tcPr>
          <w:p>
            <w:pPr>
              <w:ind w:left="1020"/>
              <w:spacing w:after="0"/>
              <w:rPr>
                <w:sz w:val="20"/>
                <w:szCs w:val="20"/>
                <w:color w:val="auto"/>
              </w:rPr>
            </w:pPr>
            <w:r>
              <w:rPr>
                <w:rFonts w:ascii="Courier New" w:cs="Courier New" w:eastAsia="Courier New" w:hAnsi="Courier New"/>
                <w:sz w:val="16"/>
                <w:szCs w:val="16"/>
                <w:color w:val="auto"/>
              </w:rPr>
              <w:t>(in U.S. dollars, unless otherwise stated)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7280" w:type="dxa"/>
            <w:vAlign w:val="bottom"/>
          </w:tcPr>
          <w:p>
            <w:pPr>
              <w:ind w:left="1320"/>
              <w:spacing w:after="0"/>
              <w:rPr>
                <w:sz w:val="20"/>
                <w:szCs w:val="20"/>
                <w:color w:val="auto"/>
              </w:rPr>
            </w:pPr>
            <w:r>
              <w:rPr>
                <w:rFonts w:ascii="Courier New" w:cs="Courier New" w:eastAsia="Courier New" w:hAnsi="Courier New"/>
                <w:sz w:val="16"/>
                <w:szCs w:val="16"/>
                <w:color w:val="auto"/>
              </w:rPr>
              <w:t>(in thousands, except per share data)</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8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9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Courier New" w:cs="Courier New" w:eastAsia="Courier New" w:hAnsi="Courier New"/>
                <w:sz w:val="16"/>
                <w:szCs w:val="16"/>
                <w:color w:val="auto"/>
                <w:w w:val="96"/>
              </w:rPr>
              <w:t>JUNE 30,</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2005</w:t>
            </w:r>
          </w:p>
        </w:tc>
        <w:tc>
          <w:tcPr>
            <w:tcW w:w="40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(UNAUDITED)</w:t>
            </w: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8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Current assets:</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639,424</w:t>
            </w:r>
          </w:p>
        </w:tc>
        <w:tc>
          <w:tcPr>
            <w:tcW w:w="40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550,352</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Cash and cash equivalents</w:t>
            </w:r>
          </w:p>
        </w:tc>
        <w:tc>
          <w:tcPr>
            <w:tcW w:w="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Short-term interest-bearing investments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650,394</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640,347</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receivable, net</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293,097</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254,779</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income taxes and taxes receivable</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98,771</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62,284</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69,200</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80,229</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Total current assets</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728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1,750,886</w:t>
            </w:r>
          </w:p>
        </w:tc>
        <w:tc>
          <w:tcPr>
            <w:tcW w:w="4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1,587,991</w:t>
            </w:r>
          </w:p>
        </w:tc>
        <w:tc>
          <w:tcPr>
            <w:tcW w:w="0" w:type="dxa"/>
            <w:vAlign w:val="bottom"/>
          </w:tcPr>
          <w:p>
            <w:pPr>
              <w:spacing w:after="0"/>
              <w:rPr>
                <w:sz w:val="1"/>
                <w:szCs w:val="1"/>
                <w:color w:val="auto"/>
              </w:rPr>
            </w:pPr>
          </w:p>
        </w:tc>
      </w:tr>
      <w:tr>
        <w:trPr>
          <w:trHeight w:val="287"/>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173,402</w:t>
            </w:r>
          </w:p>
        </w:tc>
        <w:tc>
          <w:tcPr>
            <w:tcW w:w="40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181,121</w:t>
            </w:r>
          </w:p>
        </w:tc>
        <w:tc>
          <w:tcPr>
            <w:tcW w:w="0" w:type="dxa"/>
            <w:vAlign w:val="bottom"/>
          </w:tcPr>
          <w:p>
            <w:pPr>
              <w:spacing w:after="0"/>
              <w:rPr>
                <w:sz w:val="1"/>
                <w:szCs w:val="1"/>
                <w:color w:val="auto"/>
              </w:rPr>
            </w:pPr>
          </w:p>
        </w:tc>
      </w:tr>
      <w:tr>
        <w:trPr>
          <w:trHeight w:val="186"/>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115,327</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113,589</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Courier New" w:cs="Courier New" w:eastAsia="Courier New" w:hAnsi="Courier New"/>
                <w:sz w:val="16"/>
                <w:szCs w:val="16"/>
                <w:color w:val="auto"/>
              </w:rPr>
              <w:t>Goodwill</w:t>
            </w:r>
          </w:p>
        </w:tc>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796,983</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806,874</w:t>
            </w:r>
          </w:p>
        </w:tc>
        <w:tc>
          <w:tcPr>
            <w:tcW w:w="0" w:type="dxa"/>
            <w:vAlign w:val="bottom"/>
          </w:tcPr>
          <w:p>
            <w:pPr>
              <w:spacing w:after="0"/>
              <w:rPr>
                <w:sz w:val="1"/>
                <w:szCs w:val="1"/>
                <w:color w:val="auto"/>
              </w:rPr>
            </w:pPr>
          </w:p>
        </w:tc>
      </w:tr>
      <w:tr>
        <w:trPr>
          <w:trHeight w:val="186"/>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Intangible assets, net</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37,671</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47,512</w:t>
            </w:r>
          </w:p>
        </w:tc>
        <w:tc>
          <w:tcPr>
            <w:tcW w:w="0" w:type="dxa"/>
            <w:vAlign w:val="bottom"/>
          </w:tcPr>
          <w:p>
            <w:pPr>
              <w:spacing w:after="0"/>
              <w:rPr>
                <w:sz w:val="1"/>
                <w:szCs w:val="1"/>
                <w:color w:val="auto"/>
              </w:rPr>
            </w:pPr>
          </w:p>
        </w:tc>
      </w:tr>
      <w:tr>
        <w:trPr>
          <w:trHeight w:val="186"/>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Other noncurrent assets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138,876</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126,797</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Total assets</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continue"/>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$ 3,013,145</w:t>
            </w:r>
          </w:p>
        </w:tc>
        <w:tc>
          <w:tcPr>
            <w:tcW w:w="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2,863,884</w:t>
            </w: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Current liabilities:</w:t>
            </w:r>
          </w:p>
        </w:tc>
        <w:tc>
          <w:tcPr>
            <w:tcW w:w="2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w w:val="82"/>
              </w:rPr>
              <w:t>$</w:t>
            </w:r>
          </w:p>
        </w:tc>
        <w:tc>
          <w:tcPr>
            <w:tcW w:w="12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91,729</w:t>
            </w:r>
          </w:p>
        </w:tc>
        <w:tc>
          <w:tcPr>
            <w:tcW w:w="40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104,415</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Accounts payable</w:t>
            </w:r>
          </w:p>
        </w:tc>
        <w:tc>
          <w:tcPr>
            <w:tcW w:w="2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Accrued expenses and other current liabilities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135,094</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137,664</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Accrued personnel costs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124,914</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124,284</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Short-term portion of financing arrangements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989</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1,604</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revenue</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236,316</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223,122</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Short-term portion of capital lease obligations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6,376</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19,706</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Deferred income taxes and taxes payable</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181,186</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163,648</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Total current liabilities</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728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776,604</w:t>
            </w:r>
          </w:p>
        </w:tc>
        <w:tc>
          <w:tcPr>
            <w:tcW w:w="4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774,443</w:t>
            </w:r>
          </w:p>
        </w:tc>
        <w:tc>
          <w:tcPr>
            <w:tcW w:w="0" w:type="dxa"/>
            <w:vAlign w:val="bottom"/>
          </w:tcPr>
          <w:p>
            <w:pPr>
              <w:spacing w:after="0"/>
              <w:rPr>
                <w:sz w:val="1"/>
                <w:szCs w:val="1"/>
                <w:color w:val="auto"/>
              </w:rPr>
            </w:pPr>
          </w:p>
        </w:tc>
      </w:tr>
      <w:tr>
        <w:trPr>
          <w:trHeight w:val="287"/>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Deferred income taxes</w:t>
            </w:r>
          </w:p>
        </w:tc>
        <w:tc>
          <w:tcPr>
            <w:tcW w:w="240" w:type="dxa"/>
            <w:vAlign w:val="bottom"/>
          </w:tcPr>
          <w:p>
            <w:pPr>
              <w:spacing w:after="0"/>
              <w:rPr>
                <w:sz w:val="24"/>
                <w:szCs w:val="24"/>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47,409</w:t>
            </w:r>
          </w:p>
        </w:tc>
        <w:tc>
          <w:tcPr>
            <w:tcW w:w="40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40,530</w:t>
            </w:r>
          </w:p>
        </w:tc>
        <w:tc>
          <w:tcPr>
            <w:tcW w:w="0" w:type="dxa"/>
            <w:vAlign w:val="bottom"/>
          </w:tcPr>
          <w:p>
            <w:pPr>
              <w:spacing w:after="0"/>
              <w:rPr>
                <w:sz w:val="1"/>
                <w:szCs w:val="1"/>
                <w:color w:val="auto"/>
              </w:rPr>
            </w:pPr>
          </w:p>
        </w:tc>
      </w:tr>
      <w:tr>
        <w:trPr>
          <w:trHeight w:val="186"/>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0.50% Convertible notes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450,000</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450,000</w:t>
            </w:r>
          </w:p>
        </w:tc>
        <w:tc>
          <w:tcPr>
            <w:tcW w:w="0" w:type="dxa"/>
            <w:vAlign w:val="bottom"/>
          </w:tcPr>
          <w:p>
            <w:pPr>
              <w:spacing w:after="0"/>
              <w:rPr>
                <w:sz w:val="1"/>
                <w:szCs w:val="1"/>
                <w:color w:val="auto"/>
              </w:rPr>
            </w:pPr>
          </w:p>
        </w:tc>
      </w:tr>
      <w:tr>
        <w:trPr>
          <w:trHeight w:val="186"/>
        </w:trPr>
        <w:tc>
          <w:tcPr>
            <w:tcW w:w="8100" w:type="dxa"/>
            <w:vAlign w:val="bottom"/>
            <w:gridSpan w:val="2"/>
          </w:tcPr>
          <w:p>
            <w:pPr>
              <w:spacing w:after="0"/>
              <w:rPr>
                <w:sz w:val="20"/>
                <w:szCs w:val="20"/>
                <w:color w:val="auto"/>
              </w:rPr>
            </w:pPr>
            <w:r>
              <w:rPr>
                <w:rFonts w:ascii="Courier New" w:cs="Courier New" w:eastAsia="Courier New" w:hAnsi="Courier New"/>
                <w:sz w:val="16"/>
                <w:szCs w:val="16"/>
                <w:color w:val="auto"/>
              </w:rPr>
              <w:t>Noncurrent liabilities and other</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163,479</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154,721</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Total liabilities</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1,437,492</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1,419,694</w:t>
            </w:r>
          </w:p>
        </w:tc>
        <w:tc>
          <w:tcPr>
            <w:tcW w:w="0" w:type="dxa"/>
            <w:vAlign w:val="bottom"/>
          </w:tcPr>
          <w:p>
            <w:pPr>
              <w:spacing w:after="0"/>
              <w:rPr>
                <w:sz w:val="1"/>
                <w:szCs w:val="1"/>
                <w:color w:val="auto"/>
              </w:rPr>
            </w:pPr>
          </w:p>
        </w:tc>
      </w:tr>
      <w:tr>
        <w:trPr>
          <w:trHeight w:val="273"/>
        </w:trPr>
        <w:tc>
          <w:tcPr>
            <w:tcW w:w="810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Shareholders' equity:</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81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Preferred Shares - Authorized 25,000 shares; (pound)0.01 par value; 0 shares</w:t>
            </w:r>
          </w:p>
        </w:tc>
        <w:tc>
          <w:tcPr>
            <w:tcW w:w="240" w:type="dxa"/>
            <w:vAlign w:val="bottom"/>
          </w:tcPr>
          <w:p>
            <w:pPr>
              <w:spacing w:after="0"/>
              <w:rPr>
                <w:sz w:val="16"/>
                <w:szCs w:val="16"/>
                <w:color w:val="auto"/>
              </w:rPr>
            </w:pPr>
          </w:p>
        </w:tc>
        <w:tc>
          <w:tcPr>
            <w:tcW w:w="12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1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81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issued and outstanding</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Ordinary Shares - Authorized 550,000 shares; (pound)0.01 par value; 226,377 and</w:t>
            </w:r>
          </w:p>
        </w:tc>
        <w:tc>
          <w:tcPr>
            <w:tcW w:w="240" w:type="dxa"/>
            <w:vAlign w:val="bottom"/>
          </w:tcPr>
          <w:p>
            <w:pPr>
              <w:spacing w:after="0"/>
              <w:rPr>
                <w:sz w:val="16"/>
                <w:szCs w:val="16"/>
                <w:color w:val="auto"/>
              </w:rPr>
            </w:pPr>
          </w:p>
        </w:tc>
        <w:tc>
          <w:tcPr>
            <w:tcW w:w="12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3,628</w:t>
            </w:r>
          </w:p>
        </w:tc>
        <w:tc>
          <w:tcPr>
            <w:tcW w:w="400" w:type="dxa"/>
            <w:vAlign w:val="bottom"/>
          </w:tcPr>
          <w:p>
            <w:pPr>
              <w:spacing w:after="0"/>
              <w:rPr>
                <w:sz w:val="16"/>
                <w:szCs w:val="16"/>
                <w:color w:val="auto"/>
              </w:rPr>
            </w:pPr>
          </w:p>
        </w:tc>
        <w:tc>
          <w:tcPr>
            <w:tcW w:w="11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3,601</w:t>
            </w:r>
          </w:p>
        </w:tc>
        <w:tc>
          <w:tcPr>
            <w:tcW w:w="0" w:type="dxa"/>
            <w:vAlign w:val="bottom"/>
          </w:tcPr>
          <w:p>
            <w:pPr>
              <w:spacing w:after="0"/>
              <w:rPr>
                <w:sz w:val="1"/>
                <w:szCs w:val="1"/>
                <w:color w:val="auto"/>
              </w:rPr>
            </w:pPr>
          </w:p>
        </w:tc>
      </w:tr>
      <w:tr>
        <w:trPr>
          <w:trHeight w:val="186"/>
        </w:trPr>
        <w:tc>
          <w:tcPr>
            <w:tcW w:w="81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224,947 issued and 199,239 and 201,334 outstanding, respectively</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Additional paid-in capital</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1,853,692</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1,837,608</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Treasury stock, at cost - 27,138 and 23,613 Ordinary Shares, respectively</w:t>
            </w:r>
          </w:p>
        </w:tc>
        <w:tc>
          <w:tcPr>
            <w:tcW w:w="24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(602,392)</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(502,416)</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Accumulated other comprehensive loss</w:t>
            </w:r>
          </w:p>
        </w:tc>
        <w:tc>
          <w:tcPr>
            <w:tcW w:w="24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(7,561)</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(1,919)</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Unearned compensation</w:t>
            </w:r>
          </w:p>
        </w:tc>
        <w:tc>
          <w:tcPr>
            <w:tcW w:w="240" w:type="dxa"/>
            <w:vAlign w:val="bottom"/>
          </w:tcPr>
          <w:p>
            <w:pPr>
              <w:spacing w:after="0"/>
              <w:rPr>
                <w:sz w:val="16"/>
                <w:szCs w:val="16"/>
                <w:color w:val="auto"/>
              </w:rPr>
            </w:pPr>
          </w:p>
        </w:tc>
        <w:tc>
          <w:tcPr>
            <w:tcW w:w="12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(41)</w:t>
            </w:r>
          </w:p>
        </w:tc>
        <w:tc>
          <w:tcPr>
            <w:tcW w:w="4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(174)</w:t>
            </w:r>
          </w:p>
        </w:tc>
        <w:tc>
          <w:tcPr>
            <w:tcW w:w="0" w:type="dxa"/>
            <w:vAlign w:val="bottom"/>
          </w:tcPr>
          <w:p>
            <w:pPr>
              <w:spacing w:after="0"/>
              <w:rPr>
                <w:sz w:val="1"/>
                <w:szCs w:val="1"/>
                <w:color w:val="auto"/>
              </w:rPr>
            </w:pPr>
          </w:p>
        </w:tc>
      </w:tr>
      <w:tr>
        <w:trPr>
          <w:trHeight w:val="186"/>
        </w:trPr>
        <w:tc>
          <w:tcPr>
            <w:tcW w:w="81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Retained earnings</w:t>
            </w: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328,327</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107,490</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Total shareholders' equity</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1,575,653</w:t>
            </w:r>
          </w:p>
        </w:tc>
        <w:tc>
          <w:tcPr>
            <w:tcW w:w="40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1,444,190</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7280" w:type="dxa"/>
            <w:vAlign w:val="bottom"/>
            <w:vMerge w:val="continue"/>
          </w:tcPr>
          <w:p>
            <w:pPr>
              <w:spacing w:after="0"/>
              <w:rPr>
                <w:sz w:val="16"/>
                <w:szCs w:val="16"/>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$ 3,013,145</w:t>
            </w:r>
          </w:p>
        </w:tc>
        <w:tc>
          <w:tcPr>
            <w:tcW w:w="40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2,863,884</w:t>
            </w:r>
          </w:p>
        </w:tc>
        <w:tc>
          <w:tcPr>
            <w:tcW w:w="0" w:type="dxa"/>
            <w:vAlign w:val="bottom"/>
          </w:tcPr>
          <w:p>
            <w:pPr>
              <w:spacing w:after="0"/>
              <w:rPr>
                <w:sz w:val="1"/>
                <w:szCs w:val="1"/>
                <w:color w:val="auto"/>
              </w:rPr>
            </w:pPr>
          </w:p>
        </w:tc>
      </w:tr>
      <w:tr>
        <w:trPr>
          <w:trHeight w:val="273"/>
        </w:trPr>
        <w:tc>
          <w:tcPr>
            <w:tcW w:w="8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144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35"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6"/>
          <w:szCs w:val="16"/>
          <w:color w:val="auto"/>
        </w:rPr>
        <w:t>statements.</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040"/>
          </w:cols>
          <w:pgMar w:left="240" w:top="646" w:right="619" w:bottom="1440" w:gutter="0" w:footer="0" w:header="0"/>
        </w:sectPr>
      </w:pPr>
    </w:p>
    <w:bookmarkStart w:id="3" w:name="page4"/>
    <w:bookmarkEnd w:id="3"/>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CONSOLIDATED STATEMENTS OF INCOME (UNAUDITED)</w:t>
      </w:r>
    </w:p>
    <w:p>
      <w:pPr>
        <w:spacing w:after="0" w:line="191"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THREE MONTHS ENDED</w:t>
            </w:r>
          </w:p>
        </w:tc>
        <w:tc>
          <w:tcPr>
            <w:tcW w:w="300" w:type="dxa"/>
            <w:vAlign w:val="bottom"/>
          </w:tcPr>
          <w:p>
            <w:pPr>
              <w:spacing w:after="0"/>
              <w:rPr>
                <w:sz w:val="16"/>
                <w:szCs w:val="16"/>
                <w:color w:val="auto"/>
              </w:rPr>
            </w:pPr>
          </w:p>
        </w:tc>
        <w:tc>
          <w:tcPr>
            <w:tcW w:w="22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2700" w:type="dxa"/>
            <w:vAlign w:val="bottom"/>
            <w:gridSpan w:val="4"/>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2005</w:t>
            </w:r>
          </w:p>
        </w:tc>
        <w:tc>
          <w:tcPr>
            <w:tcW w:w="420" w:type="dxa"/>
            <w:vAlign w:val="bottom"/>
          </w:tcPr>
          <w:p>
            <w:pPr>
              <w:spacing w:after="0"/>
              <w:rPr>
                <w:sz w:val="16"/>
                <w:szCs w:val="16"/>
                <w:color w:val="auto"/>
              </w:rPr>
            </w:pPr>
          </w:p>
        </w:tc>
        <w:tc>
          <w:tcPr>
            <w:tcW w:w="9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2004</w:t>
            </w:r>
          </w:p>
        </w:tc>
        <w:tc>
          <w:tcPr>
            <w:tcW w:w="300" w:type="dxa"/>
            <w:vAlign w:val="bottom"/>
          </w:tcPr>
          <w:p>
            <w:pPr>
              <w:spacing w:after="0"/>
              <w:rPr>
                <w:sz w:val="16"/>
                <w:szCs w:val="16"/>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2005</w:t>
            </w:r>
          </w:p>
        </w:tc>
        <w:tc>
          <w:tcPr>
            <w:tcW w:w="10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27,199</w:t>
            </w:r>
          </w:p>
        </w:tc>
        <w:tc>
          <w:tcPr>
            <w:tcW w:w="4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17,298</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74,909</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52,026</w:t>
            </w:r>
          </w:p>
        </w:tc>
        <w:tc>
          <w:tcPr>
            <w:tcW w:w="0" w:type="dxa"/>
            <w:vAlign w:val="bottom"/>
          </w:tcPr>
          <w:p>
            <w:pPr>
              <w:spacing w:after="0"/>
              <w:rPr>
                <w:sz w:val="1"/>
                <w:szCs w:val="1"/>
                <w:color w:val="auto"/>
              </w:rPr>
            </w:pPr>
          </w:p>
        </w:tc>
      </w:tr>
      <w:tr>
        <w:trPr>
          <w:trHeight w:val="186"/>
        </w:trPr>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License</w:t>
            </w:r>
          </w:p>
        </w:tc>
        <w:tc>
          <w:tcPr>
            <w:tcW w:w="3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Service</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480,156</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432,926</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1,390,394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1,269,251</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507,355</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450,224</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1,465,303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1,321,277</w:t>
            </w:r>
          </w:p>
        </w:tc>
        <w:tc>
          <w:tcPr>
            <w:tcW w:w="0" w:type="dxa"/>
            <w:vAlign w:val="bottom"/>
          </w:tcPr>
          <w:p>
            <w:pPr>
              <w:spacing w:after="0"/>
              <w:rPr>
                <w:sz w:val="1"/>
                <w:szCs w:val="1"/>
                <w:color w:val="auto"/>
              </w:rPr>
            </w:pPr>
          </w:p>
        </w:tc>
      </w:tr>
      <w:tr>
        <w:trPr>
          <w:trHeight w:val="273"/>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00"/>
        </w:trPr>
        <w:tc>
          <w:tcPr>
            <w:tcW w:w="45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1,125</w:t>
            </w:r>
          </w:p>
        </w:tc>
        <w:tc>
          <w:tcPr>
            <w:tcW w:w="420" w:type="dxa"/>
            <w:vAlign w:val="bottom"/>
          </w:tcPr>
          <w:p>
            <w:pPr>
              <w:spacing w:after="0"/>
              <w:rPr>
                <w:sz w:val="8"/>
                <w:szCs w:val="8"/>
                <w:color w:val="auto"/>
              </w:rPr>
            </w:pP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1,448</w:t>
            </w:r>
          </w:p>
        </w:tc>
        <w:tc>
          <w:tcPr>
            <w:tcW w:w="300" w:type="dxa"/>
            <w:vAlign w:val="bottom"/>
          </w:tcPr>
          <w:p>
            <w:pPr>
              <w:spacing w:after="0"/>
              <w:rPr>
                <w:sz w:val="8"/>
                <w:szCs w:val="8"/>
                <w:color w:val="auto"/>
              </w:rPr>
            </w:pPr>
          </w:p>
        </w:tc>
        <w:tc>
          <w:tcPr>
            <w:tcW w:w="126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3,278</w:t>
            </w:r>
          </w:p>
        </w:tc>
        <w:tc>
          <w:tcPr>
            <w:tcW w:w="10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3,807</w:t>
            </w:r>
          </w:p>
        </w:tc>
        <w:tc>
          <w:tcPr>
            <w:tcW w:w="0" w:type="dxa"/>
            <w:vAlign w:val="bottom"/>
          </w:tcPr>
          <w:p>
            <w:pPr>
              <w:spacing w:after="0"/>
              <w:rPr>
                <w:sz w:val="1"/>
                <w:szCs w:val="1"/>
                <w:color w:val="auto"/>
              </w:rPr>
            </w:pPr>
          </w:p>
        </w:tc>
      </w:tr>
      <w:tr>
        <w:trPr>
          <w:trHeight w:val="186"/>
        </w:trPr>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Cost of license</w:t>
            </w: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Cost of service</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324,249</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283,109</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929,487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833,470</w:t>
            </w:r>
          </w:p>
        </w:tc>
        <w:tc>
          <w:tcPr>
            <w:tcW w:w="0" w:type="dxa"/>
            <w:vAlign w:val="bottom"/>
          </w:tcPr>
          <w:p>
            <w:pPr>
              <w:spacing w:after="0"/>
              <w:rPr>
                <w:sz w:val="1"/>
                <w:szCs w:val="1"/>
                <w:color w:val="auto"/>
              </w:rPr>
            </w:pPr>
          </w:p>
        </w:tc>
      </w:tr>
      <w:tr>
        <w:trPr>
          <w:trHeight w:val="186"/>
        </w:trPr>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31,393</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31,665</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97,567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92,247</w:t>
            </w:r>
          </w:p>
        </w:tc>
        <w:tc>
          <w:tcPr>
            <w:tcW w:w="0" w:type="dxa"/>
            <w:vAlign w:val="bottom"/>
          </w:tcPr>
          <w:p>
            <w:pPr>
              <w:spacing w:after="0"/>
              <w:rPr>
                <w:sz w:val="1"/>
                <w:szCs w:val="1"/>
                <w:color w:val="auto"/>
              </w:rPr>
            </w:pPr>
          </w:p>
        </w:tc>
      </w:tr>
      <w:tr>
        <w:trPr>
          <w:trHeight w:val="186"/>
        </w:trPr>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56,448</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52,745</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166,000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159,078</w:t>
            </w:r>
          </w:p>
        </w:tc>
        <w:tc>
          <w:tcPr>
            <w:tcW w:w="0" w:type="dxa"/>
            <w:vAlign w:val="bottom"/>
          </w:tcPr>
          <w:p>
            <w:pPr>
              <w:spacing w:after="0"/>
              <w:rPr>
                <w:sz w:val="1"/>
                <w:szCs w:val="1"/>
                <w:color w:val="auto"/>
              </w:rPr>
            </w:pPr>
          </w:p>
        </w:tc>
      </w:tr>
      <w:tr>
        <w:trPr>
          <w:trHeight w:val="186"/>
        </w:trPr>
        <w:tc>
          <w:tcPr>
            <w:tcW w:w="456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 purchased intangible assets</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2,078</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4,558</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7,875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13,423</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415,293</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373,525</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1,204,207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1,102,025</w:t>
            </w: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373"/>
        </w:trPr>
        <w:tc>
          <w:tcPr>
            <w:tcW w:w="456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92,062</w:t>
            </w:r>
          </w:p>
        </w:tc>
        <w:tc>
          <w:tcPr>
            <w:tcW w:w="42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76,699</w:t>
            </w:r>
          </w:p>
        </w:tc>
        <w:tc>
          <w:tcPr>
            <w:tcW w:w="300" w:type="dxa"/>
            <w:vAlign w:val="bottom"/>
          </w:tcPr>
          <w:p>
            <w:pPr>
              <w:spacing w:after="0"/>
              <w:rPr>
                <w:sz w:val="24"/>
                <w:szCs w:val="24"/>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261,096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219,252</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4,305</w:t>
            </w:r>
          </w:p>
        </w:tc>
        <w:tc>
          <w:tcPr>
            <w:tcW w:w="420" w:type="dxa"/>
            <w:vAlign w:val="bottom"/>
          </w:tcPr>
          <w:p>
            <w:pPr>
              <w:spacing w:after="0"/>
              <w:rPr>
                <w:sz w:val="24"/>
                <w:szCs w:val="24"/>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121</w:t>
            </w:r>
          </w:p>
        </w:tc>
        <w:tc>
          <w:tcPr>
            <w:tcW w:w="300" w:type="dxa"/>
            <w:vAlign w:val="bottom"/>
          </w:tcPr>
          <w:p>
            <w:pPr>
              <w:spacing w:after="0"/>
              <w:rPr>
                <w:sz w:val="24"/>
                <w:szCs w:val="24"/>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14,944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2,899</w:t>
            </w:r>
          </w:p>
        </w:tc>
        <w:tc>
          <w:tcPr>
            <w:tcW w:w="0" w:type="dxa"/>
            <w:vAlign w:val="bottom"/>
          </w:tcPr>
          <w:p>
            <w:pPr>
              <w:spacing w:after="0"/>
              <w:rPr>
                <w:sz w:val="1"/>
                <w:szCs w:val="1"/>
                <w:color w:val="auto"/>
              </w:rPr>
            </w:pPr>
          </w:p>
        </w:tc>
      </w:tr>
      <w:tr>
        <w:trPr>
          <w:trHeight w:val="186"/>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income taxes</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96,367</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76,820</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276,040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222,151</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19,270</w:t>
            </w:r>
          </w:p>
        </w:tc>
        <w:tc>
          <w:tcPr>
            <w:tcW w:w="42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16,900</w:t>
            </w:r>
          </w:p>
        </w:tc>
        <w:tc>
          <w:tcPr>
            <w:tcW w:w="30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55,203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48,873</w:t>
            </w:r>
          </w:p>
        </w:tc>
        <w:tc>
          <w:tcPr>
            <w:tcW w:w="0" w:type="dxa"/>
            <w:vAlign w:val="bottom"/>
          </w:tcPr>
          <w:p>
            <w:pPr>
              <w:spacing w:after="0"/>
              <w:rPr>
                <w:sz w:val="1"/>
                <w:szCs w:val="1"/>
                <w:color w:val="auto"/>
              </w:rPr>
            </w:pPr>
          </w:p>
        </w:tc>
      </w:tr>
      <w:tr>
        <w:trPr>
          <w:trHeight w:val="186"/>
        </w:trPr>
        <w:tc>
          <w:tcPr>
            <w:tcW w:w="456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w:t>
            </w: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86"/>
        </w:trPr>
        <w:tc>
          <w:tcPr>
            <w:tcW w:w="4560" w:type="dxa"/>
            <w:vAlign w:val="bottom"/>
            <w:vMerge w:val="continue"/>
          </w:tcPr>
          <w:p>
            <w:pPr>
              <w:spacing w:after="0"/>
              <w:rPr>
                <w:sz w:val="16"/>
                <w:szCs w:val="16"/>
                <w:color w:val="auto"/>
              </w:rPr>
            </w:pP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77,097</w:t>
            </w:r>
          </w:p>
        </w:tc>
        <w:tc>
          <w:tcPr>
            <w:tcW w:w="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59,920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220,837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173,278</w:t>
            </w: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0.38</w:t>
            </w:r>
          </w:p>
        </w:tc>
        <w:tc>
          <w:tcPr>
            <w:tcW w:w="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0.29</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0.82</w:t>
            </w: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0.36</w:t>
            </w:r>
          </w:p>
        </w:tc>
        <w:tc>
          <w:tcPr>
            <w:tcW w:w="4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0.27</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1.03</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0.79</w:t>
            </w: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Courier New" w:cs="Courier New" w:eastAsia="Courier New" w:hAnsi="Courier New"/>
                <w:sz w:val="16"/>
                <w:szCs w:val="16"/>
                <w:color w:val="auto"/>
              </w:rPr>
              <w:t>Basic weighted average number of shares</w:t>
            </w:r>
          </w:p>
        </w:tc>
        <w:tc>
          <w:tcPr>
            <w:tcW w:w="380" w:type="dxa"/>
            <w:vAlign w:val="bottom"/>
          </w:tcPr>
          <w:p>
            <w:pPr>
              <w:spacing w:after="0"/>
              <w:rPr>
                <w:sz w:val="24"/>
                <w:szCs w:val="24"/>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200,494</w:t>
            </w:r>
          </w:p>
        </w:tc>
        <w:tc>
          <w:tcPr>
            <w:tcW w:w="420" w:type="dxa"/>
            <w:vAlign w:val="bottom"/>
          </w:tcPr>
          <w:p>
            <w:pPr>
              <w:spacing w:after="0"/>
              <w:rPr>
                <w:sz w:val="24"/>
                <w:szCs w:val="24"/>
                <w:color w:val="auto"/>
              </w:rPr>
            </w:pP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206,093</w:t>
            </w:r>
          </w:p>
        </w:tc>
        <w:tc>
          <w:tcPr>
            <w:tcW w:w="300" w:type="dxa"/>
            <w:vAlign w:val="bottom"/>
          </w:tcPr>
          <w:p>
            <w:pPr>
              <w:spacing w:after="0"/>
              <w:rPr>
                <w:sz w:val="24"/>
                <w:szCs w:val="24"/>
                <w:color w:val="auto"/>
              </w:rPr>
            </w:pPr>
          </w:p>
        </w:tc>
        <w:tc>
          <w:tcPr>
            <w:tcW w:w="126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201,453</w:t>
            </w:r>
          </w:p>
        </w:tc>
        <w:tc>
          <w:tcPr>
            <w:tcW w:w="10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210,409</w:t>
            </w:r>
          </w:p>
        </w:tc>
        <w:tc>
          <w:tcPr>
            <w:tcW w:w="0" w:type="dxa"/>
            <w:vAlign w:val="bottom"/>
          </w:tcPr>
          <w:p>
            <w:pPr>
              <w:spacing w:after="0"/>
              <w:rPr>
                <w:sz w:val="1"/>
                <w:szCs w:val="1"/>
                <w:color w:val="auto"/>
              </w:rPr>
            </w:pPr>
          </w:p>
        </w:tc>
      </w:tr>
      <w:tr>
        <w:trPr>
          <w:trHeight w:val="186"/>
        </w:trPr>
        <w:tc>
          <w:tcPr>
            <w:tcW w:w="4560" w:type="dxa"/>
            <w:vAlign w:val="bottom"/>
          </w:tcPr>
          <w:p>
            <w:pPr>
              <w:ind w:left="300"/>
              <w:spacing w:after="0"/>
              <w:rPr>
                <w:sz w:val="20"/>
                <w:szCs w:val="20"/>
                <w:color w:val="auto"/>
              </w:rPr>
            </w:pPr>
            <w:r>
              <w:rPr>
                <w:rFonts w:ascii="Courier New" w:cs="Courier New" w:eastAsia="Courier New" w:hAnsi="Courier New"/>
                <w:sz w:val="16"/>
                <w:szCs w:val="16"/>
                <w:color w:val="auto"/>
              </w:rPr>
              <w:t>outstanding</w:t>
            </w: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7"/>
        </w:trPr>
        <w:tc>
          <w:tcPr>
            <w:tcW w:w="4560" w:type="dxa"/>
            <w:vAlign w:val="bottom"/>
          </w:tcPr>
          <w:p>
            <w:pPr>
              <w:spacing w:after="0"/>
              <w:rPr>
                <w:sz w:val="20"/>
                <w:szCs w:val="20"/>
                <w:color w:val="auto"/>
              </w:rPr>
            </w:pPr>
            <w:r>
              <w:rPr>
                <w:rFonts w:ascii="Courier New" w:cs="Courier New" w:eastAsia="Courier New" w:hAnsi="Courier New"/>
                <w:sz w:val="16"/>
                <w:szCs w:val="16"/>
                <w:color w:val="auto"/>
              </w:rPr>
              <w:t>Diluted weighted average number of shares</w:t>
            </w:r>
          </w:p>
        </w:tc>
        <w:tc>
          <w:tcPr>
            <w:tcW w:w="380" w:type="dxa"/>
            <w:vAlign w:val="bottom"/>
          </w:tcPr>
          <w:p>
            <w:pPr>
              <w:spacing w:after="0"/>
              <w:rPr>
                <w:sz w:val="24"/>
                <w:szCs w:val="24"/>
                <w:color w:val="auto"/>
              </w:rPr>
            </w:pPr>
          </w:p>
        </w:tc>
        <w:tc>
          <w:tcPr>
            <w:tcW w:w="98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216,570</w:t>
            </w:r>
          </w:p>
        </w:tc>
        <w:tc>
          <w:tcPr>
            <w:tcW w:w="420" w:type="dxa"/>
            <w:vAlign w:val="bottom"/>
          </w:tcPr>
          <w:p>
            <w:pPr>
              <w:spacing w:after="0"/>
              <w:rPr>
                <w:sz w:val="24"/>
                <w:szCs w:val="24"/>
                <w:color w:val="auto"/>
              </w:rPr>
            </w:pPr>
          </w:p>
        </w:tc>
        <w:tc>
          <w:tcPr>
            <w:tcW w:w="92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222,237</w:t>
            </w:r>
          </w:p>
        </w:tc>
        <w:tc>
          <w:tcPr>
            <w:tcW w:w="300" w:type="dxa"/>
            <w:vAlign w:val="bottom"/>
          </w:tcPr>
          <w:p>
            <w:pPr>
              <w:spacing w:after="0"/>
              <w:rPr>
                <w:sz w:val="24"/>
                <w:szCs w:val="24"/>
                <w:color w:val="auto"/>
              </w:rPr>
            </w:pPr>
          </w:p>
        </w:tc>
        <w:tc>
          <w:tcPr>
            <w:tcW w:w="126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217,608</w:t>
            </w:r>
          </w:p>
        </w:tc>
        <w:tc>
          <w:tcPr>
            <w:tcW w:w="10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220,825</w:t>
            </w:r>
          </w:p>
        </w:tc>
        <w:tc>
          <w:tcPr>
            <w:tcW w:w="0" w:type="dxa"/>
            <w:vAlign w:val="bottom"/>
          </w:tcPr>
          <w:p>
            <w:pPr>
              <w:spacing w:after="0"/>
              <w:rPr>
                <w:sz w:val="1"/>
                <w:szCs w:val="1"/>
                <w:color w:val="auto"/>
              </w:rPr>
            </w:pPr>
          </w:p>
        </w:tc>
      </w:tr>
      <w:tr>
        <w:trPr>
          <w:trHeight w:val="186"/>
        </w:trPr>
        <w:tc>
          <w:tcPr>
            <w:tcW w:w="4560" w:type="dxa"/>
            <w:vAlign w:val="bottom"/>
          </w:tcPr>
          <w:p>
            <w:pPr>
              <w:ind w:left="300"/>
              <w:spacing w:after="0"/>
              <w:rPr>
                <w:sz w:val="20"/>
                <w:szCs w:val="20"/>
                <w:color w:val="auto"/>
              </w:rPr>
            </w:pPr>
            <w:r>
              <w:rPr>
                <w:rFonts w:ascii="Courier New" w:cs="Courier New" w:eastAsia="Courier New" w:hAnsi="Courier New"/>
                <w:sz w:val="16"/>
                <w:szCs w:val="16"/>
                <w:color w:val="auto"/>
              </w:rPr>
              <w:t>outstanding (1)</w:t>
            </w:r>
          </w:p>
        </w:tc>
        <w:tc>
          <w:tcPr>
            <w:tcW w:w="3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560" w:type="dxa"/>
            <w:vAlign w:val="bottom"/>
          </w:tcPr>
          <w:p>
            <w:pPr>
              <w:spacing w:after="0"/>
              <w:rPr>
                <w:sz w:val="23"/>
                <w:szCs w:val="23"/>
                <w:color w:val="auto"/>
              </w:rPr>
            </w:pPr>
          </w:p>
        </w:tc>
        <w:tc>
          <w:tcPr>
            <w:tcW w:w="13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1" w:right="2459" w:hanging="581"/>
        <w:spacing w:after="0" w:line="261" w:lineRule="auto"/>
        <w:tabs>
          <w:tab w:leader="none" w:pos="5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weighted average number of shares outstanding for the three and nine months ended June 30, 2004 have been restated, due to the adoption of Emerging Issue Task Force Issue No. 04-8, "The Effect of Contingently Convertible Instruments on Diluted Earnings per Share" ("EITF 04-8"), which requires that prior period earnings per share computations be restated to show the effect on weighted average shares of the conversion of the contingently convertible debt into equity. The restatement reduced diluted earnings per share by $0.01 per share for the three and nine months ended June 30, 2004.</w:t>
      </w:r>
    </w:p>
    <w:p>
      <w:pPr>
        <w:spacing w:after="0" w:line="89"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3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statements.</w:t>
      </w:r>
    </w:p>
    <w:p>
      <w:pPr>
        <w:spacing w:after="0" w:line="16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0"/>
          </w:cols>
          <w:pgMar w:left="239" w:top="646" w:right="1440" w:bottom="1440" w:gutter="0" w:footer="0" w:header="0"/>
        </w:sectPr>
      </w:pPr>
    </w:p>
    <w:bookmarkStart w:id="4" w:name="page5"/>
    <w:bookmarkEnd w:id="4"/>
    <w:p>
      <w:pPr>
        <w:jc w:val="center"/>
        <w:ind w:right="3760"/>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CONSOLIDATED STATEMENT OF CHANGES IN SHAREHOLDERS' EQUITY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20" w:type="dxa"/>
            <w:vAlign w:val="bottom"/>
          </w:tcPr>
          <w:p>
            <w:pPr>
              <w:spacing w:after="0"/>
              <w:rPr>
                <w:sz w:val="23"/>
                <w:szCs w:val="23"/>
                <w:color w:val="auto"/>
              </w:rPr>
            </w:pPr>
          </w:p>
        </w:tc>
        <w:tc>
          <w:tcPr>
            <w:tcW w:w="2660" w:type="dxa"/>
            <w:vAlign w:val="bottom"/>
            <w:gridSpan w:val="3"/>
          </w:tcPr>
          <w:p>
            <w:pPr>
              <w:jc w:val="right"/>
              <w:ind w:right="639"/>
              <w:spacing w:after="0"/>
              <w:rPr>
                <w:sz w:val="20"/>
                <w:szCs w:val="20"/>
                <w:color w:val="auto"/>
              </w:rPr>
            </w:pPr>
            <w:r>
              <w:rPr>
                <w:rFonts w:ascii="Courier New" w:cs="Courier New" w:eastAsia="Courier New" w:hAnsi="Courier New"/>
                <w:sz w:val="16"/>
                <w:szCs w:val="16"/>
                <w:color w:val="auto"/>
              </w:rPr>
              <w:t>(in thousands)</w:t>
            </w: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6"/>
        </w:trPr>
        <w:tc>
          <w:tcPr>
            <w:tcW w:w="262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Ordinary Shares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c>
          <w:tcPr>
            <w:tcW w:w="10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Treasury</w:t>
            </w:r>
          </w:p>
        </w:tc>
        <w:tc>
          <w:tcPr>
            <w:tcW w:w="17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Accumulated Other</w:t>
            </w:r>
          </w:p>
        </w:tc>
        <w:tc>
          <w:tcPr>
            <w:tcW w:w="1260" w:type="dxa"/>
            <w:vAlign w:val="bottom"/>
            <w:gridSpan w:val="2"/>
            <w:vMerge w:val="restart"/>
          </w:tcPr>
          <w:p>
            <w:pPr>
              <w:ind w:left="240"/>
              <w:spacing w:after="0"/>
              <w:rPr>
                <w:sz w:val="20"/>
                <w:szCs w:val="20"/>
                <w:color w:val="auto"/>
              </w:rPr>
            </w:pPr>
            <w:r>
              <w:rPr>
                <w:rFonts w:ascii="Courier New" w:cs="Courier New" w:eastAsia="Courier New" w:hAnsi="Courier New"/>
                <w:sz w:val="16"/>
                <w:szCs w:val="16"/>
                <w:color w:val="auto"/>
              </w:rPr>
              <w:t>Unearned</w:t>
            </w:r>
          </w:p>
        </w:tc>
        <w:tc>
          <w:tcPr>
            <w:tcW w:w="920" w:type="dxa"/>
            <w:vAlign w:val="bottom"/>
          </w:tcPr>
          <w:p>
            <w:pPr>
              <w:spacing w:after="0"/>
              <w:rPr>
                <w:sz w:val="24"/>
                <w:szCs w:val="24"/>
                <w:color w:val="auto"/>
              </w:rPr>
            </w:pP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Paid-in</w:t>
            </w:r>
          </w:p>
        </w:tc>
        <w:tc>
          <w:tcPr>
            <w:tcW w:w="1060" w:type="dxa"/>
            <w:vAlign w:val="bottom"/>
            <w:vMerge w:val="continue"/>
          </w:tcPr>
          <w:p>
            <w:pPr>
              <w:spacing w:after="0"/>
              <w:rPr>
                <w:sz w:val="16"/>
                <w:szCs w:val="16"/>
                <w:color w:val="auto"/>
              </w:rPr>
            </w:pPr>
          </w:p>
        </w:tc>
        <w:tc>
          <w:tcPr>
            <w:tcW w:w="17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Comprehensive</w:t>
            </w:r>
          </w:p>
        </w:tc>
        <w:tc>
          <w:tcPr>
            <w:tcW w:w="1260" w:type="dxa"/>
            <w:vAlign w:val="bottom"/>
            <w:gridSpan w:val="2"/>
            <w:vMerge w:val="continue"/>
          </w:tcPr>
          <w:p>
            <w:pPr>
              <w:spacing w:after="0"/>
              <w:rPr>
                <w:sz w:val="16"/>
                <w:szCs w:val="16"/>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Retained Shareholders'</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Shares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Capital</w:t>
            </w:r>
          </w:p>
        </w:tc>
        <w:tc>
          <w:tcPr>
            <w:tcW w:w="10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Stock</w:t>
            </w:r>
          </w:p>
        </w:tc>
        <w:tc>
          <w:tcPr>
            <w:tcW w:w="5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Loss</w:t>
            </w:r>
          </w:p>
        </w:tc>
        <w:tc>
          <w:tcPr>
            <w:tcW w:w="218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Compensation Earnings</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Equity</w:t>
            </w:r>
          </w:p>
        </w:tc>
        <w:tc>
          <w:tcPr>
            <w:tcW w:w="0" w:type="dxa"/>
            <w:vAlign w:val="bottom"/>
          </w:tcPr>
          <w:p>
            <w:pPr>
              <w:spacing w:after="0"/>
              <w:rPr>
                <w:sz w:val="1"/>
                <w:szCs w:val="1"/>
                <w:color w:val="auto"/>
              </w:rPr>
            </w:pPr>
          </w:p>
        </w:tc>
      </w:tr>
      <w:tr>
        <w:trPr>
          <w:trHeight w:val="273"/>
        </w:trPr>
        <w:tc>
          <w:tcPr>
            <w:tcW w:w="26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30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 ------------</w:t>
            </w:r>
          </w:p>
        </w:tc>
        <w:tc>
          <w:tcPr>
            <w:tcW w:w="2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87"/>
        </w:trPr>
        <w:tc>
          <w:tcPr>
            <w:tcW w:w="2620" w:type="dxa"/>
            <w:vAlign w:val="bottom"/>
          </w:tcPr>
          <w:p>
            <w:pPr>
              <w:spacing w:after="0"/>
              <w:rPr>
                <w:sz w:val="20"/>
                <w:szCs w:val="20"/>
                <w:color w:val="auto"/>
              </w:rPr>
            </w:pPr>
            <w:r>
              <w:rPr>
                <w:rFonts w:ascii="Courier New" w:cs="Courier New" w:eastAsia="Courier New" w:hAnsi="Courier New"/>
                <w:sz w:val="16"/>
                <w:szCs w:val="16"/>
                <w:color w:val="auto"/>
              </w:rPr>
              <w:t>BALANCE AS OF SEPTEMBER</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201,334</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$3,601</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$1,837,608</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$(502,416)</w:t>
            </w:r>
          </w:p>
        </w:tc>
        <w:tc>
          <w:tcPr>
            <w:tcW w:w="58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(1,919)</w:t>
            </w:r>
          </w:p>
        </w:tc>
        <w:tc>
          <w:tcPr>
            <w:tcW w:w="48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w:t>
            </w:r>
          </w:p>
        </w:tc>
        <w:tc>
          <w:tcPr>
            <w:tcW w:w="78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(174)</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$107,490</w:t>
            </w:r>
          </w:p>
        </w:tc>
        <w:tc>
          <w:tcPr>
            <w:tcW w:w="124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$1,444,190</w:t>
            </w:r>
          </w:p>
        </w:tc>
        <w:tc>
          <w:tcPr>
            <w:tcW w:w="0" w:type="dxa"/>
            <w:vAlign w:val="bottom"/>
          </w:tcPr>
          <w:p>
            <w:pPr>
              <w:spacing w:after="0"/>
              <w:rPr>
                <w:sz w:val="1"/>
                <w:szCs w:val="1"/>
                <w:color w:val="auto"/>
              </w:rPr>
            </w:pPr>
          </w:p>
        </w:tc>
      </w:tr>
      <w:tr>
        <w:trPr>
          <w:trHeight w:val="186"/>
        </w:trPr>
        <w:tc>
          <w:tcPr>
            <w:tcW w:w="2620" w:type="dxa"/>
            <w:vAlign w:val="bottom"/>
          </w:tcPr>
          <w:p>
            <w:pPr>
              <w:ind w:left="300"/>
              <w:spacing w:after="0"/>
              <w:rPr>
                <w:sz w:val="20"/>
                <w:szCs w:val="20"/>
                <w:color w:val="auto"/>
              </w:rPr>
            </w:pPr>
            <w:r>
              <w:rPr>
                <w:rFonts w:ascii="Courier New" w:cs="Courier New" w:eastAsia="Courier New" w:hAnsi="Courier New"/>
                <w:sz w:val="16"/>
                <w:szCs w:val="16"/>
                <w:color w:val="auto"/>
              </w:rPr>
              <w:t>30, 2004</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Comprehensive income:</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220,837</w:t>
            </w:r>
          </w:p>
        </w:tc>
        <w:tc>
          <w:tcPr>
            <w:tcW w:w="124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220,837</w:t>
            </w:r>
          </w:p>
        </w:tc>
        <w:tc>
          <w:tcPr>
            <w:tcW w:w="0" w:type="dxa"/>
            <w:vAlign w:val="bottom"/>
          </w:tcPr>
          <w:p>
            <w:pPr>
              <w:spacing w:after="0"/>
              <w:rPr>
                <w:sz w:val="1"/>
                <w:szCs w:val="1"/>
                <w:color w:val="auto"/>
              </w:rPr>
            </w:pP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Net income</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Unrealized loss on</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foreign currency</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hedging contracts,</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net of $1,220 tax</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(5,037)</w:t>
            </w:r>
          </w:p>
        </w:tc>
        <w:tc>
          <w:tcPr>
            <w:tcW w:w="48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(5,037)</w:t>
            </w: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benefit</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0"/>
              <w:spacing w:after="0"/>
              <w:rPr>
                <w:sz w:val="20"/>
                <w:szCs w:val="20"/>
                <w:color w:val="auto"/>
              </w:rPr>
            </w:pPr>
            <w:r>
              <w:rPr>
                <w:rFonts w:ascii="Courier New" w:cs="Courier New" w:eastAsia="Courier New" w:hAnsi="Courier New"/>
                <w:sz w:val="16"/>
                <w:szCs w:val="16"/>
                <w:color w:val="auto"/>
              </w:rPr>
              <w:t>Unrealized loss on</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short-term</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interest-bearing</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investments, net of</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(605)</w:t>
            </w:r>
          </w:p>
        </w:tc>
        <w:tc>
          <w:tcPr>
            <w:tcW w:w="48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(605)</w:t>
            </w:r>
          </w:p>
        </w:tc>
        <w:tc>
          <w:tcPr>
            <w:tcW w:w="0" w:type="dxa"/>
            <w:vAlign w:val="bottom"/>
          </w:tcPr>
          <w:p>
            <w:pPr>
              <w:spacing w:after="0"/>
              <w:rPr>
                <w:sz w:val="1"/>
                <w:szCs w:val="1"/>
                <w:color w:val="auto"/>
              </w:rPr>
            </w:pPr>
          </w:p>
        </w:tc>
      </w:tr>
      <w:tr>
        <w:trPr>
          <w:trHeight w:val="186"/>
        </w:trPr>
        <w:tc>
          <w:tcPr>
            <w:tcW w:w="2620" w:type="dxa"/>
            <w:vAlign w:val="bottom"/>
          </w:tcPr>
          <w:p>
            <w:pPr>
              <w:ind w:left="480"/>
              <w:spacing w:after="0"/>
              <w:rPr>
                <w:sz w:val="20"/>
                <w:szCs w:val="20"/>
                <w:color w:val="auto"/>
              </w:rPr>
            </w:pPr>
            <w:r>
              <w:rPr>
                <w:rFonts w:ascii="Courier New" w:cs="Courier New" w:eastAsia="Courier New" w:hAnsi="Courier New"/>
                <w:sz w:val="16"/>
                <w:szCs w:val="16"/>
                <w:color w:val="auto"/>
              </w:rPr>
              <w:t>$129 tax  benefit</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Comprehensive income</w:t>
            </w: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62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215,195</w:t>
            </w:r>
          </w:p>
        </w:tc>
        <w:tc>
          <w:tcPr>
            <w:tcW w:w="0" w:type="dxa"/>
            <w:vAlign w:val="bottom"/>
          </w:tcPr>
          <w:p>
            <w:pPr>
              <w:spacing w:after="0"/>
              <w:rPr>
                <w:sz w:val="1"/>
                <w:szCs w:val="1"/>
                <w:color w:val="auto"/>
              </w:rPr>
            </w:pPr>
          </w:p>
        </w:tc>
      </w:tr>
      <w:tr>
        <w:trPr>
          <w:trHeight w:val="273"/>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Employee stock options</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2620" w:type="dxa"/>
            <w:vAlign w:val="bottom"/>
            <w:vMerge w:val="continue"/>
          </w:tcPr>
          <w:p>
            <w:pPr>
              <w:spacing w:after="0"/>
              <w:rPr>
                <w:sz w:val="8"/>
                <w:szCs w:val="8"/>
                <w:color w:val="auto"/>
              </w:rPr>
            </w:pP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1,430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14,026</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8"/>
                <w:szCs w:val="8"/>
                <w:color w:val="auto"/>
              </w:rPr>
            </w:pPr>
          </w:p>
        </w:tc>
        <w:tc>
          <w:tcPr>
            <w:tcW w:w="11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8"/>
                <w:szCs w:val="8"/>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14,053</w:t>
            </w:r>
          </w:p>
        </w:tc>
        <w:tc>
          <w:tcPr>
            <w:tcW w:w="0" w:type="dxa"/>
            <w:vAlign w:val="bottom"/>
          </w:tcPr>
          <w:p>
            <w:pPr>
              <w:spacing w:after="0"/>
              <w:rPr>
                <w:sz w:val="1"/>
                <w:szCs w:val="1"/>
                <w:color w:val="auto"/>
              </w:rPr>
            </w:pPr>
          </w:p>
        </w:tc>
      </w:tr>
      <w:tr>
        <w:trPr>
          <w:trHeight w:val="186"/>
        </w:trPr>
        <w:tc>
          <w:tcPr>
            <w:tcW w:w="2620" w:type="dxa"/>
            <w:vAlign w:val="bottom"/>
          </w:tcPr>
          <w:p>
            <w:pPr>
              <w:ind w:left="300"/>
              <w:spacing w:after="0"/>
              <w:rPr>
                <w:sz w:val="20"/>
                <w:szCs w:val="20"/>
                <w:color w:val="auto"/>
              </w:rPr>
            </w:pPr>
            <w:r>
              <w:rPr>
                <w:rFonts w:ascii="Courier New" w:cs="Courier New" w:eastAsia="Courier New" w:hAnsi="Courier New"/>
                <w:sz w:val="16"/>
                <w:szCs w:val="16"/>
                <w:color w:val="auto"/>
              </w:rPr>
              <w:t>exercised</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Tax benefit of stock</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1,934</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1,934</w:t>
            </w:r>
          </w:p>
        </w:tc>
        <w:tc>
          <w:tcPr>
            <w:tcW w:w="0" w:type="dxa"/>
            <w:vAlign w:val="bottom"/>
          </w:tcPr>
          <w:p>
            <w:pPr>
              <w:spacing w:after="0"/>
              <w:rPr>
                <w:sz w:val="1"/>
                <w:szCs w:val="1"/>
                <w:color w:val="auto"/>
              </w:rPr>
            </w:pPr>
          </w:p>
        </w:tc>
      </w:tr>
      <w:tr>
        <w:trPr>
          <w:trHeight w:val="186"/>
        </w:trPr>
        <w:tc>
          <w:tcPr>
            <w:tcW w:w="2620" w:type="dxa"/>
            <w:vAlign w:val="bottom"/>
          </w:tcPr>
          <w:p>
            <w:pPr>
              <w:ind w:left="300"/>
              <w:spacing w:after="0"/>
              <w:rPr>
                <w:sz w:val="20"/>
                <w:szCs w:val="20"/>
                <w:color w:val="auto"/>
              </w:rPr>
            </w:pPr>
            <w:r>
              <w:rPr>
                <w:rFonts w:ascii="Courier New" w:cs="Courier New" w:eastAsia="Courier New" w:hAnsi="Courier New"/>
                <w:sz w:val="16"/>
                <w:szCs w:val="16"/>
                <w:color w:val="auto"/>
              </w:rPr>
              <w:t>options exercised</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Repurchase of ordinary</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(3,525)</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(99,976)</w:t>
            </w:r>
          </w:p>
        </w:tc>
        <w:tc>
          <w:tcPr>
            <w:tcW w:w="580" w:type="dxa"/>
            <w:vAlign w:val="bottom"/>
          </w:tcPr>
          <w:p>
            <w:pPr>
              <w:spacing w:after="0"/>
              <w:rPr>
                <w:sz w:val="16"/>
                <w:szCs w:val="16"/>
                <w:color w:val="auto"/>
              </w:rPr>
            </w:pPr>
          </w:p>
        </w:tc>
        <w:tc>
          <w:tcPr>
            <w:tcW w:w="11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(99,976)</w:t>
            </w:r>
          </w:p>
        </w:tc>
        <w:tc>
          <w:tcPr>
            <w:tcW w:w="0" w:type="dxa"/>
            <w:vAlign w:val="bottom"/>
          </w:tcPr>
          <w:p>
            <w:pPr>
              <w:spacing w:after="0"/>
              <w:rPr>
                <w:sz w:val="1"/>
                <w:szCs w:val="1"/>
                <w:color w:val="auto"/>
              </w:rPr>
            </w:pPr>
          </w:p>
        </w:tc>
      </w:tr>
      <w:tr>
        <w:trPr>
          <w:trHeight w:val="186"/>
        </w:trPr>
        <w:tc>
          <w:tcPr>
            <w:tcW w:w="262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Expense related to vesting</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124</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124</w:t>
            </w:r>
          </w:p>
        </w:tc>
        <w:tc>
          <w:tcPr>
            <w:tcW w:w="0" w:type="dxa"/>
            <w:vAlign w:val="bottom"/>
          </w:tcPr>
          <w:p>
            <w:pPr>
              <w:spacing w:after="0"/>
              <w:rPr>
                <w:sz w:val="1"/>
                <w:szCs w:val="1"/>
                <w:color w:val="auto"/>
              </w:rPr>
            </w:pPr>
          </w:p>
        </w:tc>
      </w:tr>
      <w:tr>
        <w:trPr>
          <w:trHeight w:val="186"/>
        </w:trPr>
        <w:tc>
          <w:tcPr>
            <w:tcW w:w="2620" w:type="dxa"/>
            <w:vAlign w:val="bottom"/>
          </w:tcPr>
          <w:p>
            <w:pPr>
              <w:ind w:left="300"/>
              <w:spacing w:after="0"/>
              <w:rPr>
                <w:sz w:val="20"/>
                <w:szCs w:val="20"/>
                <w:color w:val="auto"/>
              </w:rPr>
            </w:pPr>
            <w:r>
              <w:rPr>
                <w:rFonts w:ascii="Courier New" w:cs="Courier New" w:eastAsia="Courier New" w:hAnsi="Courier New"/>
                <w:sz w:val="16"/>
                <w:szCs w:val="16"/>
                <w:color w:val="auto"/>
              </w:rPr>
              <w:t>of stock options</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20"/>
                <w:szCs w:val="20"/>
                <w:color w:val="auto"/>
              </w:rPr>
            </w:pPr>
            <w:r>
              <w:rPr>
                <w:rFonts w:ascii="Courier New" w:cs="Courier New" w:eastAsia="Courier New" w:hAnsi="Courier New"/>
                <w:sz w:val="16"/>
                <w:szCs w:val="16"/>
                <w:color w:val="auto"/>
              </w:rPr>
              <w:t>Amortization of unearned</w:t>
            </w:r>
          </w:p>
        </w:tc>
        <w:tc>
          <w:tcPr>
            <w:tcW w:w="9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6"/>
                <w:szCs w:val="16"/>
                <w:color w:val="auto"/>
              </w:rPr>
            </w:pPr>
          </w:p>
        </w:tc>
        <w:tc>
          <w:tcPr>
            <w:tcW w:w="11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780" w:type="dxa"/>
            <w:vAlign w:val="bottom"/>
            <w:vMerge w:val="restart"/>
          </w:tcPr>
          <w:p>
            <w:pPr>
              <w:jc w:val="right"/>
              <w:ind w:right="179"/>
              <w:spacing w:after="0"/>
              <w:rPr>
                <w:sz w:val="20"/>
                <w:szCs w:val="20"/>
                <w:color w:val="auto"/>
              </w:rPr>
            </w:pPr>
            <w:r>
              <w:rPr>
                <w:rFonts w:ascii="Courier New" w:cs="Courier New" w:eastAsia="Courier New" w:hAnsi="Courier New"/>
                <w:sz w:val="16"/>
                <w:szCs w:val="16"/>
                <w:color w:val="auto"/>
              </w:rPr>
              <w:t>133</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99"/>
              <w:spacing w:after="0"/>
              <w:rPr>
                <w:sz w:val="20"/>
                <w:szCs w:val="20"/>
                <w:color w:val="auto"/>
              </w:rPr>
            </w:pPr>
            <w:r>
              <w:rPr>
                <w:rFonts w:ascii="Courier New" w:cs="Courier New" w:eastAsia="Courier New" w:hAnsi="Courier New"/>
                <w:sz w:val="16"/>
                <w:szCs w:val="16"/>
                <w:color w:val="auto"/>
              </w:rPr>
              <w:t>133</w:t>
            </w:r>
          </w:p>
        </w:tc>
        <w:tc>
          <w:tcPr>
            <w:tcW w:w="0" w:type="dxa"/>
            <w:vAlign w:val="bottom"/>
          </w:tcPr>
          <w:p>
            <w:pPr>
              <w:spacing w:after="0"/>
              <w:rPr>
                <w:sz w:val="1"/>
                <w:szCs w:val="1"/>
                <w:color w:val="auto"/>
              </w:rPr>
            </w:pPr>
          </w:p>
        </w:tc>
      </w:tr>
      <w:tr>
        <w:trPr>
          <w:trHeight w:val="186"/>
        </w:trPr>
        <w:tc>
          <w:tcPr>
            <w:tcW w:w="2620" w:type="dxa"/>
            <w:vAlign w:val="bottom"/>
          </w:tcPr>
          <w:p>
            <w:pPr>
              <w:ind w:left="300"/>
              <w:spacing w:after="0"/>
              <w:rPr>
                <w:sz w:val="20"/>
                <w:szCs w:val="20"/>
                <w:color w:val="auto"/>
              </w:rPr>
            </w:pPr>
            <w:r>
              <w:rPr>
                <w:rFonts w:ascii="Courier New" w:cs="Courier New" w:eastAsia="Courier New" w:hAnsi="Courier New"/>
                <w:sz w:val="16"/>
                <w:szCs w:val="16"/>
                <w:color w:val="auto"/>
              </w:rPr>
              <w:t>compensation</w:t>
            </w:r>
          </w:p>
        </w:tc>
        <w:tc>
          <w:tcPr>
            <w:tcW w:w="9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BALANCE AS OF JUNE 30, 2005 199,239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$3,628</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$1,853,692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$(602,392)</w:t>
            </w:r>
          </w:p>
        </w:tc>
        <w:tc>
          <w:tcPr>
            <w:tcW w:w="5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(7,561)</w:t>
            </w:r>
          </w:p>
        </w:tc>
        <w:tc>
          <w:tcPr>
            <w:tcW w:w="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$328,327</w:t>
            </w: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$1,575,653</w:t>
            </w:r>
          </w:p>
        </w:tc>
        <w:tc>
          <w:tcPr>
            <w:tcW w:w="0" w:type="dxa"/>
            <w:vAlign w:val="bottom"/>
          </w:tcPr>
          <w:p>
            <w:pPr>
              <w:spacing w:after="0"/>
              <w:rPr>
                <w:sz w:val="1"/>
                <w:szCs w:val="1"/>
                <w:color w:val="auto"/>
              </w:rPr>
            </w:pPr>
          </w:p>
        </w:tc>
      </w:tr>
      <w:tr>
        <w:trPr>
          <w:trHeight w:val="273"/>
        </w:trPr>
        <w:tc>
          <w:tcPr>
            <w:tcW w:w="262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3760"/>
        <w:spacing w:after="0" w:line="287" w:lineRule="auto"/>
        <w:rPr>
          <w:sz w:val="20"/>
          <w:szCs w:val="20"/>
          <w:color w:val="auto"/>
        </w:rPr>
      </w:pPr>
      <w:r>
        <w:rPr>
          <w:rFonts w:ascii="Courier New" w:cs="Courier New" w:eastAsia="Courier New" w:hAnsi="Courier New"/>
          <w:sz w:val="16"/>
          <w:szCs w:val="16"/>
          <w:color w:val="auto"/>
        </w:rPr>
        <w:t>As of June 30, 2005 and September 30, 2004, accumulated other comprehensive loss is comprised of unrealized loss on foreign currency hedging contracts, net of tax, of $(6,268) and $(1,232), respectively, and unrealized loss on short-term interest-bearing investments, net of tax, of $(1,293) and $(687), respectively.</w:t>
      </w:r>
    </w:p>
    <w:p>
      <w:pPr>
        <w:spacing w:after="0" w:line="6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3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statements.</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46" w:right="139" w:bottom="1440" w:gutter="0" w:footer="0" w:header="0"/>
        </w:sectPr>
      </w:pPr>
    </w:p>
    <w:bookmarkStart w:id="5" w:name="page6"/>
    <w:bookmarkEnd w:id="5"/>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520" w:type="dxa"/>
            <w:vAlign w:val="bottom"/>
          </w:tcPr>
          <w:p>
            <w:pPr>
              <w:ind w:left="3200"/>
              <w:spacing w:after="0"/>
              <w:rPr>
                <w:sz w:val="20"/>
                <w:szCs w:val="20"/>
                <w:color w:val="auto"/>
              </w:rPr>
            </w:pPr>
            <w:r>
              <w:rPr>
                <w:rFonts w:ascii="Courier New" w:cs="Courier New" w:eastAsia="Courier New" w:hAnsi="Courier New"/>
                <w:sz w:val="16"/>
                <w:szCs w:val="16"/>
                <w:color w:val="auto"/>
              </w:rPr>
              <w:t>(in thousands)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9"/>
        </w:trPr>
        <w:tc>
          <w:tcPr>
            <w:tcW w:w="5520" w:type="dxa"/>
            <w:vAlign w:val="bottom"/>
          </w:tcPr>
          <w:p>
            <w:pPr>
              <w:spacing w:after="0"/>
              <w:rPr>
                <w:sz w:val="24"/>
                <w:szCs w:val="24"/>
                <w:color w:val="auto"/>
              </w:rPr>
            </w:pPr>
          </w:p>
        </w:tc>
        <w:tc>
          <w:tcPr>
            <w:tcW w:w="2820" w:type="dxa"/>
            <w:vAlign w:val="bottom"/>
            <w:gridSpan w:val="4"/>
          </w:tcPr>
          <w:p>
            <w:pPr>
              <w:ind w:left="200"/>
              <w:spacing w:after="0"/>
              <w:rPr>
                <w:sz w:val="20"/>
                <w:szCs w:val="20"/>
                <w:color w:val="auto"/>
              </w:rPr>
            </w:pPr>
            <w:r>
              <w:rPr>
                <w:rFonts w:ascii="Courier New" w:cs="Courier New" w:eastAsia="Courier New" w:hAnsi="Courier New"/>
                <w:sz w:val="16"/>
                <w:szCs w:val="16"/>
                <w:color w:val="auto"/>
              </w:rPr>
              <w:t>NINE MONTHS ENDED JUNE 30,</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28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2005</w:t>
            </w:r>
          </w:p>
        </w:tc>
        <w:tc>
          <w:tcPr>
            <w:tcW w:w="280" w:type="dxa"/>
            <w:vAlign w:val="bottom"/>
          </w:tcPr>
          <w:p>
            <w:pPr>
              <w:spacing w:after="0"/>
              <w:rPr>
                <w:sz w:val="16"/>
                <w:szCs w:val="16"/>
                <w:color w:val="auto"/>
              </w:rPr>
            </w:pP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CASH FLOW FROM OPERATING ACTIVITIES:</w:t>
            </w:r>
          </w:p>
        </w:tc>
        <w:tc>
          <w:tcPr>
            <w:tcW w:w="3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220,837</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173,278</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Reconciliation of net income to net cash provided by</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operating activities:</w:t>
            </w:r>
          </w:p>
        </w:tc>
        <w:tc>
          <w:tcPr>
            <w:tcW w:w="34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64,835</w:t>
            </w:r>
          </w:p>
        </w:tc>
        <w:tc>
          <w:tcPr>
            <w:tcW w:w="28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76,944</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 amortization</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Loss (gain) on sale of equipment</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117</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(444)</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Gain on repurchase of 2% convertible notes</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3,527</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(8,093)</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Tax benefit of stock options exercised</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1,934</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2,738</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Realized (gain) loss from short-term</w:t>
            </w:r>
          </w:p>
        </w:tc>
        <w:tc>
          <w:tcPr>
            <w:tcW w:w="340" w:type="dxa"/>
            <w:vAlign w:val="bottom"/>
          </w:tcPr>
          <w:p>
            <w:pPr>
              <w:spacing w:after="0"/>
              <w:rPr>
                <w:sz w:val="16"/>
                <w:szCs w:val="16"/>
                <w:color w:val="auto"/>
              </w:rPr>
            </w:pPr>
          </w:p>
        </w:tc>
        <w:tc>
          <w:tcPr>
            <w:tcW w:w="11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(1,154)</w:t>
            </w:r>
          </w:p>
        </w:tc>
        <w:tc>
          <w:tcPr>
            <w:tcW w:w="28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1,039</w:t>
            </w:r>
          </w:p>
        </w:tc>
        <w:tc>
          <w:tcPr>
            <w:tcW w:w="0" w:type="dxa"/>
            <w:vAlign w:val="bottom"/>
          </w:tcPr>
          <w:p>
            <w:pPr>
              <w:spacing w:after="0"/>
              <w:rPr>
                <w:sz w:val="1"/>
                <w:szCs w:val="1"/>
                <w:color w:val="auto"/>
              </w:rPr>
            </w:pPr>
          </w:p>
        </w:tc>
      </w:tr>
      <w:tr>
        <w:trPr>
          <w:trHeight w:val="186"/>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interest-bearing investments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changes in operating assets and liabilities, net of</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amounts acquired:</w:t>
            </w:r>
          </w:p>
        </w:tc>
        <w:tc>
          <w:tcPr>
            <w:tcW w:w="340" w:type="dxa"/>
            <w:vAlign w:val="bottom"/>
          </w:tcPr>
          <w:p>
            <w:pPr>
              <w:spacing w:after="0"/>
              <w:rPr>
                <w:sz w:val="16"/>
                <w:szCs w:val="16"/>
                <w:color w:val="auto"/>
              </w:rPr>
            </w:pPr>
          </w:p>
        </w:tc>
        <w:tc>
          <w:tcPr>
            <w:tcW w:w="11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(38,316)</w:t>
            </w: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(69,503)</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Accounts receivable</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8,779</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14,879</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Other noncurrent assets</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(8,757)</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(41,941)</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Accounts payable and accrued expenses</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(15,719)</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32,947</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Deferred revenue</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29,271</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46,968</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Income taxes payable</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(6,095)</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27,735</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Noncurrent liabilities and other</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(2,615)</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1,133</w:t>
            </w:r>
          </w:p>
        </w:tc>
        <w:tc>
          <w:tcPr>
            <w:tcW w:w="0" w:type="dxa"/>
            <w:vAlign w:val="bottom"/>
          </w:tcPr>
          <w:p>
            <w:pPr>
              <w:spacing w:after="0"/>
              <w:rPr>
                <w:sz w:val="1"/>
                <w:szCs w:val="1"/>
                <w:color w:val="auto"/>
              </w:rPr>
            </w:pPr>
          </w:p>
        </w:tc>
      </w:tr>
      <w:tr>
        <w:trPr>
          <w:trHeight w:val="186"/>
        </w:trPr>
        <w:tc>
          <w:tcPr>
            <w:tcW w:w="55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256,644</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257,667</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CASH FLOW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vehicles and leasehold</w:t>
            </w:r>
          </w:p>
        </w:tc>
        <w:tc>
          <w:tcPr>
            <w:tcW w:w="34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4,140</w:t>
            </w:r>
          </w:p>
        </w:tc>
        <w:tc>
          <w:tcPr>
            <w:tcW w:w="28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1,841</w:t>
            </w:r>
          </w:p>
        </w:tc>
        <w:tc>
          <w:tcPr>
            <w:tcW w:w="0" w:type="dxa"/>
            <w:vAlign w:val="bottom"/>
          </w:tcPr>
          <w:p>
            <w:pPr>
              <w:spacing w:after="0"/>
              <w:rPr>
                <w:sz w:val="1"/>
                <w:szCs w:val="1"/>
                <w:color w:val="auto"/>
              </w:rPr>
            </w:pPr>
          </w:p>
        </w:tc>
      </w:tr>
      <w:tr>
        <w:trPr>
          <w:trHeight w:val="186"/>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improvements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Payments for purchase of equipment, vehicles, leasehold</w:t>
            </w:r>
          </w:p>
        </w:tc>
        <w:tc>
          <w:tcPr>
            <w:tcW w:w="340" w:type="dxa"/>
            <w:vAlign w:val="bottom"/>
          </w:tcPr>
          <w:p>
            <w:pPr>
              <w:spacing w:after="0"/>
              <w:rPr>
                <w:sz w:val="16"/>
                <w:szCs w:val="16"/>
                <w:color w:val="auto"/>
              </w:rPr>
            </w:pPr>
          </w:p>
        </w:tc>
        <w:tc>
          <w:tcPr>
            <w:tcW w:w="11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(53,812)</w:t>
            </w: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(33,532)</w:t>
            </w:r>
          </w:p>
        </w:tc>
        <w:tc>
          <w:tcPr>
            <w:tcW w:w="0" w:type="dxa"/>
            <w:vAlign w:val="bottom"/>
          </w:tcPr>
          <w:p>
            <w:pPr>
              <w:spacing w:after="0"/>
              <w:rPr>
                <w:sz w:val="1"/>
                <w:szCs w:val="1"/>
                <w:color w:val="auto"/>
              </w:rPr>
            </w:pPr>
          </w:p>
        </w:tc>
      </w:tr>
      <w:tr>
        <w:trPr>
          <w:trHeight w:val="186"/>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improvements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Proceeds from sale of short-term interest-bearing</w:t>
            </w:r>
          </w:p>
        </w:tc>
        <w:tc>
          <w:tcPr>
            <w:tcW w:w="34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648,238</w:t>
            </w:r>
          </w:p>
        </w:tc>
        <w:tc>
          <w:tcPr>
            <w:tcW w:w="28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863,304</w:t>
            </w:r>
          </w:p>
        </w:tc>
        <w:tc>
          <w:tcPr>
            <w:tcW w:w="0" w:type="dxa"/>
            <w:vAlign w:val="bottom"/>
          </w:tcPr>
          <w:p>
            <w:pPr>
              <w:spacing w:after="0"/>
              <w:rPr>
                <w:sz w:val="1"/>
                <w:szCs w:val="1"/>
                <w:color w:val="auto"/>
              </w:rPr>
            </w:pPr>
          </w:p>
        </w:tc>
      </w:tr>
      <w:tr>
        <w:trPr>
          <w:trHeight w:val="186"/>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investments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Purchase of short-term interest-bearing investments</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(657,865)</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(1,158,407)</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cash paid for acquisitions</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(4,609)</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(10,567)</w:t>
            </w:r>
          </w:p>
        </w:tc>
        <w:tc>
          <w:tcPr>
            <w:tcW w:w="0" w:type="dxa"/>
            <w:vAlign w:val="bottom"/>
          </w:tcPr>
          <w:p>
            <w:pPr>
              <w:spacing w:after="0"/>
              <w:rPr>
                <w:sz w:val="1"/>
                <w:szCs w:val="1"/>
                <w:color w:val="auto"/>
              </w:rPr>
            </w:pPr>
          </w:p>
        </w:tc>
      </w:tr>
      <w:tr>
        <w:trPr>
          <w:trHeight w:val="186"/>
        </w:trPr>
        <w:tc>
          <w:tcPr>
            <w:tcW w:w="55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(63,908)</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(337,361)</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CASH FLOW FROM FINANCING ACTIVITIES:</w:t>
            </w:r>
          </w:p>
        </w:tc>
        <w:tc>
          <w:tcPr>
            <w:tcW w:w="340" w:type="dxa"/>
            <w:vAlign w:val="bottom"/>
          </w:tcPr>
          <w:p>
            <w:pPr>
              <w:spacing w:after="0"/>
              <w:rPr>
                <w:sz w:val="24"/>
                <w:szCs w:val="24"/>
                <w:color w:val="auto"/>
              </w:rPr>
            </w:pP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14,053</w:t>
            </w:r>
          </w:p>
        </w:tc>
        <w:tc>
          <w:tcPr>
            <w:tcW w:w="280" w:type="dxa"/>
            <w:vAlign w:val="bottom"/>
          </w:tcPr>
          <w:p>
            <w:pPr>
              <w:spacing w:after="0"/>
              <w:rPr>
                <w:sz w:val="24"/>
                <w:szCs w:val="24"/>
                <w:color w:val="auto"/>
              </w:rPr>
            </w:pP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11,364</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Proceeds from employee stock options exercised</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proceeds from issuance of long-term 0.50%</w:t>
            </w:r>
          </w:p>
        </w:tc>
        <w:tc>
          <w:tcPr>
            <w:tcW w:w="34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441,736</w:t>
            </w:r>
          </w:p>
        </w:tc>
        <w:tc>
          <w:tcPr>
            <w:tcW w:w="0" w:type="dxa"/>
            <w:vAlign w:val="bottom"/>
          </w:tcPr>
          <w:p>
            <w:pPr>
              <w:spacing w:after="0"/>
              <w:rPr>
                <w:sz w:val="1"/>
                <w:szCs w:val="1"/>
                <w:color w:val="auto"/>
              </w:rPr>
            </w:pPr>
          </w:p>
        </w:tc>
      </w:tr>
      <w:tr>
        <w:trPr>
          <w:trHeight w:val="186"/>
        </w:trPr>
        <w:tc>
          <w:tcPr>
            <w:tcW w:w="5520" w:type="dxa"/>
            <w:vAlign w:val="bottom"/>
          </w:tcPr>
          <w:p>
            <w:pPr>
              <w:ind w:left="480"/>
              <w:spacing w:after="0"/>
              <w:rPr>
                <w:sz w:val="20"/>
                <w:szCs w:val="20"/>
                <w:color w:val="auto"/>
              </w:rPr>
            </w:pPr>
            <w:r>
              <w:rPr>
                <w:rFonts w:ascii="Courier New" w:cs="Courier New" w:eastAsia="Courier New" w:hAnsi="Courier New"/>
                <w:sz w:val="16"/>
                <w:szCs w:val="16"/>
                <w:color w:val="auto"/>
              </w:rPr>
              <w:t>convertible notes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Repurchase of ordinary shares</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(99,976)</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(307,471)</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Redemption of 2% convertible notes</w:t>
            </w:r>
          </w:p>
        </w:tc>
        <w:tc>
          <w:tcPr>
            <w:tcW w:w="340" w:type="dxa"/>
            <w:vAlign w:val="bottom"/>
          </w:tcPr>
          <w:p>
            <w:pPr>
              <w:spacing w:after="0"/>
              <w:rPr>
                <w:sz w:val="16"/>
                <w:szCs w:val="16"/>
                <w:color w:val="auto"/>
              </w:rPr>
            </w:pP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(395,110)</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Repurchase of 2% convertible notes</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(4,987)</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Borrowings under financing arrangements</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910</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Principal payments under financing arrangements</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(656)</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(1,651)</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Principal payments on capital lease obligations</w:t>
            </w: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(17,085)</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(20,251)</w:t>
            </w:r>
          </w:p>
        </w:tc>
        <w:tc>
          <w:tcPr>
            <w:tcW w:w="0" w:type="dxa"/>
            <w:vAlign w:val="bottom"/>
          </w:tcPr>
          <w:p>
            <w:pPr>
              <w:spacing w:after="0"/>
              <w:rPr>
                <w:sz w:val="1"/>
                <w:szCs w:val="1"/>
                <w:color w:val="auto"/>
              </w:rPr>
            </w:pPr>
          </w:p>
        </w:tc>
      </w:tr>
      <w:tr>
        <w:trPr>
          <w:trHeight w:val="186"/>
        </w:trPr>
        <w:tc>
          <w:tcPr>
            <w:tcW w:w="5520" w:type="dxa"/>
            <w:vAlign w:val="bottom"/>
            <w:vMerge w:val="restart"/>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(103,664)</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(275,460)</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 cash equivalents</w:t>
            </w:r>
          </w:p>
        </w:tc>
        <w:tc>
          <w:tcPr>
            <w:tcW w:w="340" w:type="dxa"/>
            <w:vAlign w:val="bottom"/>
          </w:tcPr>
          <w:p>
            <w:pPr>
              <w:spacing w:after="0"/>
              <w:rPr>
                <w:sz w:val="24"/>
                <w:szCs w:val="24"/>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89,072</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(355,154)</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340" w:type="dxa"/>
            <w:vAlign w:val="bottom"/>
          </w:tcPr>
          <w:p>
            <w:pPr>
              <w:spacing w:after="0"/>
              <w:rPr>
                <w:sz w:val="16"/>
                <w:szCs w:val="16"/>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550,352</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847,600</w:t>
            </w:r>
          </w:p>
        </w:tc>
        <w:tc>
          <w:tcPr>
            <w:tcW w:w="0" w:type="dxa"/>
            <w:vAlign w:val="bottom"/>
          </w:tcPr>
          <w:p>
            <w:pPr>
              <w:spacing w:after="0"/>
              <w:rPr>
                <w:sz w:val="1"/>
                <w:szCs w:val="1"/>
                <w:color w:val="auto"/>
              </w:rPr>
            </w:pPr>
          </w:p>
        </w:tc>
      </w:tr>
      <w:tr>
        <w:trPr>
          <w:trHeight w:val="186"/>
        </w:trPr>
        <w:tc>
          <w:tcPr>
            <w:tcW w:w="552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639,424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492,446</w:t>
            </w:r>
          </w:p>
        </w:tc>
        <w:tc>
          <w:tcPr>
            <w:tcW w:w="0" w:type="dxa"/>
            <w:vAlign w:val="bottom"/>
          </w:tcPr>
          <w:p>
            <w:pPr>
              <w:spacing w:after="0"/>
              <w:rPr>
                <w:sz w:val="1"/>
                <w:szCs w:val="1"/>
                <w:color w:val="auto"/>
              </w:rPr>
            </w:pPr>
          </w:p>
        </w:tc>
      </w:tr>
      <w:tr>
        <w:trPr>
          <w:trHeight w:val="273"/>
        </w:trPr>
        <w:tc>
          <w:tcPr>
            <w:tcW w:w="5520" w:type="dxa"/>
            <w:vAlign w:val="bottom"/>
          </w:tcPr>
          <w:p>
            <w:pPr>
              <w:spacing w:after="0"/>
              <w:rPr>
                <w:sz w:val="23"/>
                <w:szCs w:val="23"/>
                <w:color w:val="auto"/>
              </w:rPr>
            </w:pPr>
          </w:p>
        </w:tc>
        <w:tc>
          <w:tcPr>
            <w:tcW w:w="14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5520" w:type="dxa"/>
            <w:vAlign w:val="bottom"/>
          </w:tcPr>
          <w:p>
            <w:pPr>
              <w:spacing w:after="0"/>
              <w:rPr>
                <w:sz w:val="20"/>
                <w:szCs w:val="20"/>
                <w:color w:val="auto"/>
              </w:rPr>
            </w:pPr>
            <w:r>
              <w:rPr>
                <w:rFonts w:ascii="Courier New" w:cs="Courier New" w:eastAsia="Courier New" w:hAnsi="Courier New"/>
                <w:sz w:val="16"/>
                <w:szCs w:val="16"/>
                <w:color w:val="auto"/>
              </w:rPr>
              <w:t>SUPPLEMENTARY CASH FLOW INFORMATION</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20"/>
                <w:szCs w:val="20"/>
                <w:color w:val="auto"/>
              </w:rPr>
            </w:pPr>
            <w:r>
              <w:rPr>
                <w:rFonts w:ascii="Courier New" w:cs="Courier New" w:eastAsia="Courier New" w:hAnsi="Courier New"/>
                <w:sz w:val="16"/>
                <w:szCs w:val="16"/>
                <w:color w:val="auto"/>
              </w:rPr>
              <w:t>Cash paid for:</w:t>
            </w:r>
          </w:p>
        </w:tc>
        <w:tc>
          <w:tcPr>
            <w:tcW w:w="3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55,875</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22,734</w:t>
            </w:r>
          </w:p>
        </w:tc>
        <w:tc>
          <w:tcPr>
            <w:tcW w:w="0" w:type="dxa"/>
            <w:vAlign w:val="bottom"/>
          </w:tcPr>
          <w:p>
            <w:pPr>
              <w:spacing w:after="0"/>
              <w:rPr>
                <w:sz w:val="1"/>
                <w:szCs w:val="1"/>
                <w:color w:val="auto"/>
              </w:rPr>
            </w:pPr>
          </w:p>
        </w:tc>
      </w:tr>
      <w:tr>
        <w:trPr>
          <w:trHeight w:val="186"/>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Income taxes, net of refunds</w:t>
            </w:r>
          </w:p>
        </w:tc>
        <w:tc>
          <w:tcPr>
            <w:tcW w:w="3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5520" w:type="dxa"/>
            <w:vAlign w:val="bottom"/>
          </w:tcPr>
          <w:p>
            <w:pPr>
              <w:ind w:left="300"/>
              <w:spacing w:after="0"/>
              <w:rPr>
                <w:sz w:val="20"/>
                <w:szCs w:val="20"/>
                <w:color w:val="auto"/>
              </w:rPr>
            </w:pPr>
            <w:r>
              <w:rPr>
                <w:rFonts w:ascii="Courier New" w:cs="Courier New" w:eastAsia="Courier New" w:hAnsi="Courier New"/>
                <w:sz w:val="16"/>
                <w:szCs w:val="16"/>
                <w:color w:val="auto"/>
              </w:rPr>
              <w:t>Interest</w:t>
            </w:r>
          </w:p>
        </w:tc>
        <w:tc>
          <w:tcPr>
            <w:tcW w:w="340" w:type="dxa"/>
            <w:vAlign w:val="bottom"/>
          </w:tcPr>
          <w:p>
            <w:pPr>
              <w:spacing w:after="0"/>
              <w:rPr>
                <w:sz w:val="23"/>
                <w:szCs w:val="23"/>
                <w:color w:val="auto"/>
              </w:rPr>
            </w:pPr>
          </w:p>
        </w:tc>
        <w:tc>
          <w:tcPr>
            <w:tcW w:w="11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3,590</w:t>
            </w:r>
          </w:p>
        </w:tc>
        <w:tc>
          <w:tcPr>
            <w:tcW w:w="2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9,733</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NON-CASH INVESTING AND FINANCING ACTIVITIES</w:t>
      </w:r>
    </w:p>
    <w:p>
      <w:pPr>
        <w:spacing w:after="0" w:line="378" w:lineRule="exact"/>
        <w:rPr>
          <w:sz w:val="20"/>
          <w:szCs w:val="20"/>
          <w:color w:val="auto"/>
        </w:rPr>
      </w:pPr>
    </w:p>
    <w:p>
      <w:pPr>
        <w:ind w:right="2659"/>
        <w:spacing w:after="0" w:line="367" w:lineRule="auto"/>
        <w:rPr>
          <w:sz w:val="20"/>
          <w:szCs w:val="20"/>
          <w:color w:val="auto"/>
        </w:rPr>
      </w:pPr>
      <w:r>
        <w:rPr>
          <w:rFonts w:ascii="Courier New" w:cs="Courier New" w:eastAsia="Courier New" w:hAnsi="Courier New"/>
          <w:sz w:val="16"/>
          <w:szCs w:val="16"/>
          <w:color w:val="auto"/>
        </w:rPr>
        <w:t>In the nine months ended June 30, 2004, the Company issued 561 ordinary shares in connection with the acquisition of XACCT Technologies Ltd.</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46" w:right="1440" w:bottom="352" w:gutter="0" w:footer="0" w:header="0"/>
        </w:sectPr>
      </w:pPr>
    </w:p>
    <w:bookmarkStart w:id="6" w:name="page7"/>
    <w:bookmarkEnd w:id="6"/>
    <w:p>
      <w:pPr>
        <w:jc w:val="center"/>
        <w:ind w:right="26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(in thousands)</w:t>
      </w:r>
    </w:p>
    <w:p>
      <w:pPr>
        <w:spacing w:after="0" w:line="191"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accompanying notes are an integral part of these consolidated financial</w:t>
      </w:r>
    </w:p>
    <w:p>
      <w:pPr>
        <w:spacing w:after="0" w:line="3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6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019"/>
          </w:cols>
          <w:pgMar w:left="440" w:top="646" w:right="1440" w:bottom="1440" w:gutter="0" w:footer="0" w:header="0"/>
        </w:sectPr>
      </w:pPr>
    </w:p>
    <w:bookmarkStart w:id="7" w:name="page8"/>
    <w:bookmarkEnd w:id="7"/>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hanging="581"/>
        <w:spacing w:after="0"/>
        <w:tabs>
          <w:tab w:leader="none" w:pos="5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91" w:lineRule="exact"/>
        <w:rPr>
          <w:sz w:val="20"/>
          <w:szCs w:val="20"/>
          <w:color w:val="auto"/>
        </w:rPr>
      </w:pPr>
    </w:p>
    <w:p>
      <w:pPr>
        <w:ind w:left="581" w:right="2459" w:firstLine="581"/>
        <w:spacing w:after="0" w:line="266" w:lineRule="auto"/>
        <w:rPr>
          <w:sz w:val="20"/>
          <w:szCs w:val="20"/>
          <w:color w:val="auto"/>
        </w:rPr>
      </w:pPr>
      <w:r>
        <w:rPr>
          <w:rFonts w:ascii="Courier New" w:cs="Courier New" w:eastAsia="Courier New" w:hAnsi="Courier New"/>
          <w:sz w:val="16"/>
          <w:szCs w:val="16"/>
          <w:color w:val="auto"/>
        </w:rPr>
        <w:t>Amdocs Limited (the "Company") is a leading provider of software products and services to the communications industry. The Company and its subsidiaries operate in one segment offering products and services that enable its customers to move toward an integrated approach to customer management. The Company designs, develops, markets, supports and operates, and provides Managed Services for, information system solutions primarily to leading communications companies throughout the world.</w:t>
      </w:r>
    </w:p>
    <w:p>
      <w:pPr>
        <w:spacing w:after="0" w:line="85" w:lineRule="exact"/>
        <w:rPr>
          <w:sz w:val="20"/>
          <w:szCs w:val="20"/>
          <w:color w:val="auto"/>
        </w:rPr>
      </w:pPr>
    </w:p>
    <w:p>
      <w:pPr>
        <w:ind w:left="581" w:right="2559" w:firstLine="581"/>
        <w:spacing w:after="0" w:line="270" w:lineRule="auto"/>
        <w:rPr>
          <w:sz w:val="20"/>
          <w:szCs w:val="20"/>
          <w:color w:val="auto"/>
        </w:rPr>
      </w:pPr>
      <w:r>
        <w:rPr>
          <w:rFonts w:ascii="Courier New" w:cs="Courier New" w:eastAsia="Courier New" w:hAnsi="Courier New"/>
          <w:sz w:val="16"/>
          <w:szCs w:val="16"/>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81" w:lineRule="exact"/>
        <w:rPr>
          <w:sz w:val="20"/>
          <w:szCs w:val="20"/>
          <w:color w:val="auto"/>
        </w:rPr>
      </w:pPr>
    </w:p>
    <w:p>
      <w:pPr>
        <w:ind w:left="581" w:right="2459" w:firstLine="581"/>
        <w:spacing w:after="0" w:line="270" w:lineRule="auto"/>
        <w:rPr>
          <w:sz w:val="20"/>
          <w:szCs w:val="20"/>
          <w:color w:val="auto"/>
        </w:rPr>
      </w:pPr>
      <w:r>
        <w:rPr>
          <w:rFonts w:ascii="Courier New" w:cs="Courier New" w:eastAsia="Courier New" w:hAnsi="Courier New"/>
          <w:sz w:val="16"/>
          <w:szCs w:val="16"/>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81" w:lineRule="exact"/>
        <w:rPr>
          <w:sz w:val="20"/>
          <w:szCs w:val="20"/>
          <w:color w:val="auto"/>
        </w:rPr>
      </w:pPr>
    </w:p>
    <w:p>
      <w:pPr>
        <w:ind w:left="581" w:right="2459" w:firstLine="581"/>
        <w:spacing w:after="0" w:line="261" w:lineRule="auto"/>
        <w:rPr>
          <w:sz w:val="20"/>
          <w:szCs w:val="20"/>
          <w:color w:val="auto"/>
        </w:rPr>
      </w:pPr>
      <w:r>
        <w:rPr>
          <w:rFonts w:ascii="Courier New" w:cs="Courier New" w:eastAsia="Courier New" w:hAnsi="Courier New"/>
          <w:sz w:val="16"/>
          <w:szCs w:val="16"/>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2004, set forth in the Company's Annual Report on Form 20-F filed on December 30, 2004 with the Securities and Exchange Commission.</w:t>
      </w:r>
    </w:p>
    <w:p>
      <w:pPr>
        <w:spacing w:after="0" w:line="89"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Reclassification</w:t>
      </w:r>
    </w:p>
    <w:p>
      <w:pPr>
        <w:spacing w:after="0" w:line="191" w:lineRule="exact"/>
        <w:rPr>
          <w:sz w:val="20"/>
          <w:szCs w:val="20"/>
          <w:color w:val="auto"/>
        </w:rPr>
      </w:pPr>
    </w:p>
    <w:p>
      <w:pPr>
        <w:ind w:left="581" w:right="2559" w:firstLine="581"/>
        <w:spacing w:after="0" w:line="367" w:lineRule="auto"/>
        <w:rPr>
          <w:sz w:val="20"/>
          <w:szCs w:val="20"/>
          <w:color w:val="auto"/>
        </w:rPr>
      </w:pPr>
      <w:r>
        <w:rPr>
          <w:rFonts w:ascii="Courier New" w:cs="Courier New" w:eastAsia="Courier New" w:hAnsi="Courier New"/>
          <w:sz w:val="16"/>
          <w:szCs w:val="16"/>
          <w:color w:val="auto"/>
        </w:rPr>
        <w:t>Certain prior year amounts have been reclassified to conform to the current year presentation.</w:t>
      </w:r>
    </w:p>
    <w:p>
      <w:pPr>
        <w:spacing w:after="0" w:line="5" w:lineRule="exact"/>
        <w:rPr>
          <w:sz w:val="20"/>
          <w:szCs w:val="20"/>
          <w:color w:val="auto"/>
        </w:rPr>
      </w:pPr>
    </w:p>
    <w:p>
      <w:pPr>
        <w:ind w:left="581" w:hanging="581"/>
        <w:spacing w:after="0"/>
        <w:tabs>
          <w:tab w:leader="none" w:pos="5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POLICY</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Accounting for Stock-Based Compensation</w:t>
      </w:r>
    </w:p>
    <w:p>
      <w:pPr>
        <w:spacing w:after="0" w:line="191" w:lineRule="exact"/>
        <w:rPr>
          <w:sz w:val="20"/>
          <w:szCs w:val="20"/>
          <w:color w:val="auto"/>
        </w:rPr>
      </w:pPr>
    </w:p>
    <w:p>
      <w:pPr>
        <w:ind w:left="581" w:right="2559" w:firstLine="581"/>
        <w:spacing w:after="0" w:line="261" w:lineRule="auto"/>
        <w:rPr>
          <w:sz w:val="20"/>
          <w:szCs w:val="20"/>
          <w:color w:val="auto"/>
        </w:rPr>
      </w:pPr>
      <w:r>
        <w:rPr>
          <w:rFonts w:ascii="Courier New" w:cs="Courier New" w:eastAsia="Courier New" w:hAnsi="Courier New"/>
          <w:sz w:val="16"/>
          <w:szCs w:val="16"/>
          <w:color w:val="auto"/>
        </w:rPr>
        <w:t>The Company follows Accounting Principles Board ("APB") Opinion No. 25, "Accounting for Stock Issued to Employees" ("APB No. 25") and related interpretations in accounting for its employee stock options. Pursuant to these accounting standards,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in accordance with the accelerated expense attribution method.</w:t>
      </w:r>
    </w:p>
    <w:p>
      <w:pPr>
        <w:spacing w:after="0" w:line="89" w:lineRule="exact"/>
        <w:rPr>
          <w:sz w:val="20"/>
          <w:szCs w:val="20"/>
          <w:color w:val="auto"/>
        </w:rPr>
      </w:pPr>
    </w:p>
    <w:p>
      <w:pPr>
        <w:ind w:left="581" w:right="2459" w:firstLine="581"/>
        <w:spacing w:after="0" w:line="264" w:lineRule="auto"/>
        <w:rPr>
          <w:sz w:val="20"/>
          <w:szCs w:val="20"/>
          <w:color w:val="auto"/>
        </w:rPr>
      </w:pPr>
      <w:r>
        <w:rPr>
          <w:rFonts w:ascii="Courier New" w:cs="Courier New" w:eastAsia="Courier New" w:hAnsi="Courier New"/>
          <w:sz w:val="16"/>
          <w:szCs w:val="16"/>
          <w:color w:val="auto"/>
        </w:rPr>
        <w:t>As presented below, the Company determined pro forma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w:t>
      </w:r>
    </w:p>
    <w:p>
      <w:pPr>
        <w:spacing w:after="0" w:line="82"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0"/>
          </w:cols>
          <w:pgMar w:left="239" w:top="646" w:right="1440" w:bottom="1440" w:gutter="0" w:footer="0" w:header="0"/>
        </w:sectPr>
      </w:pPr>
    </w:p>
    <w:bookmarkStart w:id="8" w:name="page9"/>
    <w:bookmarkEnd w:id="8"/>
    <w:p>
      <w:pPr>
        <w:jc w:val="center"/>
        <w:ind w:right="2600"/>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right="2800"/>
        <w:spacing w:after="0" w:line="264" w:lineRule="auto"/>
        <w:rPr>
          <w:sz w:val="20"/>
          <w:szCs w:val="20"/>
          <w:color w:val="auto"/>
        </w:rPr>
      </w:pPr>
      <w:r>
        <w:rPr>
          <w:rFonts w:ascii="Courier New" w:cs="Courier New" w:eastAsia="Courier New" w:hAnsi="Courier New"/>
          <w:sz w:val="16"/>
          <w:szCs w:val="16"/>
          <w:color w:val="auto"/>
        </w:rPr>
        <w:t>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82" w:lineRule="exact"/>
        <w:rPr>
          <w:sz w:val="20"/>
          <w:szCs w:val="20"/>
          <w:color w:val="auto"/>
        </w:rPr>
      </w:pPr>
    </w:p>
    <w:p>
      <w:pPr>
        <w:jc w:val="both"/>
        <w:ind w:right="2600" w:firstLine="581"/>
        <w:spacing w:after="0" w:line="307" w:lineRule="auto"/>
        <w:rPr>
          <w:sz w:val="20"/>
          <w:szCs w:val="20"/>
          <w:color w:val="auto"/>
        </w:rPr>
      </w:pPr>
      <w:r>
        <w:rPr>
          <w:rFonts w:ascii="Courier New" w:cs="Courier New" w:eastAsia="Courier New" w:hAnsi="Courier New"/>
          <w:sz w:val="16"/>
          <w:szCs w:val="16"/>
          <w:color w:val="auto"/>
        </w:rPr>
        <w:t>The fair value of options granted was estimated at the date of grant using the Black-Scholes pricing model with the following assumptions for the presented periods (all in weighted averages for options granted during the period):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00" w:type="dxa"/>
            <w:vAlign w:val="bottom"/>
          </w:tcPr>
          <w:p>
            <w:pPr>
              <w:spacing w:after="0"/>
              <w:rPr>
                <w:sz w:val="16"/>
                <w:szCs w:val="16"/>
                <w:color w:val="auto"/>
              </w:rPr>
            </w:pPr>
          </w:p>
        </w:tc>
        <w:tc>
          <w:tcPr>
            <w:tcW w:w="272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THREE MONTHS ENDED</w:t>
            </w:r>
          </w:p>
        </w:tc>
        <w:tc>
          <w:tcPr>
            <w:tcW w:w="24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NINE MONTHS ENDED</w:t>
            </w:r>
          </w:p>
        </w:tc>
      </w:tr>
      <w:tr>
        <w:trPr>
          <w:trHeight w:val="186"/>
        </w:trPr>
        <w:tc>
          <w:tcPr>
            <w:tcW w:w="2800" w:type="dxa"/>
            <w:vAlign w:val="bottom"/>
          </w:tcPr>
          <w:p>
            <w:pPr>
              <w:spacing w:after="0"/>
              <w:rPr>
                <w:sz w:val="16"/>
                <w:szCs w:val="16"/>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9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JUNE 30,</w:t>
            </w:r>
          </w:p>
        </w:tc>
        <w:tc>
          <w:tcPr>
            <w:tcW w:w="760" w:type="dxa"/>
            <w:vAlign w:val="bottom"/>
          </w:tcPr>
          <w:p>
            <w:pPr>
              <w:spacing w:after="0"/>
              <w:rPr>
                <w:sz w:val="16"/>
                <w:szCs w:val="16"/>
                <w:color w:val="auto"/>
              </w:rPr>
            </w:pPr>
          </w:p>
        </w:tc>
      </w:tr>
      <w:tr>
        <w:trPr>
          <w:trHeight w:val="186"/>
        </w:trPr>
        <w:tc>
          <w:tcPr>
            <w:tcW w:w="2800" w:type="dxa"/>
            <w:vAlign w:val="bottom"/>
          </w:tcPr>
          <w:p>
            <w:pPr>
              <w:spacing w:after="0"/>
              <w:rPr>
                <w:sz w:val="16"/>
                <w:szCs w:val="16"/>
                <w:color w:val="auto"/>
              </w:rPr>
            </w:pPr>
          </w:p>
        </w:tc>
        <w:tc>
          <w:tcPr>
            <w:tcW w:w="2720" w:type="dxa"/>
            <w:vAlign w:val="bottom"/>
            <w:gridSpan w:val="3"/>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6"/>
        </w:trPr>
        <w:tc>
          <w:tcPr>
            <w:tcW w:w="2800" w:type="dxa"/>
            <w:vAlign w:val="bottom"/>
          </w:tcPr>
          <w:p>
            <w:pPr>
              <w:spacing w:after="0"/>
              <w:rPr>
                <w:sz w:val="16"/>
                <w:szCs w:val="16"/>
                <w:color w:val="auto"/>
              </w:rPr>
            </w:pPr>
          </w:p>
        </w:tc>
        <w:tc>
          <w:tcPr>
            <w:tcW w:w="13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2005</w:t>
            </w:r>
          </w:p>
        </w:tc>
        <w:tc>
          <w:tcPr>
            <w:tcW w:w="40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2004</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2005</w:t>
            </w:r>
          </w:p>
        </w:tc>
        <w:tc>
          <w:tcPr>
            <w:tcW w:w="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2004</w:t>
            </w:r>
          </w:p>
        </w:tc>
      </w:tr>
      <w:tr>
        <w:trPr>
          <w:trHeight w:val="273"/>
        </w:trPr>
        <w:tc>
          <w:tcPr>
            <w:tcW w:w="2800" w:type="dxa"/>
            <w:vAlign w:val="bottom"/>
          </w:tcPr>
          <w:p>
            <w:pPr>
              <w:spacing w:after="0"/>
              <w:rPr>
                <w:sz w:val="23"/>
                <w:szCs w:val="23"/>
                <w:color w:val="auto"/>
              </w:rPr>
            </w:pP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w:t>
            </w:r>
          </w:p>
        </w:tc>
      </w:tr>
      <w:tr>
        <w:trPr>
          <w:trHeight w:val="287"/>
        </w:trPr>
        <w:tc>
          <w:tcPr>
            <w:tcW w:w="2800" w:type="dxa"/>
            <w:vAlign w:val="bottom"/>
          </w:tcPr>
          <w:p>
            <w:pPr>
              <w:spacing w:after="0"/>
              <w:rPr>
                <w:sz w:val="20"/>
                <w:szCs w:val="20"/>
                <w:color w:val="auto"/>
              </w:rPr>
            </w:pPr>
            <w:r>
              <w:rPr>
                <w:rFonts w:ascii="Courier New" w:cs="Courier New" w:eastAsia="Courier New" w:hAnsi="Courier New"/>
                <w:sz w:val="16"/>
                <w:szCs w:val="16"/>
                <w:color w:val="auto"/>
              </w:rPr>
              <w:t>Risk-free interest rate</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3.79%</w:t>
            </w:r>
          </w:p>
        </w:tc>
        <w:tc>
          <w:tcPr>
            <w:tcW w:w="400" w:type="dxa"/>
            <w:vAlign w:val="bottom"/>
          </w:tcPr>
          <w:p>
            <w:pPr>
              <w:spacing w:after="0"/>
              <w:rPr>
                <w:sz w:val="24"/>
                <w:szCs w:val="24"/>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3.68%</w:t>
            </w:r>
          </w:p>
        </w:tc>
        <w:tc>
          <w:tcPr>
            <w:tcW w:w="16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3.35%</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3.05%</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Expected life of options</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4.50</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4.50</w:t>
            </w:r>
          </w:p>
        </w:tc>
        <w:tc>
          <w:tcPr>
            <w:tcW w:w="16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4.50</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w:t>
            </w:r>
          </w:p>
        </w:tc>
      </w:tr>
      <w:tr>
        <w:trPr>
          <w:trHeight w:val="186"/>
        </w:trPr>
        <w:tc>
          <w:tcPr>
            <w:tcW w:w="2800" w:type="dxa"/>
            <w:vAlign w:val="bottom"/>
          </w:tcPr>
          <w:p>
            <w:pPr>
              <w:spacing w:after="0"/>
              <w:rPr>
                <w:sz w:val="20"/>
                <w:szCs w:val="20"/>
                <w:color w:val="auto"/>
              </w:rPr>
            </w:pPr>
            <w:r>
              <w:rPr>
                <w:rFonts w:ascii="Courier New" w:cs="Courier New" w:eastAsia="Courier New" w:hAnsi="Courier New"/>
                <w:sz w:val="16"/>
                <w:szCs w:val="16"/>
                <w:color w:val="auto"/>
              </w:rPr>
              <w:t>Expected annual volatility</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0.603</w:t>
            </w:r>
          </w:p>
        </w:tc>
        <w:tc>
          <w:tcPr>
            <w:tcW w:w="400" w:type="dxa"/>
            <w:vAlign w:val="bottom"/>
          </w:tcPr>
          <w:p>
            <w:pPr>
              <w:spacing w:after="0"/>
              <w:rPr>
                <w:sz w:val="16"/>
                <w:szCs w:val="16"/>
                <w:color w:val="auto"/>
              </w:rPr>
            </w:pP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0.682</w:t>
            </w:r>
          </w:p>
        </w:tc>
        <w:tc>
          <w:tcPr>
            <w:tcW w:w="16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0.635</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0.691</w:t>
            </w:r>
          </w:p>
        </w:tc>
      </w:tr>
      <w:tr>
        <w:trPr>
          <w:trHeight w:val="2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Expected dividend yield</w:t>
            </w:r>
          </w:p>
        </w:tc>
        <w:tc>
          <w:tcPr>
            <w:tcW w:w="13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None</w:t>
            </w:r>
          </w:p>
        </w:tc>
        <w:tc>
          <w:tcPr>
            <w:tcW w:w="400" w:type="dxa"/>
            <w:vAlign w:val="bottom"/>
          </w:tcPr>
          <w:p>
            <w:pPr>
              <w:spacing w:after="0"/>
              <w:rPr>
                <w:sz w:val="23"/>
                <w:szCs w:val="23"/>
                <w:color w:val="auto"/>
              </w:rPr>
            </w:pPr>
          </w:p>
        </w:tc>
        <w:tc>
          <w:tcPr>
            <w:tcW w:w="9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3"/>
              </w:rPr>
              <w:t>None</w:t>
            </w:r>
          </w:p>
        </w:tc>
        <w:tc>
          <w:tcPr>
            <w:tcW w:w="16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None</w:t>
            </w:r>
          </w:p>
        </w:tc>
        <w:tc>
          <w:tcPr>
            <w:tcW w:w="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None</w:t>
            </w:r>
          </w:p>
        </w:tc>
      </w:tr>
      <w:tr>
        <w:trPr>
          <w:trHeight w:val="373"/>
        </w:trPr>
        <w:tc>
          <w:tcPr>
            <w:tcW w:w="2800" w:type="dxa"/>
            <w:vAlign w:val="bottom"/>
          </w:tcPr>
          <w:p>
            <w:pPr>
              <w:spacing w:after="0"/>
              <w:rPr>
                <w:sz w:val="20"/>
                <w:szCs w:val="20"/>
                <w:color w:val="auto"/>
              </w:rPr>
            </w:pPr>
            <w:r>
              <w:rPr>
                <w:rFonts w:ascii="Courier New" w:cs="Courier New" w:eastAsia="Courier New" w:hAnsi="Courier New"/>
                <w:sz w:val="16"/>
                <w:szCs w:val="16"/>
                <w:color w:val="auto"/>
              </w:rPr>
              <w:t>Fair value per option</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$ 13.92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13.99</w:t>
            </w:r>
          </w:p>
        </w:tc>
        <w:tc>
          <w:tcPr>
            <w:tcW w:w="16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$ 12.63</w:t>
            </w:r>
          </w:p>
        </w:tc>
        <w:tc>
          <w:tcPr>
            <w:tcW w:w="7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5"/>
              </w:rPr>
              <w:t>$ 13.13</w:t>
            </w:r>
          </w:p>
        </w:tc>
      </w:tr>
    </w:tbl>
    <w:p>
      <w:pPr>
        <w:spacing w:after="0" w:line="287" w:lineRule="exact"/>
        <w:rPr>
          <w:sz w:val="20"/>
          <w:szCs w:val="20"/>
          <w:color w:val="auto"/>
        </w:rPr>
      </w:pPr>
    </w:p>
    <w:p>
      <w:pPr>
        <w:ind w:right="2800" w:firstLine="581"/>
        <w:spacing w:after="0" w:line="307" w:lineRule="auto"/>
        <w:rPr>
          <w:sz w:val="20"/>
          <w:szCs w:val="20"/>
          <w:color w:val="auto"/>
        </w:rPr>
      </w:pPr>
      <w:r>
        <w:rPr>
          <w:rFonts w:ascii="Courier New" w:cs="Courier New" w:eastAsia="Courier New" w:hAnsi="Courier New"/>
          <w:sz w:val="16"/>
          <w:szCs w:val="16"/>
          <w:color w:val="auto"/>
        </w:rPr>
        <w:t>The following table sets forth the pro forma effect of applying SFAS No. 123 on net income and earnings per share for the three and nine months ended June 30, 2005 and 2004: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40" w:type="dxa"/>
            <w:vAlign w:val="bottom"/>
            <w:gridSpan w:val="3"/>
          </w:tcPr>
          <w:p>
            <w:pPr>
              <w:jc w:val="right"/>
              <w:ind w:right="879"/>
              <w:spacing w:after="0"/>
              <w:rPr>
                <w:sz w:val="20"/>
                <w:szCs w:val="20"/>
                <w:color w:val="auto"/>
              </w:rPr>
            </w:pPr>
            <w:r>
              <w:rPr>
                <w:rFonts w:ascii="Courier New" w:cs="Courier New" w:eastAsia="Courier New" w:hAnsi="Courier New"/>
                <w:sz w:val="16"/>
                <w:szCs w:val="16"/>
                <w:color w:val="auto"/>
              </w:rPr>
              <w:t>THREE MONTHS ENDED</w:t>
            </w:r>
          </w:p>
        </w:tc>
        <w:tc>
          <w:tcPr>
            <w:tcW w:w="500" w:type="dxa"/>
            <w:vAlign w:val="bottom"/>
          </w:tcPr>
          <w:p>
            <w:pPr>
              <w:spacing w:after="0"/>
              <w:rPr>
                <w:sz w:val="16"/>
                <w:szCs w:val="16"/>
                <w:color w:val="auto"/>
              </w:rPr>
            </w:pPr>
          </w:p>
        </w:tc>
        <w:tc>
          <w:tcPr>
            <w:tcW w:w="2700" w:type="dxa"/>
            <w:vAlign w:val="bottom"/>
            <w:gridSpan w:val="3"/>
          </w:tcPr>
          <w:p>
            <w:pPr>
              <w:jc w:val="right"/>
              <w:ind w:right="679"/>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JUNE 30,</w:t>
            </w: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3480" w:type="dxa"/>
            <w:vAlign w:val="bottom"/>
            <w:gridSpan w:val="4"/>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32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2005</w:t>
            </w:r>
          </w:p>
        </w:tc>
        <w:tc>
          <w:tcPr>
            <w:tcW w:w="500" w:type="dxa"/>
            <w:vAlign w:val="bottom"/>
          </w:tcPr>
          <w:p>
            <w:pPr>
              <w:spacing w:after="0"/>
              <w:rPr>
                <w:sz w:val="16"/>
                <w:szCs w:val="16"/>
                <w:color w:val="auto"/>
              </w:rPr>
            </w:pPr>
          </w:p>
        </w:tc>
        <w:tc>
          <w:tcPr>
            <w:tcW w:w="124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2004</w:t>
            </w:r>
          </w:p>
        </w:tc>
        <w:tc>
          <w:tcPr>
            <w:tcW w:w="500" w:type="dxa"/>
            <w:vAlign w:val="bottom"/>
          </w:tcPr>
          <w:p>
            <w:pPr>
              <w:spacing w:after="0"/>
              <w:rPr>
                <w:sz w:val="16"/>
                <w:szCs w:val="16"/>
                <w:color w:val="auto"/>
              </w:rPr>
            </w:pPr>
          </w:p>
        </w:tc>
        <w:tc>
          <w:tcPr>
            <w:tcW w:w="12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2005</w:t>
            </w:r>
          </w:p>
        </w:tc>
        <w:tc>
          <w:tcPr>
            <w:tcW w:w="4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3680" w:type="dxa"/>
            <w:vAlign w:val="bottom"/>
          </w:tcPr>
          <w:p>
            <w:pPr>
              <w:spacing w:after="0"/>
              <w:rPr>
                <w:sz w:val="23"/>
                <w:szCs w:val="23"/>
                <w:color w:val="auto"/>
              </w:rPr>
            </w:pP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680" w:type="dxa"/>
            <w:vAlign w:val="bottom"/>
          </w:tcPr>
          <w:p>
            <w:pPr>
              <w:spacing w:after="0"/>
              <w:rPr>
                <w:sz w:val="20"/>
                <w:szCs w:val="20"/>
                <w:color w:val="auto"/>
              </w:rPr>
            </w:pPr>
            <w:r>
              <w:rPr>
                <w:rFonts w:ascii="Courier New" w:cs="Courier New" w:eastAsia="Courier New" w:hAnsi="Courier New"/>
                <w:sz w:val="16"/>
                <w:szCs w:val="16"/>
                <w:color w:val="auto"/>
              </w:rPr>
              <w:t>Net income, as reported</w:t>
            </w: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77,097</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59,920</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220,837</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173,278</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Add: Stock-based employee</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580"/>
              <w:spacing w:after="0"/>
              <w:rPr>
                <w:sz w:val="20"/>
                <w:szCs w:val="20"/>
                <w:color w:val="auto"/>
              </w:rPr>
            </w:pPr>
            <w:r>
              <w:rPr>
                <w:rFonts w:ascii="Courier New" w:cs="Courier New" w:eastAsia="Courier New" w:hAnsi="Courier New"/>
                <w:sz w:val="16"/>
                <w:szCs w:val="16"/>
                <w:color w:val="auto"/>
              </w:rPr>
              <w:t>compensation expense included</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580"/>
              <w:spacing w:after="0"/>
              <w:rPr>
                <w:sz w:val="20"/>
                <w:szCs w:val="20"/>
                <w:color w:val="auto"/>
              </w:rPr>
            </w:pPr>
            <w:r>
              <w:rPr>
                <w:rFonts w:ascii="Courier New" w:cs="Courier New" w:eastAsia="Courier New" w:hAnsi="Courier New"/>
                <w:sz w:val="16"/>
                <w:szCs w:val="16"/>
                <w:color w:val="auto"/>
              </w:rPr>
              <w:t>in net income, net of related</w:t>
            </w:r>
          </w:p>
        </w:tc>
        <w:tc>
          <w:tcPr>
            <w:tcW w:w="540" w:type="dxa"/>
            <w:vAlign w:val="bottom"/>
          </w:tcPr>
          <w:p>
            <w:pPr>
              <w:spacing w:after="0"/>
              <w:rPr>
                <w:sz w:val="16"/>
                <w:szCs w:val="16"/>
                <w:color w:val="auto"/>
              </w:rPr>
            </w:pPr>
          </w:p>
        </w:tc>
        <w:tc>
          <w:tcPr>
            <w:tcW w:w="120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56</w:t>
            </w:r>
          </w:p>
        </w:tc>
        <w:tc>
          <w:tcPr>
            <w:tcW w:w="500" w:type="dxa"/>
            <w:vAlign w:val="bottom"/>
          </w:tcPr>
          <w:p>
            <w:pPr>
              <w:spacing w:after="0"/>
              <w:rPr>
                <w:sz w:val="16"/>
                <w:szCs w:val="16"/>
                <w:color w:val="auto"/>
              </w:rPr>
            </w:pPr>
          </w:p>
        </w:tc>
        <w:tc>
          <w:tcPr>
            <w:tcW w:w="12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276</w:t>
            </w:r>
          </w:p>
        </w:tc>
        <w:tc>
          <w:tcPr>
            <w:tcW w:w="500" w:type="dxa"/>
            <w:vAlign w:val="bottom"/>
          </w:tcPr>
          <w:p>
            <w:pPr>
              <w:spacing w:after="0"/>
              <w:rPr>
                <w:sz w:val="16"/>
                <w:szCs w:val="16"/>
                <w:color w:val="auto"/>
              </w:rPr>
            </w:pPr>
          </w:p>
        </w:tc>
        <w:tc>
          <w:tcPr>
            <w:tcW w:w="126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206</w:t>
            </w:r>
          </w:p>
        </w:tc>
        <w:tc>
          <w:tcPr>
            <w:tcW w:w="4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301</w:t>
            </w:r>
          </w:p>
        </w:tc>
        <w:tc>
          <w:tcPr>
            <w:tcW w:w="0" w:type="dxa"/>
            <w:vAlign w:val="bottom"/>
          </w:tcPr>
          <w:p>
            <w:pPr>
              <w:spacing w:after="0"/>
              <w:rPr>
                <w:sz w:val="1"/>
                <w:szCs w:val="1"/>
                <w:color w:val="auto"/>
              </w:rPr>
            </w:pPr>
          </w:p>
        </w:tc>
      </w:tr>
      <w:tr>
        <w:trPr>
          <w:trHeight w:val="186"/>
        </w:trPr>
        <w:tc>
          <w:tcPr>
            <w:tcW w:w="3680" w:type="dxa"/>
            <w:vAlign w:val="bottom"/>
          </w:tcPr>
          <w:p>
            <w:pPr>
              <w:ind w:left="580"/>
              <w:spacing w:after="0"/>
              <w:rPr>
                <w:sz w:val="20"/>
                <w:szCs w:val="20"/>
                <w:color w:val="auto"/>
              </w:rPr>
            </w:pPr>
            <w:r>
              <w:rPr>
                <w:rFonts w:ascii="Courier New" w:cs="Courier New" w:eastAsia="Courier New" w:hAnsi="Courier New"/>
                <w:sz w:val="16"/>
                <w:szCs w:val="16"/>
                <w:color w:val="auto"/>
              </w:rPr>
              <w:t>tax effects</w:t>
            </w:r>
          </w:p>
        </w:tc>
        <w:tc>
          <w:tcPr>
            <w:tcW w:w="5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spacing w:after="0"/>
              <w:rPr>
                <w:sz w:val="20"/>
                <w:szCs w:val="20"/>
                <w:color w:val="auto"/>
              </w:rPr>
            </w:pPr>
            <w:r>
              <w:rPr>
                <w:rFonts w:ascii="Courier New" w:cs="Courier New" w:eastAsia="Courier New" w:hAnsi="Courier New"/>
                <w:sz w:val="16"/>
                <w:szCs w:val="16"/>
                <w:color w:val="auto"/>
              </w:rPr>
              <w:t>Less: Total stock-based employee</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580"/>
              <w:spacing w:after="0"/>
              <w:rPr>
                <w:sz w:val="20"/>
                <w:szCs w:val="20"/>
                <w:color w:val="auto"/>
              </w:rPr>
            </w:pPr>
            <w:r>
              <w:rPr>
                <w:rFonts w:ascii="Courier New" w:cs="Courier New" w:eastAsia="Courier New" w:hAnsi="Courier New"/>
                <w:sz w:val="16"/>
                <w:szCs w:val="16"/>
                <w:color w:val="auto"/>
              </w:rPr>
              <w:t>compensation expense</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580"/>
              <w:spacing w:after="0"/>
              <w:rPr>
                <w:sz w:val="20"/>
                <w:szCs w:val="20"/>
                <w:color w:val="auto"/>
              </w:rPr>
            </w:pPr>
            <w:r>
              <w:rPr>
                <w:rFonts w:ascii="Courier New" w:cs="Courier New" w:eastAsia="Courier New" w:hAnsi="Courier New"/>
                <w:sz w:val="16"/>
                <w:szCs w:val="16"/>
                <w:color w:val="auto"/>
              </w:rPr>
              <w:t>determined under fair value</w:t>
            </w: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tcPr>
          <w:p>
            <w:pPr>
              <w:ind w:left="580"/>
              <w:spacing w:after="0"/>
              <w:rPr>
                <w:sz w:val="20"/>
                <w:szCs w:val="20"/>
                <w:color w:val="auto"/>
              </w:rPr>
            </w:pPr>
            <w:r>
              <w:rPr>
                <w:rFonts w:ascii="Courier New" w:cs="Courier New" w:eastAsia="Courier New" w:hAnsi="Courier New"/>
                <w:sz w:val="16"/>
                <w:szCs w:val="16"/>
                <w:color w:val="auto"/>
              </w:rPr>
              <w:t>method for all awards, net of</w:t>
            </w:r>
          </w:p>
        </w:tc>
        <w:tc>
          <w:tcPr>
            <w:tcW w:w="540" w:type="dxa"/>
            <w:vAlign w:val="bottom"/>
          </w:tcPr>
          <w:p>
            <w:pPr>
              <w:spacing w:after="0"/>
              <w:rPr>
                <w:sz w:val="16"/>
                <w:szCs w:val="16"/>
                <w:color w:val="auto"/>
              </w:rPr>
            </w:pPr>
          </w:p>
        </w:tc>
        <w:tc>
          <w:tcPr>
            <w:tcW w:w="120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(9,732)</w:t>
            </w:r>
          </w:p>
        </w:tc>
        <w:tc>
          <w:tcPr>
            <w:tcW w:w="500" w:type="dxa"/>
            <w:vAlign w:val="bottom"/>
          </w:tcPr>
          <w:p>
            <w:pPr>
              <w:spacing w:after="0"/>
              <w:rPr>
                <w:sz w:val="16"/>
                <w:szCs w:val="16"/>
                <w:color w:val="auto"/>
              </w:rPr>
            </w:pPr>
          </w:p>
        </w:tc>
        <w:tc>
          <w:tcPr>
            <w:tcW w:w="1240" w:type="dxa"/>
            <w:vAlign w:val="bottom"/>
            <w:vMerge w:val="restart"/>
          </w:tcPr>
          <w:p>
            <w:pPr>
              <w:jc w:val="right"/>
              <w:ind w:right="199"/>
              <w:spacing w:after="0"/>
              <w:rPr>
                <w:sz w:val="20"/>
                <w:szCs w:val="20"/>
                <w:color w:val="auto"/>
              </w:rPr>
            </w:pPr>
            <w:r>
              <w:rPr>
                <w:rFonts w:ascii="Courier New" w:cs="Courier New" w:eastAsia="Courier New" w:hAnsi="Courier New"/>
                <w:sz w:val="16"/>
                <w:szCs w:val="16"/>
                <w:color w:val="auto"/>
              </w:rPr>
              <w:t>(7,834)</w:t>
            </w:r>
          </w:p>
        </w:tc>
        <w:tc>
          <w:tcPr>
            <w:tcW w:w="500" w:type="dxa"/>
            <w:vAlign w:val="bottom"/>
          </w:tcPr>
          <w:p>
            <w:pPr>
              <w:spacing w:after="0"/>
              <w:rPr>
                <w:sz w:val="16"/>
                <w:szCs w:val="16"/>
                <w:color w:val="auto"/>
              </w:rPr>
            </w:pPr>
          </w:p>
        </w:tc>
        <w:tc>
          <w:tcPr>
            <w:tcW w:w="126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(26,995)</w:t>
            </w:r>
          </w:p>
        </w:tc>
        <w:tc>
          <w:tcPr>
            <w:tcW w:w="4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(27,927)</w:t>
            </w:r>
          </w:p>
        </w:tc>
        <w:tc>
          <w:tcPr>
            <w:tcW w:w="0" w:type="dxa"/>
            <w:vAlign w:val="bottom"/>
          </w:tcPr>
          <w:p>
            <w:pPr>
              <w:spacing w:after="0"/>
              <w:rPr>
                <w:sz w:val="1"/>
                <w:szCs w:val="1"/>
                <w:color w:val="auto"/>
              </w:rPr>
            </w:pPr>
          </w:p>
        </w:tc>
      </w:tr>
      <w:tr>
        <w:trPr>
          <w:trHeight w:val="186"/>
        </w:trPr>
        <w:tc>
          <w:tcPr>
            <w:tcW w:w="3680" w:type="dxa"/>
            <w:vAlign w:val="bottom"/>
          </w:tcPr>
          <w:p>
            <w:pPr>
              <w:ind w:left="580"/>
              <w:spacing w:after="0"/>
              <w:rPr>
                <w:sz w:val="20"/>
                <w:szCs w:val="20"/>
                <w:color w:val="auto"/>
              </w:rPr>
            </w:pPr>
            <w:r>
              <w:rPr>
                <w:rFonts w:ascii="Courier New" w:cs="Courier New" w:eastAsia="Courier New" w:hAnsi="Courier New"/>
                <w:sz w:val="16"/>
                <w:szCs w:val="16"/>
                <w:color w:val="auto"/>
              </w:rPr>
              <w:t>related tax effects</w:t>
            </w:r>
          </w:p>
        </w:tc>
        <w:tc>
          <w:tcPr>
            <w:tcW w:w="5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vMerge w:val="restart"/>
          </w:tcPr>
          <w:p>
            <w:pPr>
              <w:spacing w:after="0"/>
              <w:rPr>
                <w:sz w:val="20"/>
                <w:szCs w:val="20"/>
                <w:color w:val="auto"/>
              </w:rPr>
            </w:pPr>
            <w:r>
              <w:rPr>
                <w:rFonts w:ascii="Courier New" w:cs="Courier New" w:eastAsia="Courier New" w:hAnsi="Courier New"/>
                <w:sz w:val="16"/>
                <w:szCs w:val="16"/>
                <w:color w:val="auto"/>
              </w:rPr>
              <w:t>Pro forma net income</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680" w:type="dxa"/>
            <w:vAlign w:val="bottom"/>
            <w:vMerge w:val="continue"/>
          </w:tcPr>
          <w:p>
            <w:pPr>
              <w:spacing w:after="0"/>
              <w:rPr>
                <w:sz w:val="16"/>
                <w:szCs w:val="16"/>
                <w:color w:val="auto"/>
              </w:rPr>
            </w:pP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67,421</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52,362</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194,048</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145,652</w:t>
            </w:r>
          </w:p>
        </w:tc>
        <w:tc>
          <w:tcPr>
            <w:tcW w:w="0" w:type="dxa"/>
            <w:vAlign w:val="bottom"/>
          </w:tcPr>
          <w:p>
            <w:pPr>
              <w:spacing w:after="0"/>
              <w:rPr>
                <w:sz w:val="1"/>
                <w:szCs w:val="1"/>
                <w:color w:val="auto"/>
              </w:rPr>
            </w:pPr>
          </w:p>
        </w:tc>
      </w:tr>
      <w:tr>
        <w:trPr>
          <w:trHeight w:val="273"/>
        </w:trPr>
        <w:tc>
          <w:tcPr>
            <w:tcW w:w="3680" w:type="dxa"/>
            <w:vAlign w:val="bottom"/>
            <w:vMerge w:val="restart"/>
          </w:tcPr>
          <w:p>
            <w:pPr>
              <w:spacing w:after="0"/>
              <w:rPr>
                <w:sz w:val="20"/>
                <w:szCs w:val="20"/>
                <w:color w:val="auto"/>
              </w:rPr>
            </w:pPr>
            <w:r>
              <w:rPr>
                <w:rFonts w:ascii="Courier New" w:cs="Courier New" w:eastAsia="Courier New" w:hAnsi="Courier New"/>
                <w:sz w:val="16"/>
                <w:szCs w:val="16"/>
                <w:color w:val="auto"/>
              </w:rPr>
              <w:t>Basic earnings per share:</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0.38</w:t>
            </w:r>
          </w:p>
        </w:tc>
        <w:tc>
          <w:tcPr>
            <w:tcW w:w="5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0.29</w:t>
            </w:r>
          </w:p>
        </w:tc>
        <w:tc>
          <w:tcPr>
            <w:tcW w:w="5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1.10</w:t>
            </w:r>
          </w:p>
        </w:tc>
        <w:tc>
          <w:tcPr>
            <w:tcW w:w="4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0.82</w:t>
            </w:r>
          </w:p>
        </w:tc>
        <w:tc>
          <w:tcPr>
            <w:tcW w:w="0" w:type="dxa"/>
            <w:vAlign w:val="bottom"/>
          </w:tcPr>
          <w:p>
            <w:pPr>
              <w:spacing w:after="0"/>
              <w:rPr>
                <w:sz w:val="1"/>
                <w:szCs w:val="1"/>
                <w:color w:val="auto"/>
              </w:rPr>
            </w:pPr>
          </w:p>
        </w:tc>
      </w:tr>
      <w:tr>
        <w:trPr>
          <w:trHeight w:val="186"/>
        </w:trPr>
        <w:tc>
          <w:tcPr>
            <w:tcW w:w="3680" w:type="dxa"/>
            <w:vAlign w:val="bottom"/>
          </w:tcPr>
          <w:p>
            <w:pPr>
              <w:ind w:left="380"/>
              <w:spacing w:after="0"/>
              <w:rPr>
                <w:sz w:val="20"/>
                <w:szCs w:val="20"/>
                <w:color w:val="auto"/>
              </w:rPr>
            </w:pPr>
            <w:r>
              <w:rPr>
                <w:rFonts w:ascii="Courier New" w:cs="Courier New" w:eastAsia="Courier New" w:hAnsi="Courier New"/>
                <w:sz w:val="16"/>
                <w:szCs w:val="16"/>
                <w:color w:val="auto"/>
              </w:rPr>
              <w:t>As reported</w:t>
            </w:r>
          </w:p>
        </w:tc>
        <w:tc>
          <w:tcPr>
            <w:tcW w:w="5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Pro forma</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680" w:type="dxa"/>
            <w:vAlign w:val="bottom"/>
            <w:vMerge w:val="continue"/>
          </w:tcPr>
          <w:p>
            <w:pPr>
              <w:spacing w:after="0"/>
              <w:rPr>
                <w:sz w:val="16"/>
                <w:szCs w:val="16"/>
                <w:color w:val="auto"/>
              </w:rPr>
            </w:pP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0.34</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0.25</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0.96</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0.69</w:t>
            </w:r>
          </w:p>
        </w:tc>
        <w:tc>
          <w:tcPr>
            <w:tcW w:w="0" w:type="dxa"/>
            <w:vAlign w:val="bottom"/>
          </w:tcPr>
          <w:p>
            <w:pPr>
              <w:spacing w:after="0"/>
              <w:rPr>
                <w:sz w:val="1"/>
                <w:szCs w:val="1"/>
                <w:color w:val="auto"/>
              </w:rPr>
            </w:pPr>
          </w:p>
        </w:tc>
      </w:tr>
      <w:tr>
        <w:trPr>
          <w:trHeight w:val="273"/>
        </w:trPr>
        <w:tc>
          <w:tcPr>
            <w:tcW w:w="3680" w:type="dxa"/>
            <w:vAlign w:val="bottom"/>
            <w:vMerge w:val="restart"/>
          </w:tcPr>
          <w:p>
            <w:pPr>
              <w:spacing w:after="0"/>
              <w:rPr>
                <w:sz w:val="20"/>
                <w:szCs w:val="20"/>
                <w:color w:val="auto"/>
              </w:rPr>
            </w:pPr>
            <w:r>
              <w:rPr>
                <w:rFonts w:ascii="Courier New" w:cs="Courier New" w:eastAsia="Courier New" w:hAnsi="Courier New"/>
                <w:sz w:val="16"/>
                <w:szCs w:val="16"/>
                <w:color w:val="auto"/>
              </w:rPr>
              <w:t>Diluted earnings per share:</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680" w:type="dxa"/>
            <w:vAlign w:val="bottom"/>
            <w:vMerge w:val="continue"/>
          </w:tcPr>
          <w:p>
            <w:pPr>
              <w:spacing w:after="0"/>
              <w:rPr>
                <w:sz w:val="8"/>
                <w:szCs w:val="8"/>
                <w:color w:val="auto"/>
              </w:rPr>
            </w:pPr>
          </w:p>
        </w:tc>
        <w:tc>
          <w:tcPr>
            <w:tcW w:w="540" w:type="dxa"/>
            <w:vAlign w:val="bottom"/>
            <w:vMerge w:val="restart"/>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0.36</w:t>
            </w:r>
          </w:p>
        </w:tc>
        <w:tc>
          <w:tcPr>
            <w:tcW w:w="5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0.27</w:t>
            </w:r>
          </w:p>
        </w:tc>
        <w:tc>
          <w:tcPr>
            <w:tcW w:w="50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319"/>
              <w:spacing w:after="0"/>
              <w:rPr>
                <w:sz w:val="20"/>
                <w:szCs w:val="20"/>
                <w:color w:val="auto"/>
              </w:rPr>
            </w:pPr>
            <w:r>
              <w:rPr>
                <w:rFonts w:ascii="Courier New" w:cs="Courier New" w:eastAsia="Courier New" w:hAnsi="Courier New"/>
                <w:sz w:val="16"/>
                <w:szCs w:val="16"/>
                <w:color w:val="auto"/>
              </w:rPr>
              <w:t>1.03</w:t>
            </w:r>
          </w:p>
        </w:tc>
        <w:tc>
          <w:tcPr>
            <w:tcW w:w="48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0.79</w:t>
            </w:r>
          </w:p>
        </w:tc>
        <w:tc>
          <w:tcPr>
            <w:tcW w:w="0" w:type="dxa"/>
            <w:vAlign w:val="bottom"/>
          </w:tcPr>
          <w:p>
            <w:pPr>
              <w:spacing w:after="0"/>
              <w:rPr>
                <w:sz w:val="1"/>
                <w:szCs w:val="1"/>
                <w:color w:val="auto"/>
              </w:rPr>
            </w:pPr>
          </w:p>
        </w:tc>
      </w:tr>
      <w:tr>
        <w:trPr>
          <w:trHeight w:val="186"/>
        </w:trPr>
        <w:tc>
          <w:tcPr>
            <w:tcW w:w="3680" w:type="dxa"/>
            <w:vAlign w:val="bottom"/>
          </w:tcPr>
          <w:p>
            <w:pPr>
              <w:ind w:left="380"/>
              <w:spacing w:after="0"/>
              <w:rPr>
                <w:sz w:val="20"/>
                <w:szCs w:val="20"/>
                <w:color w:val="auto"/>
              </w:rPr>
            </w:pPr>
            <w:r>
              <w:rPr>
                <w:rFonts w:ascii="Courier New" w:cs="Courier New" w:eastAsia="Courier New" w:hAnsi="Courier New"/>
                <w:sz w:val="16"/>
                <w:szCs w:val="16"/>
                <w:color w:val="auto"/>
              </w:rPr>
              <w:t>As reported</w:t>
            </w:r>
          </w:p>
        </w:tc>
        <w:tc>
          <w:tcPr>
            <w:tcW w:w="5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8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Pro forma</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680" w:type="dxa"/>
            <w:vAlign w:val="bottom"/>
            <w:vMerge w:val="continue"/>
          </w:tcPr>
          <w:p>
            <w:pPr>
              <w:spacing w:after="0"/>
              <w:rPr>
                <w:sz w:val="16"/>
                <w:szCs w:val="16"/>
                <w:color w:val="auto"/>
              </w:rPr>
            </w:pP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0.32</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0.24</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0.91</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0.67</w:t>
            </w:r>
          </w:p>
        </w:tc>
        <w:tc>
          <w:tcPr>
            <w:tcW w:w="0" w:type="dxa"/>
            <w:vAlign w:val="bottom"/>
          </w:tcPr>
          <w:p>
            <w:pPr>
              <w:spacing w:after="0"/>
              <w:rPr>
                <w:sz w:val="1"/>
                <w:szCs w:val="1"/>
                <w:color w:val="auto"/>
              </w:rPr>
            </w:pPr>
          </w:p>
        </w:tc>
      </w:tr>
      <w:tr>
        <w:trPr>
          <w:trHeight w:val="273"/>
        </w:trPr>
        <w:tc>
          <w:tcPr>
            <w:tcW w:w="3680" w:type="dxa"/>
            <w:vAlign w:val="bottom"/>
          </w:tcPr>
          <w:p>
            <w:pPr>
              <w:spacing w:after="0"/>
              <w:rPr>
                <w:sz w:val="23"/>
                <w:szCs w:val="23"/>
                <w:color w:val="auto"/>
              </w:rPr>
            </w:pP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7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700" w:firstLine="581"/>
        <w:spacing w:after="0" w:line="266" w:lineRule="auto"/>
        <w:rPr>
          <w:sz w:val="20"/>
          <w:szCs w:val="20"/>
          <w:color w:val="auto"/>
        </w:rPr>
      </w:pPr>
      <w:r>
        <w:rPr>
          <w:rFonts w:ascii="Courier New" w:cs="Courier New" w:eastAsia="Courier New" w:hAnsi="Courier New"/>
          <w:sz w:val="16"/>
          <w:szCs w:val="16"/>
          <w:color w:val="auto"/>
        </w:rPr>
        <w:t>The pro forma results for the three and nine months ended June 30, 2004 have been revised due to the correction of the stock-based compensation amount for such periods made during fiscal 2004. The correction resulted in a decrease in pro forma net income of $703 and $1,592 in the three and nine months ended June 30, 2004, respectively, and had no material impact on pro forma diluted earnings per share in the three and nine months ended June 30, 2004. The decrease in pro forma diluted earning per share of</w:t>
      </w: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360"/>
          </w:cols>
          <w:pgMar w:left="240" w:top="646" w:right="1299" w:bottom="539" w:gutter="0" w:footer="0" w:header="0"/>
        </w:sectPr>
      </w:pPr>
    </w:p>
    <w:bookmarkStart w:id="9" w:name="page10"/>
    <w:bookmarkEnd w:id="9"/>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right="3139"/>
        <w:spacing w:after="0" w:line="367" w:lineRule="auto"/>
        <w:rPr>
          <w:sz w:val="20"/>
          <w:szCs w:val="20"/>
          <w:color w:val="auto"/>
        </w:rPr>
      </w:pPr>
      <w:r>
        <w:rPr>
          <w:rFonts w:ascii="Courier New" w:cs="Courier New" w:eastAsia="Courier New" w:hAnsi="Courier New"/>
          <w:sz w:val="16"/>
          <w:szCs w:val="16"/>
          <w:color w:val="auto"/>
        </w:rPr>
        <w:t>$0.01 in the three and nine months ended June 30, 2004, resulted from the adoption of EITF 04-8. See Notes 3 and 7.</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6" w:right="1440" w:bottom="1440" w:gutter="0" w:footer="0" w:header="0"/>
        </w:sectPr>
      </w:pPr>
    </w:p>
    <w:bookmarkStart w:id="10" w:name="page11"/>
    <w:bookmarkEnd w:id="10"/>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hanging="581"/>
        <w:spacing w:after="0"/>
        <w:tabs>
          <w:tab w:leader="none" w:pos="5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NEW ACCOUNTING STANDARDS</w:t>
      </w:r>
    </w:p>
    <w:p>
      <w:pPr>
        <w:spacing w:after="0" w:line="191" w:lineRule="exact"/>
        <w:rPr>
          <w:sz w:val="20"/>
          <w:szCs w:val="20"/>
          <w:color w:val="auto"/>
        </w:rPr>
      </w:pPr>
    </w:p>
    <w:p>
      <w:pPr>
        <w:ind w:left="581" w:right="3139" w:firstLine="581"/>
        <w:spacing w:after="0" w:line="367" w:lineRule="auto"/>
        <w:rPr>
          <w:sz w:val="20"/>
          <w:szCs w:val="20"/>
          <w:color w:val="auto"/>
        </w:rPr>
      </w:pPr>
      <w:r>
        <w:rPr>
          <w:rFonts w:ascii="Courier New" w:cs="Courier New" w:eastAsia="Courier New" w:hAnsi="Courier New"/>
          <w:sz w:val="16"/>
          <w:szCs w:val="16"/>
          <w:color w:val="auto"/>
        </w:rPr>
        <w:t>The Effect of Contingently Convertible Instruments on Diluted Earnings Per Share</w:t>
      </w:r>
    </w:p>
    <w:p>
      <w:pPr>
        <w:spacing w:after="0" w:line="5" w:lineRule="exact"/>
        <w:rPr>
          <w:sz w:val="20"/>
          <w:szCs w:val="20"/>
          <w:color w:val="auto"/>
        </w:rPr>
      </w:pPr>
    </w:p>
    <w:p>
      <w:pPr>
        <w:ind w:left="581" w:right="2459" w:firstLine="581"/>
        <w:spacing w:after="0" w:line="253" w:lineRule="auto"/>
        <w:rPr>
          <w:sz w:val="20"/>
          <w:szCs w:val="20"/>
          <w:color w:val="auto"/>
        </w:rPr>
      </w:pPr>
      <w:r>
        <w:rPr>
          <w:rFonts w:ascii="Courier New" w:cs="Courier New" w:eastAsia="Courier New" w:hAnsi="Courier New"/>
          <w:sz w:val="16"/>
          <w:szCs w:val="16"/>
          <w:color w:val="auto"/>
        </w:rPr>
        <w:t>In September 2004, the Emerging Issues Task Force ("EITF") reached a consensus on EITF Issue No. 04-8, "The Effect of Contingently Convertible Instruments on Diluted Earnings Per Share" ("EITF 04-8"). EITF 04-8 relates to contingently convertible debt instruments, which are generally convertible into common shares of the issuer after the common stock price has exceeded a predetermined threshold for a specified time period (market price trigger). According to the accounting treatment in effect prior to the first quarter of fiscal 2005, the potential dilutive effect of the conversion feature was excluded from diluted earnings per share until the market price contingency was met. Under EITF 04-8, all instruments that have embedded conversion features that are contingent on market conditions indexed to an issuer's share price are required to be included in diluted earnings per share computations, if dilutive, regardless of whether the market conditions have been met. The effective date of EITF 04-8 is for reporting periods ending after December 15, 2004. The consensus is required to be applied retroactively to instruments outstanding at the date of adoption. Diluted earnings per share of all prior periods presented for comparative purposes have been restated to conform to the consensus guidance.</w:t>
      </w:r>
    </w:p>
    <w:p>
      <w:pPr>
        <w:spacing w:after="0" w:line="97" w:lineRule="exact"/>
        <w:rPr>
          <w:sz w:val="20"/>
          <w:szCs w:val="20"/>
          <w:color w:val="auto"/>
        </w:rPr>
      </w:pPr>
    </w:p>
    <w:p>
      <w:pPr>
        <w:ind w:left="581" w:right="2459" w:firstLine="581"/>
        <w:spacing w:after="0" w:line="266" w:lineRule="auto"/>
        <w:rPr>
          <w:sz w:val="20"/>
          <w:szCs w:val="20"/>
          <w:color w:val="auto"/>
        </w:rPr>
      </w:pPr>
      <w:r>
        <w:rPr>
          <w:rFonts w:ascii="Courier New" w:cs="Courier New" w:eastAsia="Courier New" w:hAnsi="Courier New"/>
          <w:sz w:val="16"/>
          <w:szCs w:val="16"/>
          <w:color w:val="auto"/>
        </w:rPr>
        <w:t>The Company adopted EITF 04-8 in the first quarter of fiscal 2005, which required the addition of 10,436 ordinary shares issuable upon conversion of the Company's 0.50% Convertible Senior Notes due 2024 (the "0.50% Notes") to the diluted earnings per share calculation. The adoption of EITF 04-8 reduced the Company's previously reported quarterly diluted earnings per share by $0.01 per share for the three and nine months ended June 30, 2004.</w:t>
      </w:r>
    </w:p>
    <w:p>
      <w:pPr>
        <w:spacing w:after="0" w:line="85"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New Accounting Standard for Stock-Based Compensation</w:t>
      </w:r>
    </w:p>
    <w:p>
      <w:pPr>
        <w:spacing w:after="0" w:line="191" w:lineRule="exact"/>
        <w:rPr>
          <w:sz w:val="20"/>
          <w:szCs w:val="20"/>
          <w:color w:val="auto"/>
        </w:rPr>
      </w:pPr>
    </w:p>
    <w:p>
      <w:pPr>
        <w:ind w:left="581" w:right="2559" w:firstLine="581"/>
        <w:spacing w:after="0" w:line="261" w:lineRule="auto"/>
        <w:rPr>
          <w:sz w:val="20"/>
          <w:szCs w:val="20"/>
          <w:color w:val="auto"/>
        </w:rPr>
      </w:pPr>
      <w:r>
        <w:rPr>
          <w:rFonts w:ascii="Courier New" w:cs="Courier New" w:eastAsia="Courier New" w:hAnsi="Courier New"/>
          <w:sz w:val="16"/>
          <w:szCs w:val="16"/>
          <w:color w:val="auto"/>
        </w:rPr>
        <w:t>On December 16, 2004, the Financial Accounting Standards Board (FASB) issued FASB Statement No. 123 (revised 2004), "Share-Based Payment", which is a revision of SFAS No. 123. SFAS 123(R) supersedes APB No. 25, and amends FASB Statement No. 95, "Statement of Cash Flows". Generally, the approach in Statement 123(R) is similar to the approach described in Statement 123. However, SFAS 123(R) requires all share-based payments to employees, including grants of employee stock options, to be recognized in the income statement based on their fair values. Pro forma disclosure is no longer an alternative.</w:t>
      </w:r>
    </w:p>
    <w:p>
      <w:pPr>
        <w:spacing w:after="0" w:line="89" w:lineRule="exact"/>
        <w:rPr>
          <w:sz w:val="20"/>
          <w:szCs w:val="20"/>
          <w:color w:val="auto"/>
        </w:rPr>
      </w:pPr>
    </w:p>
    <w:p>
      <w:pPr>
        <w:ind w:left="581" w:right="2459" w:firstLine="581"/>
        <w:spacing w:after="0" w:line="287" w:lineRule="auto"/>
        <w:rPr>
          <w:sz w:val="20"/>
          <w:szCs w:val="20"/>
          <w:color w:val="auto"/>
        </w:rPr>
      </w:pPr>
      <w:r>
        <w:rPr>
          <w:rFonts w:ascii="Courier New" w:cs="Courier New" w:eastAsia="Courier New" w:hAnsi="Courier New"/>
          <w:sz w:val="16"/>
          <w:szCs w:val="16"/>
          <w:color w:val="auto"/>
        </w:rPr>
        <w:t>The Company shall adopt SFAS 123(R) by no later than the beginning of the first fiscal year beginning after June 15, 2005, i.e. the Company's fiscal year ended September 30, 2006. Early adoption will be permitted in periods in which financial statements have not yet been issued.</w:t>
      </w:r>
    </w:p>
    <w:p>
      <w:pPr>
        <w:spacing w:after="0" w:line="65" w:lineRule="exact"/>
        <w:rPr>
          <w:sz w:val="20"/>
          <w:szCs w:val="20"/>
          <w:color w:val="auto"/>
        </w:rPr>
      </w:pPr>
    </w:p>
    <w:p>
      <w:pPr>
        <w:ind w:left="581" w:right="2459" w:firstLine="581"/>
        <w:spacing w:after="0" w:line="367" w:lineRule="auto"/>
        <w:rPr>
          <w:sz w:val="20"/>
          <w:szCs w:val="20"/>
          <w:color w:val="auto"/>
        </w:rPr>
      </w:pPr>
      <w:r>
        <w:rPr>
          <w:rFonts w:ascii="Courier New" w:cs="Courier New" w:eastAsia="Courier New" w:hAnsi="Courier New"/>
          <w:sz w:val="16"/>
          <w:szCs w:val="16"/>
          <w:color w:val="auto"/>
        </w:rPr>
        <w:t>SFAS 123(R) permits public companies to adopt its requirements using one of two methods:</w:t>
      </w:r>
    </w:p>
    <w:p>
      <w:pPr>
        <w:spacing w:after="0" w:line="5" w:lineRule="exact"/>
        <w:rPr>
          <w:sz w:val="20"/>
          <w:szCs w:val="20"/>
          <w:color w:val="auto"/>
        </w:rPr>
      </w:pPr>
    </w:p>
    <w:p>
      <w:pPr>
        <w:ind w:left="1741" w:right="2559" w:hanging="578"/>
        <w:spacing w:after="0" w:line="266" w:lineRule="auto"/>
        <w:tabs>
          <w:tab w:leader="none" w:pos="174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"modified prospective" method in which compensation cost is recognized beginning with the effective date (a) based on the requirements of SFAS 123(R) for all share-based payments granted after the effective date and (b) based on the requirements of SFAS No. 123 for all awards granted to employees prior to the effective date of SFAS 123(R) that remain unvested on the effective date.</w:t>
      </w:r>
    </w:p>
    <w:p>
      <w:pPr>
        <w:spacing w:after="0" w:line="84" w:lineRule="exact"/>
        <w:rPr>
          <w:rFonts w:ascii="Courier New" w:cs="Courier New" w:eastAsia="Courier New" w:hAnsi="Courier New"/>
          <w:sz w:val="16"/>
          <w:szCs w:val="16"/>
          <w:color w:val="auto"/>
        </w:rPr>
      </w:pPr>
    </w:p>
    <w:p>
      <w:pPr>
        <w:ind w:left="1741" w:right="2559" w:hanging="578"/>
        <w:spacing w:after="0" w:line="266" w:lineRule="auto"/>
        <w:tabs>
          <w:tab w:leader="none" w:pos="174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"modified retrospective" method which includes the requirements of the modified prospective method described above, but also permits entities to restate based on the amounts previously recognized under SFAS No. 123 for purposes of pro forma disclosures either (a) all prior periods presented or (b) prior interim periods of the year of adoption.</w:t>
      </w:r>
    </w:p>
    <w:p>
      <w:pPr>
        <w:spacing w:after="0" w:line="8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0"/>
          </w:cols>
          <w:pgMar w:left="239" w:top="646" w:right="1440" w:bottom="1440" w:gutter="0" w:footer="0" w:header="0"/>
        </w:sectPr>
      </w:pPr>
    </w:p>
    <w:bookmarkStart w:id="11" w:name="page12"/>
    <w:bookmarkEnd w:id="11"/>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right="2459" w:firstLine="581"/>
        <w:spacing w:after="0" w:line="252" w:lineRule="auto"/>
        <w:rPr>
          <w:sz w:val="20"/>
          <w:szCs w:val="20"/>
          <w:color w:val="auto"/>
        </w:rPr>
      </w:pPr>
      <w:r>
        <w:rPr>
          <w:rFonts w:ascii="Courier New" w:cs="Courier New" w:eastAsia="Courier New" w:hAnsi="Courier New"/>
          <w:sz w:val="16"/>
          <w:szCs w:val="16"/>
          <w:color w:val="auto"/>
        </w:rPr>
        <w:t>As permitted by SFAS No.123, the Company currently accounts for share-based payments to employees using APB No. 25's intrinsic value method and, as such, generally recognizes no compensation cost for employee stock options. Accordingly, the adoption of the SFAS 123(R) fair value method will have a significant impact on the Company's consolidated results of operations, although it will have no impact on its overall consolidated financial position or consolidated cash flows. The impact of adoption of SFAS 123(R) cannot be predicted at this time because it will depend on levels of share-based payments granted in the future. However, had the Company adopted SFAS 123(R) in prior periods, the impact of that standard would have approximated the impact of SFAS No. 123 as described in the disclosure of pro forma net income and earnings per share in Note 2 above. SFAS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While the Company cannot estimate what those amounts will be in the future (because they depend on, among other things, when employees exercise stock options), the amount of operating cash flows recognized in prior periods for such excess tax deductions were $3,094, $262, and $6,808 in fiscal years 2004, 2003 and 2002, respectively.</w:t>
      </w:r>
    </w:p>
    <w:p>
      <w:pPr>
        <w:spacing w:after="0" w:line="99" w:lineRule="exact"/>
        <w:rPr>
          <w:sz w:val="20"/>
          <w:szCs w:val="20"/>
          <w:color w:val="auto"/>
        </w:rPr>
      </w:pPr>
    </w:p>
    <w:p>
      <w:pPr>
        <w:ind w:left="581" w:hanging="581"/>
        <w:spacing w:after="0"/>
        <w:tabs>
          <w:tab w:leader="none" w:pos="5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NET</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Accounts receivable, net consists of the following:</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AS OF</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282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JUNE 30,</w:t>
            </w:r>
          </w:p>
        </w:tc>
        <w:tc>
          <w:tcPr>
            <w:tcW w:w="16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SEPTEMBER 30,</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12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2005</w:t>
            </w:r>
          </w:p>
        </w:tc>
        <w:tc>
          <w:tcPr>
            <w:tcW w:w="580" w:type="dxa"/>
            <w:vAlign w:val="bottom"/>
          </w:tcPr>
          <w:p>
            <w:pPr>
              <w:spacing w:after="0"/>
              <w:rPr>
                <w:sz w:val="16"/>
                <w:szCs w:val="16"/>
                <w:color w:val="auto"/>
              </w:rPr>
            </w:pP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3000" w:type="dxa"/>
            <w:vAlign w:val="bottom"/>
          </w:tcPr>
          <w:p>
            <w:pPr>
              <w:spacing w:after="0"/>
              <w:rPr>
                <w:sz w:val="23"/>
                <w:szCs w:val="23"/>
                <w:color w:val="auto"/>
              </w:rPr>
            </w:pPr>
          </w:p>
        </w:tc>
        <w:tc>
          <w:tcPr>
            <w:tcW w:w="12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000" w:type="dxa"/>
            <w:vAlign w:val="bottom"/>
          </w:tcPr>
          <w:p>
            <w:pPr>
              <w:spacing w:after="0"/>
              <w:rPr>
                <w:sz w:val="20"/>
                <w:szCs w:val="20"/>
                <w:color w:val="auto"/>
              </w:rPr>
            </w:pPr>
            <w:r>
              <w:rPr>
                <w:rFonts w:ascii="Courier New" w:cs="Courier New" w:eastAsia="Courier New" w:hAnsi="Courier New"/>
                <w:sz w:val="16"/>
                <w:szCs w:val="16"/>
                <w:color w:val="auto"/>
              </w:rPr>
              <w:t>Accounts receivable -billed</w:t>
            </w:r>
          </w:p>
        </w:tc>
        <w:tc>
          <w:tcPr>
            <w:tcW w:w="12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$ 273,062</w:t>
            </w: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242,254</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Accounts receivable -unbilled</w:t>
            </w:r>
          </w:p>
        </w:tc>
        <w:tc>
          <w:tcPr>
            <w:tcW w:w="12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24,789</w:t>
            </w:r>
          </w:p>
        </w:tc>
        <w:tc>
          <w:tcPr>
            <w:tcW w:w="58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24,696</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20"/>
                <w:szCs w:val="20"/>
                <w:color w:val="auto"/>
              </w:rPr>
            </w:pPr>
            <w:r>
              <w:rPr>
                <w:rFonts w:ascii="Courier New" w:cs="Courier New" w:eastAsia="Courier New" w:hAnsi="Courier New"/>
                <w:sz w:val="16"/>
                <w:szCs w:val="16"/>
                <w:color w:val="auto"/>
              </w:rPr>
              <w:t>Less - allowances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(4,754)</w:t>
            </w:r>
          </w:p>
        </w:tc>
        <w:tc>
          <w:tcPr>
            <w:tcW w:w="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(12,171)</w:t>
            </w:r>
          </w:p>
        </w:tc>
        <w:tc>
          <w:tcPr>
            <w:tcW w:w="0" w:type="dxa"/>
            <w:vAlign w:val="bottom"/>
          </w:tcPr>
          <w:p>
            <w:pPr>
              <w:spacing w:after="0"/>
              <w:rPr>
                <w:sz w:val="1"/>
                <w:szCs w:val="1"/>
                <w:color w:val="auto"/>
              </w:rPr>
            </w:pPr>
          </w:p>
        </w:tc>
      </w:tr>
      <w:tr>
        <w:trPr>
          <w:trHeight w:val="186"/>
        </w:trPr>
        <w:tc>
          <w:tcPr>
            <w:tcW w:w="3000" w:type="dxa"/>
            <w:vAlign w:val="bottom"/>
            <w:vMerge w:val="restart"/>
          </w:tcPr>
          <w:p>
            <w:pPr>
              <w:spacing w:after="0"/>
              <w:rPr>
                <w:sz w:val="20"/>
                <w:szCs w:val="20"/>
                <w:color w:val="auto"/>
              </w:rPr>
            </w:pPr>
            <w:r>
              <w:rPr>
                <w:rFonts w:ascii="Courier New" w:cs="Courier New" w:eastAsia="Courier New" w:hAnsi="Courier New"/>
                <w:sz w:val="16"/>
                <w:szCs w:val="16"/>
                <w:color w:val="auto"/>
              </w:rPr>
              <w:t>Accounts receivable, net</w:t>
            </w:r>
          </w:p>
        </w:tc>
        <w:tc>
          <w:tcPr>
            <w:tcW w:w="1220" w:type="dxa"/>
            <w:vAlign w:val="bottom"/>
            <w:vMerge w:val="restart"/>
          </w:tcPr>
          <w:p>
            <w:pPr>
              <w:jc w:val="right"/>
              <w:ind w:right="81"/>
              <w:spacing w:after="0"/>
              <w:rPr>
                <w:sz w:val="20"/>
                <w:szCs w:val="20"/>
                <w:color w:val="auto"/>
              </w:rPr>
            </w:pPr>
            <w:r>
              <w:rPr>
                <w:rFonts w:ascii="Courier New" w:cs="Courier New" w:eastAsia="Courier New" w:hAnsi="Courier New"/>
                <w:sz w:val="24"/>
                <w:szCs w:val="24"/>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bscript"/>
              </w:rPr>
              <w:t>293,097</w:t>
            </w:r>
          </w:p>
        </w:tc>
        <w:tc>
          <w:tcPr>
            <w:tcW w:w="1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0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5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254,779</w:t>
            </w:r>
          </w:p>
        </w:tc>
        <w:tc>
          <w:tcPr>
            <w:tcW w:w="0" w:type="dxa"/>
            <w:vAlign w:val="bottom"/>
          </w:tcPr>
          <w:p>
            <w:pPr>
              <w:spacing w:after="0"/>
              <w:rPr>
                <w:sz w:val="1"/>
                <w:szCs w:val="1"/>
                <w:color w:val="auto"/>
              </w:rPr>
            </w:pPr>
          </w:p>
        </w:tc>
      </w:tr>
      <w:tr>
        <w:trPr>
          <w:trHeight w:val="273"/>
        </w:trPr>
        <w:tc>
          <w:tcPr>
            <w:tcW w:w="3000" w:type="dxa"/>
            <w:vAlign w:val="bottom"/>
          </w:tcPr>
          <w:p>
            <w:pPr>
              <w:spacing w:after="0"/>
              <w:rPr>
                <w:sz w:val="23"/>
                <w:szCs w:val="23"/>
                <w:color w:val="auto"/>
              </w:rPr>
            </w:pPr>
          </w:p>
        </w:tc>
        <w:tc>
          <w:tcPr>
            <w:tcW w:w="122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9"/>
        </w:trPr>
        <w:tc>
          <w:tcPr>
            <w:tcW w:w="3000" w:type="dxa"/>
            <w:vAlign w:val="bottom"/>
          </w:tcPr>
          <w:p>
            <w:pPr>
              <w:spacing w:after="0"/>
              <w:rPr>
                <w:sz w:val="24"/>
                <w:szCs w:val="24"/>
                <w:color w:val="auto"/>
              </w:rPr>
            </w:pPr>
          </w:p>
        </w:tc>
        <w:tc>
          <w:tcPr>
            <w:tcW w:w="1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w:t>
            </w: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39" w:top="646" w:right="1440" w:bottom="1440" w:gutter="0" w:footer="0" w:header="0"/>
        </w:sectPr>
      </w:pPr>
    </w:p>
    <w:bookmarkStart w:id="12" w:name="page13"/>
    <w:bookmarkEnd w:id="12"/>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hanging="581"/>
        <w:spacing w:after="0"/>
        <w:tabs>
          <w:tab w:leader="none" w:pos="5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w:t>
      </w:r>
    </w:p>
    <w:p>
      <w:pPr>
        <w:spacing w:after="0" w:line="191" w:lineRule="exact"/>
        <w:rPr>
          <w:sz w:val="20"/>
          <w:szCs w:val="20"/>
          <w:color w:val="auto"/>
        </w:rPr>
      </w:pPr>
    </w:p>
    <w:p>
      <w:pPr>
        <w:ind w:left="581" w:right="2459" w:firstLine="581"/>
        <w:spacing w:after="0" w:line="287" w:lineRule="auto"/>
        <w:rPr>
          <w:sz w:val="20"/>
          <w:szCs w:val="20"/>
          <w:color w:val="auto"/>
        </w:rPr>
      </w:pPr>
      <w:r>
        <w:rPr>
          <w:rFonts w:ascii="Courier New" w:cs="Courier New" w:eastAsia="Courier New" w:hAnsi="Courier New"/>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65" w:lineRule="exact"/>
        <w:rPr>
          <w:sz w:val="20"/>
          <w:szCs w:val="20"/>
          <w:color w:val="auto"/>
        </w:rPr>
      </w:pPr>
    </w:p>
    <w:p>
      <w:pPr>
        <w:ind w:left="581" w:right="2459" w:firstLine="581"/>
        <w:spacing w:after="0" w:line="367" w:lineRule="auto"/>
        <w:rPr>
          <w:sz w:val="20"/>
          <w:szCs w:val="20"/>
          <w:color w:val="auto"/>
        </w:rPr>
      </w:pPr>
      <w:r>
        <w:rPr>
          <w:rFonts w:ascii="Courier New" w:cs="Courier New" w:eastAsia="Courier New" w:hAnsi="Courier New"/>
          <w:sz w:val="16"/>
          <w:szCs w:val="16"/>
          <w:color w:val="auto"/>
        </w:rPr>
        <w:t>The following table sets forth the reconciliation from net income to comprehensive income for the following periods:</w:t>
      </w:r>
    </w:p>
    <w:p>
      <w:pPr>
        <w:spacing w:after="0" w:line="37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THREE MONTHS ENDED</w:t>
            </w:r>
          </w:p>
        </w:tc>
        <w:tc>
          <w:tcPr>
            <w:tcW w:w="1660" w:type="dxa"/>
            <w:vAlign w:val="bottom"/>
          </w:tcPr>
          <w:p>
            <w:pPr>
              <w:ind w:left="540"/>
              <w:spacing w:after="0"/>
              <w:rPr>
                <w:sz w:val="20"/>
                <w:szCs w:val="20"/>
                <w:color w:val="auto"/>
              </w:rPr>
            </w:pPr>
            <w:r>
              <w:rPr>
                <w:rFonts w:ascii="Courier New" w:cs="Courier New" w:eastAsia="Courier New" w:hAnsi="Courier New"/>
                <w:sz w:val="16"/>
                <w:szCs w:val="16"/>
                <w:color w:val="auto"/>
              </w:rPr>
              <w:t>NINE MONTHS</w:t>
            </w:r>
          </w:p>
        </w:tc>
        <w:tc>
          <w:tcPr>
            <w:tcW w:w="1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ENDED</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JUNE 30,</w:t>
            </w:r>
          </w:p>
        </w:tc>
        <w:tc>
          <w:tcPr>
            <w:tcW w:w="1020" w:type="dxa"/>
            <w:vAlign w:val="bottom"/>
          </w:tcPr>
          <w:p>
            <w:pPr>
              <w:spacing w:after="0"/>
              <w:rPr>
                <w:sz w:val="16"/>
                <w:szCs w:val="16"/>
                <w:color w:val="auto"/>
              </w:rPr>
            </w:pPr>
          </w:p>
        </w:tc>
        <w:tc>
          <w:tcPr>
            <w:tcW w:w="26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900" w:type="dxa"/>
            <w:vAlign w:val="bottom"/>
            <w:gridSpan w:val="4"/>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6"/>
                <w:szCs w:val="16"/>
                <w:color w:val="auto"/>
              </w:rPr>
              <w:t>2005</w:t>
            </w:r>
          </w:p>
        </w:tc>
        <w:tc>
          <w:tcPr>
            <w:tcW w:w="44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2004</w:t>
            </w:r>
          </w:p>
        </w:tc>
        <w:tc>
          <w:tcPr>
            <w:tcW w:w="1660" w:type="dxa"/>
            <w:vAlign w:val="bottom"/>
          </w:tcPr>
          <w:p>
            <w:pPr>
              <w:ind w:left="540"/>
              <w:spacing w:after="0"/>
              <w:rPr>
                <w:sz w:val="20"/>
                <w:szCs w:val="20"/>
                <w:color w:val="auto"/>
              </w:rPr>
            </w:pPr>
            <w:r>
              <w:rPr>
                <w:rFonts w:ascii="Courier New" w:cs="Courier New" w:eastAsia="Courier New" w:hAnsi="Courier New"/>
                <w:sz w:val="16"/>
                <w:szCs w:val="16"/>
                <w:color w:val="auto"/>
              </w:rPr>
              <w:t>2005</w:t>
            </w:r>
          </w:p>
        </w:tc>
        <w:tc>
          <w:tcPr>
            <w:tcW w:w="10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3540" w:type="dxa"/>
            <w:vAlign w:val="bottom"/>
          </w:tcPr>
          <w:p>
            <w:pPr>
              <w:spacing w:after="0"/>
              <w:rPr>
                <w:sz w:val="23"/>
                <w:szCs w:val="23"/>
                <w:color w:val="auto"/>
              </w:rPr>
            </w:pPr>
          </w:p>
        </w:tc>
        <w:tc>
          <w:tcPr>
            <w:tcW w:w="1440" w:type="dxa"/>
            <w:vAlign w:val="bottom"/>
            <w:gridSpan w:val="2"/>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77,097</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59,920</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$ 220,837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$ 173,278</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Other comprehensive (loss) income:</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300"/>
              <w:spacing w:after="0"/>
              <w:rPr>
                <w:sz w:val="20"/>
                <w:szCs w:val="20"/>
                <w:color w:val="auto"/>
              </w:rPr>
            </w:pPr>
            <w:r>
              <w:rPr>
                <w:rFonts w:ascii="Courier New" w:cs="Courier New" w:eastAsia="Courier New" w:hAnsi="Courier New"/>
                <w:sz w:val="16"/>
                <w:szCs w:val="16"/>
                <w:color w:val="auto"/>
              </w:rPr>
              <w:t>Unrealized (loss) gain on</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480"/>
              <w:spacing w:after="0"/>
              <w:rPr>
                <w:sz w:val="20"/>
                <w:szCs w:val="20"/>
                <w:color w:val="auto"/>
              </w:rPr>
            </w:pPr>
            <w:r>
              <w:rPr>
                <w:rFonts w:ascii="Courier New" w:cs="Courier New" w:eastAsia="Courier New" w:hAnsi="Courier New"/>
                <w:sz w:val="16"/>
                <w:szCs w:val="16"/>
                <w:color w:val="auto"/>
              </w:rPr>
              <w:t>foreign currency hedging</w:t>
            </w:r>
          </w:p>
        </w:tc>
        <w:tc>
          <w:tcPr>
            <w:tcW w:w="440" w:type="dxa"/>
            <w:vAlign w:val="bottom"/>
          </w:tcPr>
          <w:p>
            <w:pPr>
              <w:spacing w:after="0"/>
              <w:rPr>
                <w:sz w:val="16"/>
                <w:szCs w:val="16"/>
                <w:color w:val="auto"/>
              </w:rPr>
            </w:pPr>
          </w:p>
        </w:tc>
        <w:tc>
          <w:tcPr>
            <w:tcW w:w="100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(4,186)</w:t>
            </w:r>
          </w:p>
        </w:tc>
        <w:tc>
          <w:tcPr>
            <w:tcW w:w="440" w:type="dxa"/>
            <w:vAlign w:val="bottom"/>
          </w:tcPr>
          <w:p>
            <w:pPr>
              <w:spacing w:after="0"/>
              <w:rPr>
                <w:sz w:val="16"/>
                <w:szCs w:val="16"/>
                <w:color w:val="auto"/>
              </w:rPr>
            </w:pPr>
          </w:p>
        </w:tc>
        <w:tc>
          <w:tcPr>
            <w:tcW w:w="102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2,716</w:t>
            </w:r>
          </w:p>
        </w:tc>
        <w:tc>
          <w:tcPr>
            <w:tcW w:w="166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(5,037)</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(2,846)</w:t>
            </w:r>
          </w:p>
        </w:tc>
        <w:tc>
          <w:tcPr>
            <w:tcW w:w="0" w:type="dxa"/>
            <w:vAlign w:val="bottom"/>
          </w:tcPr>
          <w:p>
            <w:pPr>
              <w:spacing w:after="0"/>
              <w:rPr>
                <w:sz w:val="1"/>
                <w:szCs w:val="1"/>
                <w:color w:val="auto"/>
              </w:rPr>
            </w:pPr>
          </w:p>
        </w:tc>
      </w:tr>
      <w:tr>
        <w:trPr>
          <w:trHeight w:val="186"/>
        </w:trPr>
        <w:tc>
          <w:tcPr>
            <w:tcW w:w="3540" w:type="dxa"/>
            <w:vAlign w:val="bottom"/>
          </w:tcPr>
          <w:p>
            <w:pPr>
              <w:ind w:left="480"/>
              <w:spacing w:after="0"/>
              <w:rPr>
                <w:sz w:val="20"/>
                <w:szCs w:val="20"/>
                <w:color w:val="auto"/>
              </w:rPr>
            </w:pPr>
            <w:r>
              <w:rPr>
                <w:rFonts w:ascii="Courier New" w:cs="Courier New" w:eastAsia="Courier New" w:hAnsi="Courier New"/>
                <w:sz w:val="16"/>
                <w:szCs w:val="16"/>
                <w:color w:val="auto"/>
              </w:rPr>
              <w:t>contracts, net of tax</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300"/>
              <w:spacing w:after="0"/>
              <w:rPr>
                <w:sz w:val="20"/>
                <w:szCs w:val="20"/>
                <w:color w:val="auto"/>
              </w:rPr>
            </w:pPr>
            <w:r>
              <w:rPr>
                <w:rFonts w:ascii="Courier New" w:cs="Courier New" w:eastAsia="Courier New" w:hAnsi="Courier New"/>
                <w:sz w:val="16"/>
                <w:szCs w:val="16"/>
                <w:color w:val="auto"/>
              </w:rPr>
              <w:t>Unrealized gain (loss) on</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480"/>
              <w:spacing w:after="0"/>
              <w:rPr>
                <w:sz w:val="20"/>
                <w:szCs w:val="20"/>
                <w:color w:val="auto"/>
              </w:rPr>
            </w:pPr>
            <w:r>
              <w:rPr>
                <w:rFonts w:ascii="Courier New" w:cs="Courier New" w:eastAsia="Courier New" w:hAnsi="Courier New"/>
                <w:sz w:val="16"/>
                <w:szCs w:val="16"/>
                <w:color w:val="auto"/>
              </w:rPr>
              <w:t>short-term interest-bearing</w:t>
            </w:r>
          </w:p>
        </w:tc>
        <w:tc>
          <w:tcPr>
            <w:tcW w:w="440" w:type="dxa"/>
            <w:vAlign w:val="bottom"/>
          </w:tcPr>
          <w:p>
            <w:pPr>
              <w:spacing w:after="0"/>
              <w:rPr>
                <w:sz w:val="16"/>
                <w:szCs w:val="16"/>
                <w:color w:val="auto"/>
              </w:rPr>
            </w:pPr>
          </w:p>
        </w:tc>
        <w:tc>
          <w:tcPr>
            <w:tcW w:w="1000" w:type="dxa"/>
            <w:vAlign w:val="bottom"/>
            <w:vMerge w:val="restart"/>
          </w:tcPr>
          <w:p>
            <w:pPr>
              <w:jc w:val="right"/>
              <w:ind w:right="239"/>
              <w:spacing w:after="0"/>
              <w:rPr>
                <w:sz w:val="20"/>
                <w:szCs w:val="20"/>
                <w:color w:val="auto"/>
              </w:rPr>
            </w:pPr>
            <w:r>
              <w:rPr>
                <w:rFonts w:ascii="Courier New" w:cs="Courier New" w:eastAsia="Courier New" w:hAnsi="Courier New"/>
                <w:sz w:val="16"/>
                <w:szCs w:val="16"/>
                <w:color w:val="auto"/>
              </w:rPr>
              <w:t>1,216</w:t>
            </w:r>
          </w:p>
        </w:tc>
        <w:tc>
          <w:tcPr>
            <w:tcW w:w="440" w:type="dxa"/>
            <w:vAlign w:val="bottom"/>
          </w:tcPr>
          <w:p>
            <w:pPr>
              <w:spacing w:after="0"/>
              <w:rPr>
                <w:sz w:val="16"/>
                <w:szCs w:val="16"/>
                <w:color w:val="auto"/>
              </w:rPr>
            </w:pP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(1,687)</w:t>
            </w:r>
          </w:p>
        </w:tc>
        <w:tc>
          <w:tcPr>
            <w:tcW w:w="1660" w:type="dxa"/>
            <w:vAlign w:val="bottom"/>
            <w:vMerge w:val="restart"/>
          </w:tcPr>
          <w:p>
            <w:pPr>
              <w:jc w:val="right"/>
              <w:ind w:right="359"/>
              <w:spacing w:after="0"/>
              <w:rPr>
                <w:sz w:val="20"/>
                <w:szCs w:val="20"/>
                <w:color w:val="auto"/>
              </w:rPr>
            </w:pPr>
            <w:r>
              <w:rPr>
                <w:rFonts w:ascii="Courier New" w:cs="Courier New" w:eastAsia="Courier New" w:hAnsi="Courier New"/>
                <w:sz w:val="16"/>
                <w:szCs w:val="16"/>
                <w:color w:val="auto"/>
              </w:rPr>
              <w:t>(605)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(1,227)</w:t>
            </w:r>
          </w:p>
        </w:tc>
        <w:tc>
          <w:tcPr>
            <w:tcW w:w="0" w:type="dxa"/>
            <w:vAlign w:val="bottom"/>
          </w:tcPr>
          <w:p>
            <w:pPr>
              <w:spacing w:after="0"/>
              <w:rPr>
                <w:sz w:val="1"/>
                <w:szCs w:val="1"/>
                <w:color w:val="auto"/>
              </w:rPr>
            </w:pPr>
          </w:p>
        </w:tc>
      </w:tr>
      <w:tr>
        <w:trPr>
          <w:trHeight w:val="186"/>
        </w:trPr>
        <w:tc>
          <w:tcPr>
            <w:tcW w:w="3540" w:type="dxa"/>
            <w:vAlign w:val="bottom"/>
          </w:tcPr>
          <w:p>
            <w:pPr>
              <w:ind w:left="480"/>
              <w:spacing w:after="0"/>
              <w:rPr>
                <w:sz w:val="20"/>
                <w:szCs w:val="20"/>
                <w:color w:val="auto"/>
              </w:rPr>
            </w:pPr>
            <w:r>
              <w:rPr>
                <w:rFonts w:ascii="Courier New" w:cs="Courier New" w:eastAsia="Courier New" w:hAnsi="Courier New"/>
                <w:sz w:val="16"/>
                <w:szCs w:val="16"/>
                <w:color w:val="auto"/>
              </w:rPr>
              <w:t>investments, net of tax</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40" w:type="dxa"/>
            <w:vAlign w:val="bottom"/>
            <w:vMerge w:val="restart"/>
          </w:tcPr>
          <w:p>
            <w:pPr>
              <w:spacing w:after="0"/>
              <w:rPr>
                <w:sz w:val="20"/>
                <w:szCs w:val="20"/>
                <w:color w:val="auto"/>
              </w:rPr>
            </w:pPr>
            <w:r>
              <w:rPr>
                <w:rFonts w:ascii="Courier New" w:cs="Courier New" w:eastAsia="Courier New" w:hAnsi="Courier New"/>
                <w:sz w:val="16"/>
                <w:szCs w:val="16"/>
                <w:color w:val="auto"/>
              </w:rPr>
              <w:t>Comprehensive income</w:t>
            </w:r>
          </w:p>
        </w:tc>
        <w:tc>
          <w:tcPr>
            <w:tcW w:w="1440" w:type="dxa"/>
            <w:vAlign w:val="bottom"/>
            <w:gridSpan w:val="2"/>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39"/>
              <w:spacing w:after="0"/>
              <w:rPr>
                <w:sz w:val="20"/>
                <w:szCs w:val="20"/>
                <w:color w:val="auto"/>
              </w:rPr>
            </w:pPr>
            <w:r>
              <w:rPr>
                <w:rFonts w:ascii="Courier New" w:cs="Courier New" w:eastAsia="Courier New" w:hAnsi="Courier New"/>
                <w:sz w:val="16"/>
                <w:szCs w:val="16"/>
                <w:color w:val="auto"/>
              </w:rPr>
              <w:t>74,127</w:t>
            </w:r>
          </w:p>
        </w:tc>
        <w:tc>
          <w:tcPr>
            <w:tcW w:w="4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60,949</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$ 215,195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$ 169,205</w:t>
            </w:r>
          </w:p>
        </w:tc>
        <w:tc>
          <w:tcPr>
            <w:tcW w:w="0" w:type="dxa"/>
            <w:vAlign w:val="bottom"/>
          </w:tcPr>
          <w:p>
            <w:pPr>
              <w:spacing w:after="0"/>
              <w:rPr>
                <w:sz w:val="1"/>
                <w:szCs w:val="1"/>
                <w:color w:val="auto"/>
              </w:rPr>
            </w:pPr>
          </w:p>
        </w:tc>
      </w:tr>
      <w:tr>
        <w:trPr>
          <w:trHeight w:val="273"/>
        </w:trPr>
        <w:tc>
          <w:tcPr>
            <w:tcW w:w="3540" w:type="dxa"/>
            <w:vAlign w:val="bottom"/>
          </w:tcPr>
          <w:p>
            <w:pPr>
              <w:spacing w:after="0"/>
              <w:rPr>
                <w:sz w:val="23"/>
                <w:szCs w:val="23"/>
                <w:color w:val="auto"/>
              </w:rPr>
            </w:pPr>
          </w:p>
        </w:tc>
        <w:tc>
          <w:tcPr>
            <w:tcW w:w="1440" w:type="dxa"/>
            <w:vAlign w:val="bottom"/>
            <w:gridSpan w:val="2"/>
          </w:tcPr>
          <w:p>
            <w:pPr>
              <w:jc w:val="right"/>
              <w:ind w:right="23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1" w:hanging="581"/>
        <w:spacing w:after="0"/>
        <w:tabs>
          <w:tab w:leader="none" w:pos="5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The provision for income taxes for the following periods consisted</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273"/>
        </w:trPr>
        <w:tc>
          <w:tcPr>
            <w:tcW w:w="1060" w:type="dxa"/>
            <w:vAlign w:val="bottom"/>
          </w:tcPr>
          <w:p>
            <w:pPr>
              <w:ind w:left="580"/>
              <w:spacing w:after="0"/>
              <w:rPr>
                <w:sz w:val="20"/>
                <w:szCs w:val="20"/>
                <w:color w:val="auto"/>
              </w:rPr>
            </w:pPr>
            <w:r>
              <w:rPr>
                <w:rFonts w:ascii="Courier New" w:cs="Courier New" w:eastAsia="Courier New" w:hAnsi="Courier New"/>
                <w:sz w:val="16"/>
                <w:szCs w:val="16"/>
                <w:color w:val="auto"/>
              </w:rPr>
              <w:t>of:</w:t>
            </w:r>
          </w:p>
        </w:tc>
        <w:tc>
          <w:tcPr>
            <w:tcW w:w="1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9"/>
        </w:trPr>
        <w:tc>
          <w:tcPr>
            <w:tcW w:w="1060" w:type="dxa"/>
            <w:vAlign w:val="bottom"/>
          </w:tcPr>
          <w:p>
            <w:pPr>
              <w:spacing w:after="0"/>
              <w:rPr>
                <w:sz w:val="24"/>
                <w:szCs w:val="24"/>
                <w:color w:val="auto"/>
              </w:rPr>
            </w:pPr>
          </w:p>
        </w:tc>
        <w:tc>
          <w:tcPr>
            <w:tcW w:w="268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THREE MONTHS ENDED</w:t>
            </w:r>
          </w:p>
        </w:tc>
        <w:tc>
          <w:tcPr>
            <w:tcW w:w="2360" w:type="dxa"/>
            <w:vAlign w:val="bottom"/>
            <w:gridSpan w:val="3"/>
          </w:tcPr>
          <w:p>
            <w:pPr>
              <w:jc w:val="right"/>
              <w:ind w:right="199"/>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2680" w:type="dxa"/>
            <w:vAlign w:val="bottom"/>
            <w:gridSpan w:val="2"/>
          </w:tcPr>
          <w:p>
            <w:pPr>
              <w:jc w:val="right"/>
              <w:ind w:right="859"/>
              <w:spacing w:after="0"/>
              <w:rPr>
                <w:sz w:val="20"/>
                <w:szCs w:val="20"/>
                <w:color w:val="auto"/>
              </w:rPr>
            </w:pPr>
            <w:r>
              <w:rPr>
                <w:rFonts w:ascii="Courier New" w:cs="Courier New" w:eastAsia="Courier New" w:hAnsi="Courier New"/>
                <w:sz w:val="16"/>
                <w:szCs w:val="16"/>
                <w:color w:val="auto"/>
              </w:rPr>
              <w:t>JUNE 30,</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4"/>
                <w:szCs w:val="24"/>
                <w:color w:val="auto"/>
                <w:w w:val="73"/>
                <w:vertAlign w:val="subscript"/>
              </w:rPr>
              <w:t>2005</w:t>
            </w:r>
          </w:p>
        </w:tc>
        <w:tc>
          <w:tcPr>
            <w:tcW w:w="1120" w:type="dxa"/>
            <w:vAlign w:val="bottom"/>
            <w:vMerge w:val="restart"/>
          </w:tcPr>
          <w:p>
            <w:pPr>
              <w:jc w:val="right"/>
              <w:ind w:right="459"/>
              <w:spacing w:after="0"/>
              <w:rPr>
                <w:sz w:val="20"/>
                <w:szCs w:val="20"/>
                <w:color w:val="auto"/>
              </w:rPr>
            </w:pPr>
            <w:r>
              <w:rPr>
                <w:rFonts w:ascii="Courier New" w:cs="Courier New" w:eastAsia="Courier New" w:hAnsi="Courier New"/>
                <w:sz w:val="16"/>
                <w:szCs w:val="16"/>
                <w:color w:val="auto"/>
              </w:rPr>
              <w:t>2004</w:t>
            </w:r>
          </w:p>
        </w:tc>
        <w:tc>
          <w:tcPr>
            <w:tcW w:w="23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2005</w:t>
            </w:r>
          </w:p>
        </w:tc>
        <w:tc>
          <w:tcPr>
            <w:tcW w:w="400" w:type="dxa"/>
            <w:vAlign w:val="bottom"/>
          </w:tcPr>
          <w:p>
            <w:pPr>
              <w:spacing w:after="0"/>
              <w:rPr>
                <w:sz w:val="16"/>
                <w:szCs w:val="16"/>
                <w:color w:val="auto"/>
              </w:rPr>
            </w:pPr>
          </w:p>
        </w:tc>
        <w:tc>
          <w:tcPr>
            <w:tcW w:w="7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1060" w:type="dxa"/>
            <w:vAlign w:val="bottom"/>
          </w:tcPr>
          <w:p>
            <w:pPr>
              <w:spacing w:after="0"/>
              <w:rPr>
                <w:sz w:val="23"/>
                <w:szCs w:val="23"/>
                <w:color w:val="auto"/>
              </w:rPr>
            </w:pPr>
          </w:p>
        </w:tc>
        <w:tc>
          <w:tcPr>
            <w:tcW w:w="156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106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156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$ 30,018</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$ 32,755</w:t>
            </w:r>
          </w:p>
        </w:tc>
        <w:tc>
          <w:tcPr>
            <w:tcW w:w="1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$ 51,662</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56,966</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560" w:type="dxa"/>
            <w:vAlign w:val="bottom"/>
          </w:tcPr>
          <w:p>
            <w:pPr>
              <w:jc w:val="right"/>
              <w:ind w:right="403"/>
              <w:spacing w:after="0"/>
              <w:rPr>
                <w:sz w:val="20"/>
                <w:szCs w:val="20"/>
                <w:color w:val="auto"/>
              </w:rPr>
            </w:pPr>
            <w:r>
              <w:rPr>
                <w:rFonts w:ascii="Courier New" w:cs="Courier New" w:eastAsia="Courier New" w:hAnsi="Courier New"/>
                <w:sz w:val="16"/>
                <w:szCs w:val="16"/>
                <w:color w:val="auto"/>
              </w:rPr>
              <w:t>(10,748)</w:t>
            </w:r>
          </w:p>
        </w:tc>
        <w:tc>
          <w:tcPr>
            <w:tcW w:w="11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(15,855)</w:t>
            </w:r>
          </w:p>
        </w:tc>
        <w:tc>
          <w:tcPr>
            <w:tcW w:w="1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3,541</w:t>
            </w: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(8,093)</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560" w:type="dxa"/>
            <w:vAlign w:val="bottom"/>
            <w:vMerge w:val="restart"/>
          </w:tcPr>
          <w:p>
            <w:pPr>
              <w:jc w:val="right"/>
              <w:ind w:right="503"/>
              <w:spacing w:after="0"/>
              <w:rPr>
                <w:sz w:val="20"/>
                <w:szCs w:val="20"/>
                <w:color w:val="auto"/>
              </w:rPr>
            </w:pPr>
            <w:r>
              <w:rPr>
                <w:rFonts w:ascii="Courier New" w:cs="Courier New" w:eastAsia="Courier New" w:hAnsi="Courier New"/>
                <w:sz w:val="24"/>
                <w:szCs w:val="24"/>
                <w:color w:val="auto"/>
                <w:w w:val="74"/>
                <w:vertAlign w:val="subscript"/>
              </w:rPr>
              <w:t>$</w:t>
            </w:r>
            <w:r>
              <w:rPr>
                <w:rFonts w:ascii="Courier New" w:cs="Courier New" w:eastAsia="Courier New" w:hAnsi="Courier New"/>
                <w:sz w:val="13"/>
                <w:szCs w:val="13"/>
                <w:color w:val="auto"/>
                <w:w w:val="74"/>
              </w:rPr>
              <w:t>--------</w:t>
            </w:r>
            <w:r>
              <w:rPr>
                <w:rFonts w:ascii="Courier New" w:cs="Courier New" w:eastAsia="Courier New" w:hAnsi="Courier New"/>
                <w:sz w:val="24"/>
                <w:szCs w:val="24"/>
                <w:color w:val="auto"/>
                <w:w w:val="74"/>
                <w:vertAlign w:val="subscript"/>
              </w:rPr>
              <w:t>19,270</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$ 16,900</w:t>
            </w:r>
          </w:p>
        </w:tc>
        <w:tc>
          <w:tcPr>
            <w:tcW w:w="1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$ 55,203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48,873</w:t>
            </w:r>
          </w:p>
        </w:tc>
        <w:tc>
          <w:tcPr>
            <w:tcW w:w="0" w:type="dxa"/>
            <w:vAlign w:val="bottom"/>
          </w:tcPr>
          <w:p>
            <w:pPr>
              <w:spacing w:after="0"/>
              <w:rPr>
                <w:sz w:val="1"/>
                <w:szCs w:val="1"/>
                <w:color w:val="auto"/>
              </w:rPr>
            </w:pPr>
          </w:p>
        </w:tc>
      </w:tr>
      <w:tr>
        <w:trPr>
          <w:trHeight w:val="273"/>
        </w:trPr>
        <w:tc>
          <w:tcPr>
            <w:tcW w:w="1060" w:type="dxa"/>
            <w:vAlign w:val="bottom"/>
          </w:tcPr>
          <w:p>
            <w:pPr>
              <w:spacing w:after="0"/>
              <w:rPr>
                <w:sz w:val="23"/>
                <w:szCs w:val="23"/>
                <w:color w:val="auto"/>
              </w:rPr>
            </w:pPr>
          </w:p>
        </w:tc>
        <w:tc>
          <w:tcPr>
            <w:tcW w:w="1560" w:type="dxa"/>
            <w:vAlign w:val="bottom"/>
          </w:tcPr>
          <w:p>
            <w:pPr>
              <w:jc w:val="right"/>
              <w:ind w:right="503"/>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w:t>
            </w:r>
          </w:p>
        </w:tc>
        <w:tc>
          <w:tcPr>
            <w:tcW w:w="12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1" w:right="2459" w:firstLine="581"/>
        <w:spacing w:after="0" w:line="367" w:lineRule="auto"/>
        <w:rPr>
          <w:sz w:val="20"/>
          <w:szCs w:val="20"/>
          <w:color w:val="auto"/>
        </w:rPr>
      </w:pPr>
      <w:r>
        <w:rPr>
          <w:rFonts w:ascii="Courier New" w:cs="Courier New" w:eastAsia="Courier New" w:hAnsi="Courier New"/>
          <w:sz w:val="16"/>
          <w:szCs w:val="16"/>
          <w:color w:val="auto"/>
        </w:rPr>
        <w:t>The effective income tax rate varied from the statutory Guernsey tax rate as follows for the following periods:</w:t>
      </w:r>
    </w:p>
    <w:p>
      <w:pPr>
        <w:spacing w:after="0" w:line="37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22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THREE MONTHS ENDED</w:t>
            </w:r>
          </w:p>
        </w:tc>
        <w:tc>
          <w:tcPr>
            <w:tcW w:w="19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JUNE 30,</w:t>
            </w:r>
          </w:p>
        </w:tc>
        <w:tc>
          <w:tcPr>
            <w:tcW w:w="6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JUNE 30,</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222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2005</w:t>
            </w: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2004</w:t>
            </w: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w w:val="98"/>
              </w:rPr>
              <w:t>2005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2860" w:type="dxa"/>
            <w:vAlign w:val="bottom"/>
          </w:tcPr>
          <w:p>
            <w:pPr>
              <w:spacing w:after="0"/>
              <w:rPr>
                <w:sz w:val="23"/>
                <w:szCs w:val="23"/>
                <w:color w:val="auto"/>
              </w:rPr>
            </w:pPr>
          </w:p>
        </w:tc>
        <w:tc>
          <w:tcPr>
            <w:tcW w:w="6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240"/>
              <w:spacing w:after="0"/>
              <w:rPr>
                <w:sz w:val="20"/>
                <w:szCs w:val="20"/>
                <w:color w:val="auto"/>
              </w:rPr>
            </w:pPr>
            <w:r>
              <w:rPr>
                <w:rFonts w:ascii="Courier New" w:cs="Courier New" w:eastAsia="Courier New" w:hAnsi="Courier New"/>
                <w:sz w:val="16"/>
                <w:szCs w:val="16"/>
                <w:color w:val="auto"/>
                <w:w w:val="98"/>
              </w:rPr>
              <w:t>----</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2860" w:type="dxa"/>
            <w:vAlign w:val="bottom"/>
          </w:tcPr>
          <w:p>
            <w:pPr>
              <w:spacing w:after="0"/>
              <w:rPr>
                <w:sz w:val="20"/>
                <w:szCs w:val="20"/>
                <w:color w:val="auto"/>
              </w:rPr>
            </w:pPr>
            <w:r>
              <w:rPr>
                <w:rFonts w:ascii="Courier New" w:cs="Courier New" w:eastAsia="Courier New" w:hAnsi="Courier New"/>
                <w:sz w:val="16"/>
                <w:szCs w:val="16"/>
                <w:color w:val="auto"/>
              </w:rPr>
              <w:t>Statutory Guernsey tax rate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Guernsey tax-exempt status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20"/>
                <w:szCs w:val="20"/>
                <w:color w:val="auto"/>
              </w:rPr>
            </w:pPr>
            <w:r>
              <w:rPr>
                <w:rFonts w:ascii="Courier New" w:cs="Courier New" w:eastAsia="Courier New" w:hAnsi="Courier New"/>
                <w:sz w:val="16"/>
                <w:szCs w:val="16"/>
                <w:color w:val="auto"/>
              </w:rPr>
              <w:t>Foreign taxes</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186"/>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Effective income tax rate</w:t>
            </w: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2860" w:type="dxa"/>
            <w:vAlign w:val="bottom"/>
            <w:vMerge w:val="continue"/>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0" w:type="dxa"/>
            <w:vAlign w:val="bottom"/>
          </w:tcPr>
          <w:p>
            <w:pPr>
              <w:spacing w:after="0"/>
              <w:rPr>
                <w:sz w:val="1"/>
                <w:szCs w:val="1"/>
                <w:color w:val="auto"/>
              </w:rPr>
            </w:pPr>
          </w:p>
        </w:tc>
      </w:tr>
      <w:tr>
        <w:trPr>
          <w:trHeight w:val="273"/>
        </w:trPr>
        <w:tc>
          <w:tcPr>
            <w:tcW w:w="286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9"/>
        </w:trPr>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12</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39" w:top="646" w:right="1440" w:bottom="1440" w:gutter="0" w:footer="0" w:header="0"/>
        </w:sectPr>
      </w:pPr>
    </w:p>
    <w:bookmarkStart w:id="13" w:name="page14"/>
    <w:bookmarkEnd w:id="13"/>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right="2459" w:firstLine="581"/>
        <w:spacing w:after="0" w:line="307" w:lineRule="auto"/>
        <w:rPr>
          <w:sz w:val="20"/>
          <w:szCs w:val="20"/>
          <w:color w:val="auto"/>
        </w:rPr>
      </w:pPr>
      <w:r>
        <w:rPr>
          <w:rFonts w:ascii="Courier New" w:cs="Courier New" w:eastAsia="Courier New" w:hAnsi="Courier New"/>
          <w:sz w:val="16"/>
          <w:szCs w:val="16"/>
          <w:color w:val="auto"/>
        </w:rPr>
        <w:t>As a Guernsey corporation with tax-exempt status, the Company's overall effective tax rate is attributable solely to foreign taxes and for fiscal year 2005 is expected to approximate 20%.</w:t>
      </w:r>
    </w:p>
    <w:p>
      <w:pPr>
        <w:spacing w:after="0" w:line="50" w:lineRule="exact"/>
        <w:rPr>
          <w:sz w:val="20"/>
          <w:szCs w:val="20"/>
          <w:color w:val="auto"/>
        </w:rPr>
      </w:pPr>
    </w:p>
    <w:p>
      <w:pPr>
        <w:ind w:left="581" w:right="2459" w:firstLine="581"/>
        <w:spacing w:after="0" w:line="266" w:lineRule="auto"/>
        <w:rPr>
          <w:sz w:val="20"/>
          <w:szCs w:val="20"/>
          <w:color w:val="auto"/>
        </w:rPr>
      </w:pPr>
      <w:r>
        <w:rPr>
          <w:rFonts w:ascii="Courier New" w:cs="Courier New" w:eastAsia="Courier New" w:hAnsi="Courier New"/>
          <w:sz w:val="16"/>
          <w:szCs w:val="16"/>
          <w:color w:val="auto"/>
        </w:rPr>
        <w:t>As of June 30, 2005, deferred tax assets of $13,757, derived from net capital and operating loss carry forwards related to some of the Company's subsidiaries, were offset by valuation allowances related to the uncertainty of realizing tax benefit for such losses. When realization of such tax benefits associated with such net capital and operating losses is deemed more likely than not, the valuation allowance will be released through income taxes.</w:t>
      </w:r>
    </w:p>
    <w:p>
      <w:pPr>
        <w:spacing w:after="0" w:line="85" w:lineRule="exact"/>
        <w:rPr>
          <w:sz w:val="20"/>
          <w:szCs w:val="20"/>
          <w:color w:val="auto"/>
        </w:rPr>
      </w:pPr>
    </w:p>
    <w:p>
      <w:pPr>
        <w:ind w:left="581" w:hanging="581"/>
        <w:spacing w:after="0"/>
        <w:tabs>
          <w:tab w:leader="none" w:pos="5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w:t>
      </w:r>
    </w:p>
    <w:p>
      <w:pPr>
        <w:spacing w:after="0" w:line="191" w:lineRule="exact"/>
        <w:rPr>
          <w:sz w:val="20"/>
          <w:szCs w:val="20"/>
          <w:color w:val="auto"/>
        </w:rPr>
      </w:pPr>
    </w:p>
    <w:p>
      <w:pPr>
        <w:ind w:left="581" w:right="2559" w:firstLine="581"/>
        <w:spacing w:after="0" w:line="367" w:lineRule="auto"/>
        <w:rPr>
          <w:sz w:val="20"/>
          <w:szCs w:val="20"/>
          <w:color w:val="auto"/>
        </w:rPr>
      </w:pPr>
      <w:r>
        <w:rPr>
          <w:rFonts w:ascii="Courier New" w:cs="Courier New" w:eastAsia="Courier New" w:hAnsi="Courier New"/>
          <w:sz w:val="16"/>
          <w:szCs w:val="16"/>
          <w:color w:val="auto"/>
        </w:rPr>
        <w:t>The following table sets forth the computation of basic and diluted earnings per share:</w:t>
      </w:r>
    </w:p>
    <w:p>
      <w:pPr>
        <w:spacing w:after="0" w:line="37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3"/>
          </w:tcPr>
          <w:p>
            <w:pPr>
              <w:jc w:val="right"/>
              <w:ind w:right="339"/>
              <w:spacing w:after="0"/>
              <w:rPr>
                <w:sz w:val="20"/>
                <w:szCs w:val="20"/>
                <w:color w:val="auto"/>
              </w:rPr>
            </w:pPr>
            <w:r>
              <w:rPr>
                <w:rFonts w:ascii="Courier New" w:cs="Courier New" w:eastAsia="Courier New" w:hAnsi="Courier New"/>
                <w:sz w:val="16"/>
                <w:szCs w:val="16"/>
                <w:color w:val="auto"/>
              </w:rPr>
              <w:t>THREE MONTHS ENDED</w:t>
            </w:r>
          </w:p>
        </w:tc>
        <w:tc>
          <w:tcPr>
            <w:tcW w:w="340" w:type="dxa"/>
            <w:vAlign w:val="bottom"/>
          </w:tcPr>
          <w:p>
            <w:pPr>
              <w:spacing w:after="0"/>
              <w:rPr>
                <w:sz w:val="16"/>
                <w:szCs w:val="16"/>
                <w:color w:val="auto"/>
              </w:rPr>
            </w:pPr>
          </w:p>
        </w:tc>
        <w:tc>
          <w:tcPr>
            <w:tcW w:w="194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gridSpan w:val="3"/>
          </w:tcPr>
          <w:p>
            <w:pPr>
              <w:jc w:val="right"/>
              <w:ind w:right="739"/>
              <w:spacing w:after="0"/>
              <w:rPr>
                <w:sz w:val="20"/>
                <w:szCs w:val="20"/>
                <w:color w:val="auto"/>
              </w:rPr>
            </w:pPr>
            <w:r>
              <w:rPr>
                <w:rFonts w:ascii="Courier New" w:cs="Courier New" w:eastAsia="Courier New" w:hAnsi="Courier New"/>
                <w:sz w:val="16"/>
                <w:szCs w:val="16"/>
                <w:color w:val="auto"/>
              </w:rPr>
              <w:t>JUNE 30,</w:t>
            </w:r>
          </w:p>
        </w:tc>
        <w:tc>
          <w:tcPr>
            <w:tcW w:w="34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2520" w:type="dxa"/>
            <w:vAlign w:val="bottom"/>
            <w:gridSpan w:val="4"/>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2005</w:t>
            </w:r>
          </w:p>
        </w:tc>
        <w:tc>
          <w:tcPr>
            <w:tcW w:w="34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2004</w:t>
            </w:r>
          </w:p>
        </w:tc>
        <w:tc>
          <w:tcPr>
            <w:tcW w:w="340" w:type="dxa"/>
            <w:vAlign w:val="bottom"/>
          </w:tcPr>
          <w:p>
            <w:pPr>
              <w:spacing w:after="0"/>
              <w:rPr>
                <w:sz w:val="16"/>
                <w:szCs w:val="16"/>
                <w:color w:val="auto"/>
              </w:rPr>
            </w:pPr>
          </w:p>
        </w:tc>
        <w:tc>
          <w:tcPr>
            <w:tcW w:w="92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2005</w:t>
            </w:r>
          </w:p>
        </w:tc>
        <w:tc>
          <w:tcPr>
            <w:tcW w:w="340" w:type="dxa"/>
            <w:vAlign w:val="bottom"/>
          </w:tcPr>
          <w:p>
            <w:pPr>
              <w:spacing w:after="0"/>
              <w:rPr>
                <w:sz w:val="16"/>
                <w:szCs w:val="16"/>
                <w:color w:val="auto"/>
              </w:rPr>
            </w:pPr>
          </w:p>
        </w:tc>
        <w:tc>
          <w:tcPr>
            <w:tcW w:w="6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820" w:type="dxa"/>
            <w:vAlign w:val="bottom"/>
          </w:tcPr>
          <w:p>
            <w:pPr>
              <w:spacing w:after="0"/>
              <w:rPr>
                <w:sz w:val="20"/>
                <w:szCs w:val="20"/>
                <w:color w:val="auto"/>
              </w:rPr>
            </w:pPr>
            <w:r>
              <w:rPr>
                <w:rFonts w:ascii="Courier New" w:cs="Courier New" w:eastAsia="Courier New" w:hAnsi="Courier New"/>
                <w:sz w:val="16"/>
                <w:szCs w:val="16"/>
                <w:color w:val="auto"/>
              </w:rPr>
              <w:t>Numerator:</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300"/>
              <w:spacing w:after="0"/>
              <w:rPr>
                <w:sz w:val="20"/>
                <w:szCs w:val="20"/>
                <w:color w:val="auto"/>
              </w:rPr>
            </w:pPr>
            <w:r>
              <w:rPr>
                <w:rFonts w:ascii="Courier New" w:cs="Courier New" w:eastAsia="Courier New" w:hAnsi="Courier New"/>
                <w:sz w:val="16"/>
                <w:szCs w:val="16"/>
                <w:color w:val="auto"/>
              </w:rPr>
              <w:t>Numerator for basic earnings per</w:t>
            </w:r>
          </w:p>
        </w:tc>
        <w:tc>
          <w:tcPr>
            <w:tcW w:w="126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$ 77,097</w:t>
            </w:r>
          </w:p>
        </w:tc>
        <w:tc>
          <w:tcPr>
            <w:tcW w:w="126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$ 59,920</w:t>
            </w:r>
          </w:p>
        </w:tc>
        <w:tc>
          <w:tcPr>
            <w:tcW w:w="126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$220,837</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$173,278</w:t>
            </w: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share</w:t>
            </w:r>
          </w:p>
        </w:tc>
        <w:tc>
          <w:tcPr>
            <w:tcW w:w="12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300"/>
              <w:spacing w:after="0"/>
              <w:rPr>
                <w:sz w:val="20"/>
                <w:szCs w:val="20"/>
                <w:color w:val="auto"/>
              </w:rPr>
            </w:pPr>
            <w:r>
              <w:rPr>
                <w:rFonts w:ascii="Courier New" w:cs="Courier New" w:eastAsia="Courier New" w:hAnsi="Courier New"/>
                <w:sz w:val="16"/>
                <w:szCs w:val="16"/>
                <w:color w:val="auto"/>
              </w:rPr>
              <w:t>Effect of assumed conversion of</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988</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981</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2,955</w:t>
            </w:r>
          </w:p>
        </w:tc>
        <w:tc>
          <w:tcPr>
            <w:tcW w:w="3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1,301</w:t>
            </w: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0.50% convertible notes</w:t>
            </w: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82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Numerator for diluted earnings per</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820" w:type="dxa"/>
            <w:vAlign w:val="bottom"/>
            <w:vMerge w:val="continue"/>
          </w:tcPr>
          <w:p>
            <w:pPr>
              <w:spacing w:after="0"/>
              <w:rPr>
                <w:sz w:val="8"/>
                <w:szCs w:val="8"/>
                <w:color w:val="auto"/>
              </w:rPr>
            </w:pPr>
          </w:p>
        </w:tc>
        <w:tc>
          <w:tcPr>
            <w:tcW w:w="126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$ 78,085</w:t>
            </w:r>
          </w:p>
        </w:tc>
        <w:tc>
          <w:tcPr>
            <w:tcW w:w="126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$ 60,901</w:t>
            </w:r>
          </w:p>
        </w:tc>
        <w:tc>
          <w:tcPr>
            <w:tcW w:w="1260" w:type="dxa"/>
            <w:vAlign w:val="bottom"/>
            <w:gridSpan w:val="2"/>
            <w:vMerge w:val="restart"/>
          </w:tcPr>
          <w:p>
            <w:pPr>
              <w:jc w:val="right"/>
              <w:ind w:right="159"/>
              <w:spacing w:after="0"/>
              <w:rPr>
                <w:sz w:val="20"/>
                <w:szCs w:val="20"/>
                <w:color w:val="auto"/>
              </w:rPr>
            </w:pPr>
            <w:r>
              <w:rPr>
                <w:rFonts w:ascii="Courier New" w:cs="Courier New" w:eastAsia="Courier New" w:hAnsi="Courier New"/>
                <w:sz w:val="16"/>
                <w:szCs w:val="16"/>
                <w:color w:val="auto"/>
              </w:rPr>
              <w:t>$223,792</w:t>
            </w: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$174,579</w:t>
            </w: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share</w:t>
            </w:r>
          </w:p>
        </w:tc>
        <w:tc>
          <w:tcPr>
            <w:tcW w:w="12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820" w:type="dxa"/>
            <w:vAlign w:val="bottom"/>
          </w:tcPr>
          <w:p>
            <w:pPr>
              <w:spacing w:after="0"/>
              <w:rPr>
                <w:sz w:val="20"/>
                <w:szCs w:val="20"/>
                <w:color w:val="auto"/>
              </w:rPr>
            </w:pPr>
            <w:r>
              <w:rPr>
                <w:rFonts w:ascii="Courier New" w:cs="Courier New" w:eastAsia="Courier New" w:hAnsi="Courier New"/>
                <w:sz w:val="16"/>
                <w:szCs w:val="16"/>
                <w:color w:val="auto"/>
              </w:rPr>
              <w:t>Denominator:</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300"/>
              <w:spacing w:after="0"/>
              <w:rPr>
                <w:sz w:val="20"/>
                <w:szCs w:val="20"/>
                <w:color w:val="auto"/>
              </w:rPr>
            </w:pPr>
            <w:r>
              <w:rPr>
                <w:rFonts w:ascii="Courier New" w:cs="Courier New" w:eastAsia="Courier New" w:hAnsi="Courier New"/>
                <w:sz w:val="16"/>
                <w:szCs w:val="16"/>
                <w:color w:val="auto"/>
              </w:rPr>
              <w:t>Denominator for basic earnings per</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share -  weighted average number</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200,494</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206,093</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201,453</w:t>
            </w:r>
          </w:p>
        </w:tc>
        <w:tc>
          <w:tcPr>
            <w:tcW w:w="3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210,409</w:t>
            </w: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of shares outstanding</w:t>
            </w: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300"/>
              <w:spacing w:after="0"/>
              <w:rPr>
                <w:sz w:val="20"/>
                <w:szCs w:val="20"/>
                <w:color w:val="auto"/>
              </w:rPr>
            </w:pPr>
            <w:r>
              <w:rPr>
                <w:rFonts w:ascii="Courier New" w:cs="Courier New" w:eastAsia="Courier New" w:hAnsi="Courier New"/>
                <w:sz w:val="16"/>
                <w:szCs w:val="16"/>
                <w:color w:val="auto"/>
              </w:rPr>
              <w:t>Effect of assumed conversion of</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10,436</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10,436</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10,436</w:t>
            </w:r>
          </w:p>
        </w:tc>
        <w:tc>
          <w:tcPr>
            <w:tcW w:w="3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4,639</w:t>
            </w: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0.50% convertible notes</w:t>
            </w: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Effect of dilutive stock options</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5,640</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5,708</w:t>
            </w:r>
          </w:p>
        </w:tc>
        <w:tc>
          <w:tcPr>
            <w:tcW w:w="340" w:type="dxa"/>
            <w:vAlign w:val="bottom"/>
          </w:tcPr>
          <w:p>
            <w:pPr>
              <w:spacing w:after="0"/>
              <w:rPr>
                <w:sz w:val="16"/>
                <w:szCs w:val="16"/>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5,719</w:t>
            </w:r>
          </w:p>
        </w:tc>
        <w:tc>
          <w:tcPr>
            <w:tcW w:w="3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5,777</w:t>
            </w: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granted</w:t>
            </w: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82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Denominator for diluted earnings</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8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216,570</w:t>
            </w:r>
          </w:p>
        </w:tc>
        <w:tc>
          <w:tcPr>
            <w:tcW w:w="340" w:type="dxa"/>
            <w:vAlign w:val="bottom"/>
          </w:tcPr>
          <w:p>
            <w:pPr>
              <w:spacing w:after="0"/>
              <w:rPr>
                <w:sz w:val="8"/>
                <w:szCs w:val="8"/>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222,237</w:t>
            </w:r>
          </w:p>
        </w:tc>
        <w:tc>
          <w:tcPr>
            <w:tcW w:w="340" w:type="dxa"/>
            <w:vAlign w:val="bottom"/>
          </w:tcPr>
          <w:p>
            <w:pPr>
              <w:spacing w:after="0"/>
              <w:rPr>
                <w:sz w:val="8"/>
                <w:szCs w:val="8"/>
                <w:color w:val="auto"/>
              </w:rPr>
            </w:pPr>
          </w:p>
        </w:tc>
        <w:tc>
          <w:tcPr>
            <w:tcW w:w="9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w w:val="98"/>
              </w:rPr>
              <w:t>217,608</w:t>
            </w:r>
          </w:p>
        </w:tc>
        <w:tc>
          <w:tcPr>
            <w:tcW w:w="34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220,825</w:t>
            </w:r>
          </w:p>
        </w:tc>
        <w:tc>
          <w:tcPr>
            <w:tcW w:w="0" w:type="dxa"/>
            <w:vAlign w:val="bottom"/>
          </w:tcPr>
          <w:p>
            <w:pPr>
              <w:spacing w:after="0"/>
              <w:rPr>
                <w:sz w:val="1"/>
                <w:szCs w:val="1"/>
                <w:color w:val="auto"/>
              </w:rPr>
            </w:pPr>
          </w:p>
        </w:tc>
      </w:tr>
      <w:tr>
        <w:trPr>
          <w:trHeight w:val="186"/>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per share</w:t>
            </w: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Basic earnings per share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0.38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0.82</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Diluted earnings per share</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0.36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0.79</w:t>
            </w:r>
          </w:p>
        </w:tc>
        <w:tc>
          <w:tcPr>
            <w:tcW w:w="0" w:type="dxa"/>
            <w:vAlign w:val="bottom"/>
          </w:tcPr>
          <w:p>
            <w:pPr>
              <w:spacing w:after="0"/>
              <w:rPr>
                <w:sz w:val="1"/>
                <w:szCs w:val="1"/>
                <w:color w:val="auto"/>
              </w:rPr>
            </w:pPr>
          </w:p>
        </w:tc>
      </w:tr>
      <w:tr>
        <w:trPr>
          <w:trHeight w:val="273"/>
        </w:trPr>
        <w:tc>
          <w:tcPr>
            <w:tcW w:w="3820" w:type="dxa"/>
            <w:vAlign w:val="bottom"/>
          </w:tcPr>
          <w:p>
            <w:pPr>
              <w:spacing w:after="0"/>
              <w:rPr>
                <w:sz w:val="23"/>
                <w:szCs w:val="23"/>
                <w:color w:val="auto"/>
              </w:rPr>
            </w:pP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1" w:right="2559" w:firstLine="581"/>
        <w:spacing w:after="0" w:line="307" w:lineRule="auto"/>
        <w:rPr>
          <w:sz w:val="20"/>
          <w:szCs w:val="20"/>
          <w:color w:val="auto"/>
        </w:rPr>
      </w:pPr>
      <w:r>
        <w:rPr>
          <w:rFonts w:ascii="Courier New" w:cs="Courier New" w:eastAsia="Courier New" w:hAnsi="Courier New"/>
          <w:sz w:val="16"/>
          <w:szCs w:val="16"/>
          <w:color w:val="auto"/>
        </w:rPr>
        <w:t>The weighted average effect of the repurchase of ordinary shares by the Company has been included in the calculation of basic earnings per share.</w:t>
      </w:r>
    </w:p>
    <w:p>
      <w:pPr>
        <w:spacing w:after="0" w:line="50" w:lineRule="exact"/>
        <w:rPr>
          <w:sz w:val="20"/>
          <w:szCs w:val="20"/>
          <w:color w:val="auto"/>
        </w:rPr>
      </w:pPr>
    </w:p>
    <w:p>
      <w:pPr>
        <w:ind w:left="581" w:right="2459" w:firstLine="581"/>
        <w:spacing w:after="0" w:line="287" w:lineRule="auto"/>
        <w:rPr>
          <w:sz w:val="20"/>
          <w:szCs w:val="20"/>
          <w:color w:val="auto"/>
        </w:rPr>
      </w:pPr>
      <w:r>
        <w:rPr>
          <w:rFonts w:ascii="Courier New" w:cs="Courier New" w:eastAsia="Courier New" w:hAnsi="Courier New"/>
          <w:sz w:val="16"/>
          <w:szCs w:val="16"/>
          <w:color w:val="auto"/>
        </w:rPr>
        <w:t>The effect of the 2% Convertible Notes due June 1, 2008 issued by the Company in May 2001 (the "2% Notes") on diluted earnings per share was anti-dilutive for the three and nine months ended June 30, 2005 and 2004, and, therefore, was not included in the above calculation.</w:t>
      </w:r>
    </w:p>
    <w:p>
      <w:pPr>
        <w:spacing w:after="0" w:line="65" w:lineRule="exact"/>
        <w:rPr>
          <w:sz w:val="20"/>
          <w:szCs w:val="20"/>
          <w:color w:val="auto"/>
        </w:rPr>
      </w:pPr>
    </w:p>
    <w:p>
      <w:pPr>
        <w:ind w:left="581" w:right="2659" w:firstLine="581"/>
        <w:spacing w:after="0" w:line="276" w:lineRule="auto"/>
        <w:rPr>
          <w:sz w:val="20"/>
          <w:szCs w:val="20"/>
          <w:color w:val="auto"/>
        </w:rPr>
      </w:pPr>
      <w:r>
        <w:rPr>
          <w:rFonts w:ascii="Courier New" w:cs="Courier New" w:eastAsia="Courier New" w:hAnsi="Courier New"/>
          <w:sz w:val="16"/>
          <w:szCs w:val="16"/>
          <w:color w:val="auto"/>
        </w:rPr>
        <w:t>The effect of the 0.50% Notes on diluted earnings per share was included in the above calculation. See Note 3. The adoption of EITF 04-8 reduced the Company's previously reported quarterly diluted earnings per share by $0.01 per share for the three and nine months ended June 30, 2004.</w:t>
      </w:r>
    </w:p>
    <w:p>
      <w:pPr>
        <w:spacing w:after="0" w:line="76"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646" w:right="1440" w:bottom="1440" w:gutter="0" w:footer="0" w:header="0"/>
        </w:sectPr>
      </w:pPr>
    </w:p>
    <w:bookmarkStart w:id="14" w:name="page15"/>
    <w:bookmarkEnd w:id="14"/>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hanging="581"/>
        <w:spacing w:after="0"/>
        <w:tabs>
          <w:tab w:leader="none" w:pos="5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 OF SECURITIES</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Ordinary Shares</w:t>
      </w:r>
    </w:p>
    <w:p>
      <w:pPr>
        <w:spacing w:after="0" w:line="191" w:lineRule="exact"/>
        <w:rPr>
          <w:sz w:val="20"/>
          <w:szCs w:val="20"/>
          <w:color w:val="auto"/>
        </w:rPr>
      </w:pPr>
    </w:p>
    <w:p>
      <w:pPr>
        <w:ind w:left="581" w:right="2659" w:firstLine="581"/>
        <w:spacing w:after="0" w:line="264" w:lineRule="auto"/>
        <w:rPr>
          <w:sz w:val="20"/>
          <w:szCs w:val="20"/>
          <w:color w:val="auto"/>
        </w:rPr>
      </w:pPr>
      <w:r>
        <w:rPr>
          <w:rFonts w:ascii="Courier New" w:cs="Courier New" w:eastAsia="Courier New" w:hAnsi="Courier New"/>
          <w:sz w:val="16"/>
          <w:szCs w:val="16"/>
          <w:color w:val="auto"/>
        </w:rPr>
        <w:t>On December 20, 2004, the Company announced that its Board of Directors had extended the Company's share repurchase program for the additional repurchase of up to $100,000 of the Company's ordinary shares in the open market or privately negotiated transactions and at times and prices the Company deems appropriate. In accordance with this extension, during the three months ended June 30, 2005, the Company had repurchased approximately 3.5 million ordinary shares, at an average price of $28.33 per share.</w:t>
      </w:r>
    </w:p>
    <w:p>
      <w:pPr>
        <w:spacing w:after="0" w:line="82" w:lineRule="exact"/>
        <w:rPr>
          <w:sz w:val="20"/>
          <w:szCs w:val="20"/>
          <w:color w:val="auto"/>
        </w:rPr>
      </w:pPr>
    </w:p>
    <w:p>
      <w:pPr>
        <w:ind w:left="1161" w:right="7999" w:hanging="1161"/>
        <w:spacing w:after="0" w:line="493" w:lineRule="auto"/>
        <w:tabs>
          <w:tab w:leader="none" w:pos="57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CERTEN INC.</w:t>
      </w:r>
    </w:p>
    <w:p>
      <w:pPr>
        <w:spacing w:after="0" w:line="1" w:lineRule="exact"/>
        <w:rPr>
          <w:sz w:val="20"/>
          <w:szCs w:val="20"/>
          <w:color w:val="auto"/>
        </w:rPr>
      </w:pPr>
    </w:p>
    <w:p>
      <w:pPr>
        <w:ind w:left="581" w:right="2459" w:firstLine="581"/>
        <w:spacing w:after="0" w:line="261" w:lineRule="auto"/>
        <w:rPr>
          <w:sz w:val="20"/>
          <w:szCs w:val="20"/>
          <w:color w:val="auto"/>
        </w:rPr>
      </w:pPr>
      <w:r>
        <w:rPr>
          <w:rFonts w:ascii="Courier New" w:cs="Courier New" w:eastAsia="Courier New" w:hAnsi="Courier New"/>
          <w:sz w:val="16"/>
          <w:szCs w:val="16"/>
          <w:color w:val="auto"/>
        </w:rPr>
        <w:t>On July 2, 2003, the Company acquired from Bell Canada its 90% ownership interest in Certen (renamed Amdocs Canada Managed Services, Inc.) for approximately $66,000 in cash. In addition, the Company had related transaction costs of approximately $3,000. In the six months ended March 31, 2005, the Company corrected the allocation of the purchase price and recalculated deferred tax assets related to the fair value of an acquired pension liability and to a change in tax rate estimation at realization. The corrected purchase price allocation resulted in a decrease of $9,893 in goodwill.</w:t>
      </w:r>
    </w:p>
    <w:p>
      <w:pPr>
        <w:spacing w:after="0" w:line="89"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DST INNOVIS</w:t>
      </w:r>
    </w:p>
    <w:p>
      <w:pPr>
        <w:spacing w:after="0" w:line="191" w:lineRule="exact"/>
        <w:rPr>
          <w:sz w:val="20"/>
          <w:szCs w:val="20"/>
          <w:color w:val="auto"/>
        </w:rPr>
      </w:pPr>
    </w:p>
    <w:p>
      <w:pPr>
        <w:ind w:left="581" w:right="2459" w:firstLine="581"/>
        <w:spacing w:after="0" w:line="266" w:lineRule="auto"/>
        <w:rPr>
          <w:sz w:val="20"/>
          <w:szCs w:val="20"/>
          <w:color w:val="auto"/>
        </w:rPr>
      </w:pPr>
      <w:r>
        <w:rPr>
          <w:rFonts w:ascii="Courier New" w:cs="Courier New" w:eastAsia="Courier New" w:hAnsi="Courier New"/>
          <w:sz w:val="16"/>
          <w:szCs w:val="16"/>
          <w:color w:val="auto"/>
        </w:rPr>
        <w:t>On July 1, 2005 the Company acquired from DST Systems, Inc. ("DST") all of the common stock of DST's wholly owned subsidiaries, DST Innovis Inc. and DST Interactive, Inc., (collectively, "DST Innovis"), a leading provider of customer care and billing solutions to broadband media companies, for approximately $238,000 in cash. The purchase price is subject to upward or downward adjustment based upon the working capital of DST Innovis.</w:t>
      </w:r>
    </w:p>
    <w:p>
      <w:pPr>
        <w:spacing w:after="0" w:line="85" w:lineRule="exact"/>
        <w:rPr>
          <w:sz w:val="20"/>
          <w:szCs w:val="20"/>
          <w:color w:val="auto"/>
        </w:rPr>
      </w:pPr>
    </w:p>
    <w:p>
      <w:pPr>
        <w:ind w:left="581" w:right="2459" w:firstLine="581"/>
        <w:spacing w:after="0" w:line="256" w:lineRule="auto"/>
        <w:rPr>
          <w:sz w:val="20"/>
          <w:szCs w:val="20"/>
          <w:color w:val="auto"/>
        </w:rPr>
      </w:pPr>
      <w:r>
        <w:rPr>
          <w:rFonts w:ascii="Courier New" w:cs="Courier New" w:eastAsia="Courier New" w:hAnsi="Courier New"/>
          <w:sz w:val="16"/>
          <w:szCs w:val="16"/>
          <w:color w:val="auto"/>
        </w:rPr>
        <w:t>In addition, the Company signed a long-term agreement with a subsidiary of DST, pursuant to which the DST subsidiary will continue to support the printing and mailing of bills for the DST Innovis customer base. Under the terms of that agreement, the DST subsidiary will be a preferred vendor of billing printing and mailing for projects that combine those services with billing support, and the DST subsidiary is expected to be selected as the provider of these services for additional Amdocs customers in North America. With this acquisition the Company is in a position to offer comprehensive set of solutions to help broadband media and satellite companies transition to integrated customer management, or ICM. The Company has not yet completed the purchase price allocation. The preliminary allocation is expected be completed during the fourth quarter of fiscal 2005.</w:t>
      </w:r>
    </w:p>
    <w:p>
      <w:pPr>
        <w:spacing w:after="0" w:line="96"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LONGSHINE</w:t>
      </w:r>
    </w:p>
    <w:p>
      <w:pPr>
        <w:spacing w:after="0" w:line="191" w:lineRule="exact"/>
        <w:rPr>
          <w:sz w:val="20"/>
          <w:szCs w:val="20"/>
          <w:color w:val="auto"/>
        </w:rPr>
      </w:pPr>
    </w:p>
    <w:p>
      <w:pPr>
        <w:ind w:left="581" w:right="2459" w:firstLine="581"/>
        <w:spacing w:after="0" w:line="258" w:lineRule="auto"/>
        <w:rPr>
          <w:sz w:val="20"/>
          <w:szCs w:val="20"/>
          <w:color w:val="auto"/>
        </w:rPr>
      </w:pPr>
      <w:r>
        <w:rPr>
          <w:rFonts w:ascii="Courier New" w:cs="Courier New" w:eastAsia="Courier New" w:hAnsi="Courier New"/>
          <w:sz w:val="16"/>
          <w:szCs w:val="16"/>
          <w:color w:val="auto"/>
        </w:rPr>
        <w:t>On August 3, 2005, the Company acquired all of the outstanding shares of Longshine Information Technology Company Ltd. ("Longshine"), a privately-held, leading vendor of customer care and billing software in China, for approximately $30,000 in cash with the possibility of additional cash consideration up to approximately $16,000 to be paid later based on the achievement of certain performance targets. With this acquisition the Company is able to offer set of products and services to Chinese service providers and expand its presence in China. The Company has not yet completed the purchase price allocation. The preliminary allocation is expected be completed during the fourth quarter of fiscal 2005.</w:t>
      </w:r>
    </w:p>
    <w:p>
      <w:pPr>
        <w:spacing w:after="0" w:line="93"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0"/>
          </w:cols>
          <w:pgMar w:left="239" w:top="646" w:right="1440" w:bottom="1440" w:gutter="0" w:footer="0" w:header="0"/>
        </w:sectPr>
      </w:pPr>
    </w:p>
    <w:bookmarkStart w:id="15" w:name="page16"/>
    <w:bookmarkEnd w:id="15"/>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hanging="581"/>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OPERATIONAL EFFICIENCY AND COST REDUCTION PROGRAMS</w:t>
      </w:r>
    </w:p>
    <w:p>
      <w:pPr>
        <w:spacing w:after="0" w:line="191" w:lineRule="exact"/>
        <w:rPr>
          <w:sz w:val="20"/>
          <w:szCs w:val="20"/>
          <w:color w:val="auto"/>
        </w:rPr>
      </w:pPr>
    </w:p>
    <w:p>
      <w:pPr>
        <w:ind w:left="581" w:right="2559" w:firstLine="581"/>
        <w:spacing w:after="0" w:line="270" w:lineRule="auto"/>
        <w:rPr>
          <w:sz w:val="20"/>
          <w:szCs w:val="20"/>
          <w:color w:val="auto"/>
        </w:rPr>
      </w:pPr>
      <w:r>
        <w:rPr>
          <w:rFonts w:ascii="Courier New" w:cs="Courier New" w:eastAsia="Courier New" w:hAnsi="Courier New"/>
          <w:sz w:val="16"/>
          <w:szCs w:val="16"/>
          <w:color w:val="auto"/>
        </w:rPr>
        <w:t>In the fiscal years ended September 30, 2002 and 2003, the Company implemented a series of cost reduction programs designed to reduce operating costs and improve productivity. As part of these programs, the Company reduced its workforce, vacated facilities in different centers around the world and implemented other cost reduction measures, including travel cuts and reduction in other discretionary costs.</w:t>
      </w:r>
    </w:p>
    <w:p>
      <w:pPr>
        <w:spacing w:after="0" w:line="81" w:lineRule="exact"/>
        <w:rPr>
          <w:sz w:val="20"/>
          <w:szCs w:val="20"/>
          <w:color w:val="auto"/>
        </w:rPr>
      </w:pPr>
    </w:p>
    <w:p>
      <w:pPr>
        <w:ind w:left="581" w:right="2559" w:firstLine="581"/>
        <w:spacing w:after="0" w:line="367" w:lineRule="auto"/>
        <w:rPr>
          <w:sz w:val="20"/>
          <w:szCs w:val="20"/>
          <w:color w:val="auto"/>
        </w:rPr>
      </w:pPr>
      <w:r>
        <w:rPr>
          <w:rFonts w:ascii="Courier New" w:cs="Courier New" w:eastAsia="Courier New" w:hAnsi="Courier New"/>
          <w:sz w:val="16"/>
          <w:szCs w:val="16"/>
          <w:color w:val="auto"/>
        </w:rPr>
        <w:t>The restructuring accrual balance for these cost reduction programs is comprised of the following as of June 30, 2005:</w:t>
      </w:r>
    </w:p>
    <w:p>
      <w:pPr>
        <w:spacing w:after="0" w:line="37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FACILITIES</w:t>
            </w:r>
          </w:p>
        </w:tc>
        <w:tc>
          <w:tcPr>
            <w:tcW w:w="0" w:type="dxa"/>
            <w:vAlign w:val="bottom"/>
          </w:tcPr>
          <w:p>
            <w:pPr>
              <w:spacing w:after="0"/>
              <w:rPr>
                <w:sz w:val="1"/>
                <w:szCs w:val="1"/>
                <w:color w:val="auto"/>
              </w:rPr>
            </w:pPr>
          </w:p>
        </w:tc>
      </w:tr>
      <w:tr>
        <w:trPr>
          <w:trHeight w:val="273"/>
        </w:trPr>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1300" w:type="dxa"/>
            <w:vAlign w:val="bottom"/>
          </w:tcPr>
          <w:p>
            <w:pPr>
              <w:spacing w:after="0"/>
              <w:rPr>
                <w:sz w:val="20"/>
                <w:szCs w:val="20"/>
                <w:color w:val="auto"/>
              </w:rPr>
            </w:pPr>
            <w:r>
              <w:rPr>
                <w:rFonts w:ascii="Courier New" w:cs="Courier New" w:eastAsia="Courier New" w:hAnsi="Courier New"/>
                <w:sz w:val="16"/>
                <w:szCs w:val="16"/>
                <w:color w:val="auto"/>
              </w:rPr>
              <w:t>Balance as of</w:t>
            </w:r>
          </w:p>
        </w:tc>
        <w:tc>
          <w:tcPr>
            <w:tcW w:w="1360" w:type="dxa"/>
            <w:vAlign w:val="bottom"/>
          </w:tcPr>
          <w:p>
            <w:pPr>
              <w:ind w:left="60"/>
              <w:spacing w:after="0"/>
              <w:rPr>
                <w:sz w:val="20"/>
                <w:szCs w:val="20"/>
                <w:color w:val="auto"/>
              </w:rPr>
            </w:pPr>
            <w:r>
              <w:rPr>
                <w:rFonts w:ascii="Courier New" w:cs="Courier New" w:eastAsia="Courier New" w:hAnsi="Courier New"/>
                <w:sz w:val="16"/>
                <w:szCs w:val="16"/>
                <w:color w:val="auto"/>
              </w:rPr>
              <w:t>September 30,</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2004</w:t>
            </w:r>
          </w:p>
        </w:tc>
        <w:tc>
          <w:tcPr>
            <w:tcW w:w="7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10,280</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Cash payments</w:t>
            </w: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(1,108)</w:t>
            </w:r>
          </w:p>
        </w:tc>
        <w:tc>
          <w:tcPr>
            <w:tcW w:w="0" w:type="dxa"/>
            <w:vAlign w:val="bottom"/>
          </w:tcPr>
          <w:p>
            <w:pPr>
              <w:spacing w:after="0"/>
              <w:rPr>
                <w:sz w:val="1"/>
                <w:szCs w:val="1"/>
                <w:color w:val="auto"/>
              </w:rPr>
            </w:pPr>
          </w:p>
        </w:tc>
      </w:tr>
      <w:tr>
        <w:trPr>
          <w:trHeight w:val="186"/>
        </w:trPr>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Adjustments (1)</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(1,675)</w:t>
            </w:r>
          </w:p>
        </w:tc>
        <w:tc>
          <w:tcPr>
            <w:tcW w:w="0" w:type="dxa"/>
            <w:vAlign w:val="bottom"/>
          </w:tcPr>
          <w:p>
            <w:pPr>
              <w:spacing w:after="0"/>
              <w:rPr>
                <w:sz w:val="1"/>
                <w:szCs w:val="1"/>
                <w:color w:val="auto"/>
              </w:rPr>
            </w:pPr>
          </w:p>
        </w:tc>
      </w:tr>
      <w:tr>
        <w:trPr>
          <w:trHeight w:val="186"/>
        </w:trPr>
        <w:tc>
          <w:tcPr>
            <w:tcW w:w="1300" w:type="dxa"/>
            <w:vAlign w:val="bottom"/>
            <w:vMerge w:val="restart"/>
          </w:tcPr>
          <w:p>
            <w:pPr>
              <w:spacing w:after="0"/>
              <w:rPr>
                <w:sz w:val="20"/>
                <w:szCs w:val="20"/>
                <w:color w:val="auto"/>
              </w:rPr>
            </w:pPr>
            <w:r>
              <w:rPr>
                <w:rFonts w:ascii="Courier New" w:cs="Courier New" w:eastAsia="Courier New" w:hAnsi="Courier New"/>
                <w:sz w:val="16"/>
                <w:szCs w:val="16"/>
                <w:color w:val="auto"/>
              </w:rPr>
              <w:t>Balance as of</w:t>
            </w:r>
          </w:p>
        </w:tc>
        <w:tc>
          <w:tcPr>
            <w:tcW w:w="136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June 30, 2005</w:t>
            </w:r>
          </w:p>
        </w:tc>
        <w:tc>
          <w:tcPr>
            <w:tcW w:w="92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(2)</w:t>
            </w: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130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4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7,497</w:t>
            </w:r>
          </w:p>
        </w:tc>
        <w:tc>
          <w:tcPr>
            <w:tcW w:w="0" w:type="dxa"/>
            <w:vAlign w:val="bottom"/>
          </w:tcPr>
          <w:p>
            <w:pPr>
              <w:spacing w:after="0"/>
              <w:rPr>
                <w:sz w:val="1"/>
                <w:szCs w:val="1"/>
                <w:color w:val="auto"/>
              </w:rPr>
            </w:pPr>
          </w:p>
        </w:tc>
      </w:tr>
      <w:tr>
        <w:trPr>
          <w:trHeight w:val="273"/>
        </w:trPr>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1" w:right="2459" w:hanging="581"/>
        <w:spacing w:after="0" w:line="287" w:lineRule="auto"/>
        <w:tabs>
          <w:tab w:leader="none" w:pos="5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adjustments due to changes in previous estimates. These adjustments resulted in a decrease of restructuring liabilities related to facilities, which was credited to "cost of service" and "selling, general and administrative" expenses in the nine months ended June 30, 2005.</w:t>
      </w:r>
    </w:p>
    <w:p>
      <w:pPr>
        <w:spacing w:after="0" w:line="64" w:lineRule="exact"/>
        <w:rPr>
          <w:rFonts w:ascii="Courier New" w:cs="Courier New" w:eastAsia="Courier New" w:hAnsi="Courier New"/>
          <w:sz w:val="16"/>
          <w:szCs w:val="16"/>
          <w:color w:val="auto"/>
        </w:rPr>
      </w:pPr>
    </w:p>
    <w:p>
      <w:pPr>
        <w:ind w:left="581" w:right="2959" w:hanging="581"/>
        <w:spacing w:after="0" w:line="367" w:lineRule="auto"/>
        <w:tabs>
          <w:tab w:leader="none" w:pos="5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the accrual is expected to be paid out through April 2012.</w:t>
      </w:r>
    </w:p>
    <w:p>
      <w:pPr>
        <w:spacing w:after="0" w:line="5" w:lineRule="exact"/>
        <w:rPr>
          <w:sz w:val="20"/>
          <w:szCs w:val="20"/>
          <w:color w:val="auto"/>
        </w:rPr>
      </w:pPr>
    </w:p>
    <w:p>
      <w:pPr>
        <w:ind w:left="581" w:hanging="581"/>
        <w:spacing w:after="0"/>
        <w:tabs>
          <w:tab w:leader="none" w:pos="5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BENEFITS</w:t>
      </w:r>
    </w:p>
    <w:p>
      <w:pPr>
        <w:spacing w:after="0" w:line="191" w:lineRule="exact"/>
        <w:rPr>
          <w:sz w:val="20"/>
          <w:szCs w:val="20"/>
          <w:color w:val="auto"/>
        </w:rPr>
      </w:pPr>
    </w:p>
    <w:p>
      <w:pPr>
        <w:ind w:left="581" w:right="2459" w:firstLine="581"/>
        <w:spacing w:after="0" w:line="260" w:lineRule="auto"/>
        <w:rPr>
          <w:sz w:val="20"/>
          <w:szCs w:val="20"/>
          <w:color w:val="auto"/>
        </w:rPr>
      </w:pPr>
      <w:r>
        <w:rPr>
          <w:rFonts w:ascii="Courier New" w:cs="Courier New" w:eastAsia="Courier New" w:hAnsi="Courier New"/>
          <w:sz w:val="16"/>
          <w:szCs w:val="16"/>
          <w:color w:val="auto"/>
        </w:rPr>
        <w:t>The Company maintains non-contributory defined benefit plans that provide for pension, other retirement and post-employment benefits for some of its Canadian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pooled fund units established by Bell Canada Enterprises for the collective investment of registered pension plan assets.</w:t>
      </w:r>
    </w:p>
    <w:p>
      <w:pPr>
        <w:spacing w:after="0" w:line="86" w:lineRule="exact"/>
        <w:rPr>
          <w:sz w:val="20"/>
          <w:szCs w:val="20"/>
          <w:color w:val="auto"/>
        </w:rPr>
      </w:pPr>
    </w:p>
    <w:p>
      <w:pPr>
        <w:ind w:left="581" w:right="2459" w:firstLine="581"/>
        <w:spacing w:after="0" w:line="367" w:lineRule="auto"/>
        <w:rPr>
          <w:sz w:val="20"/>
          <w:szCs w:val="20"/>
          <w:color w:val="auto"/>
        </w:rPr>
      </w:pPr>
      <w:r>
        <w:rPr>
          <w:rFonts w:ascii="Courier New" w:cs="Courier New" w:eastAsia="Courier New" w:hAnsi="Courier New"/>
          <w:sz w:val="16"/>
          <w:szCs w:val="16"/>
          <w:color w:val="auto"/>
        </w:rPr>
        <w:t>The net periodic benefit cost under these plans for the three months ended June 30, 2005 and 2004, was as follows:</w:t>
      </w:r>
    </w:p>
    <w:p>
      <w:pPr>
        <w:spacing w:after="0" w:line="377"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2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THREE MONTHS ENDED</w:t>
            </w:r>
          </w:p>
        </w:tc>
        <w:tc>
          <w:tcPr>
            <w:tcW w:w="400" w:type="dxa"/>
            <w:vAlign w:val="bottom"/>
          </w:tcPr>
          <w:p>
            <w:pPr>
              <w:spacing w:after="0"/>
              <w:rPr>
                <w:sz w:val="16"/>
                <w:szCs w:val="16"/>
                <w:color w:val="auto"/>
              </w:rPr>
            </w:pPr>
          </w:p>
        </w:tc>
        <w:tc>
          <w:tcPr>
            <w:tcW w:w="18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THREE MONTHS ENDED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2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JUNE 30, 2005</w:t>
            </w:r>
          </w:p>
        </w:tc>
        <w:tc>
          <w:tcPr>
            <w:tcW w:w="400" w:type="dxa"/>
            <w:vAlign w:val="bottom"/>
          </w:tcPr>
          <w:p>
            <w:pPr>
              <w:spacing w:after="0"/>
              <w:rPr>
                <w:sz w:val="16"/>
                <w:szCs w:val="16"/>
                <w:color w:val="auto"/>
              </w:rPr>
            </w:pPr>
          </w:p>
        </w:tc>
        <w:tc>
          <w:tcPr>
            <w:tcW w:w="18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JUNE 30, 2004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tcPr>
          <w:p>
            <w:pPr>
              <w:ind w:left="280"/>
              <w:spacing w:after="0"/>
              <w:rPr>
                <w:sz w:val="20"/>
                <w:szCs w:val="20"/>
                <w:color w:val="auto"/>
              </w:rPr>
            </w:pPr>
            <w:r>
              <w:rPr>
                <w:rFonts w:ascii="Courier New" w:cs="Courier New" w:eastAsia="Courier New" w:hAnsi="Courier New"/>
                <w:sz w:val="1"/>
                <w:szCs w:val="1"/>
                <w:color w:val="auto"/>
                <w:w w:val="57"/>
              </w:rPr>
              <w:t>-----------------------</w:t>
            </w:r>
          </w:p>
        </w:tc>
        <w:tc>
          <w:tcPr>
            <w:tcW w:w="10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w w:val="98"/>
              </w:rPr>
              <w:t>PENSION</w:t>
            </w:r>
          </w:p>
        </w:tc>
        <w:tc>
          <w:tcPr>
            <w:tcW w:w="400" w:type="dxa"/>
            <w:vAlign w:val="bottom"/>
          </w:tcPr>
          <w:p>
            <w:pPr>
              <w:spacing w:after="0"/>
              <w:rPr>
                <w:sz w:val="16"/>
                <w:szCs w:val="16"/>
                <w:color w:val="auto"/>
              </w:rPr>
            </w:pPr>
          </w:p>
        </w:tc>
        <w:tc>
          <w:tcPr>
            <w:tcW w:w="9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w w:val="95"/>
              </w:rPr>
              <w:t>OTHER</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PENSION</w:t>
            </w:r>
          </w:p>
        </w:tc>
        <w:tc>
          <w:tcPr>
            <w:tcW w:w="10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OTHER</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BENEFITS</w:t>
            </w: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BENEFITS</w:t>
            </w:r>
          </w:p>
        </w:tc>
        <w:tc>
          <w:tcPr>
            <w:tcW w:w="14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BENEFITS</w:t>
            </w:r>
          </w:p>
        </w:tc>
        <w:tc>
          <w:tcPr>
            <w:tcW w:w="10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BENEFITS</w:t>
            </w:r>
          </w:p>
        </w:tc>
        <w:tc>
          <w:tcPr>
            <w:tcW w:w="0" w:type="dxa"/>
            <w:vAlign w:val="bottom"/>
          </w:tcPr>
          <w:p>
            <w:pPr>
              <w:spacing w:after="0"/>
              <w:rPr>
                <w:sz w:val="1"/>
                <w:szCs w:val="1"/>
                <w:color w:val="auto"/>
              </w:rPr>
            </w:pPr>
          </w:p>
        </w:tc>
      </w:tr>
      <w:tr>
        <w:trPr>
          <w:trHeight w:val="273"/>
        </w:trPr>
        <w:tc>
          <w:tcPr>
            <w:tcW w:w="3300" w:type="dxa"/>
            <w:vAlign w:val="bottom"/>
          </w:tcPr>
          <w:p>
            <w:pPr>
              <w:spacing w:after="0"/>
              <w:rPr>
                <w:sz w:val="23"/>
                <w:szCs w:val="23"/>
                <w:color w:val="auto"/>
              </w:rPr>
            </w:pP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300" w:type="dxa"/>
            <w:vAlign w:val="bottom"/>
          </w:tcPr>
          <w:p>
            <w:pPr>
              <w:spacing w:after="0"/>
              <w:rPr>
                <w:sz w:val="20"/>
                <w:szCs w:val="20"/>
                <w:color w:val="auto"/>
              </w:rPr>
            </w:pPr>
            <w:r>
              <w:rPr>
                <w:rFonts w:ascii="Courier New" w:cs="Courier New" w:eastAsia="Courier New" w:hAnsi="Courier New"/>
                <w:sz w:val="16"/>
                <w:szCs w:val="16"/>
                <w:color w:val="auto"/>
              </w:rPr>
              <w:t>Service costs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537</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65</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515</w:t>
            </w:r>
          </w:p>
        </w:tc>
        <w:tc>
          <w:tcPr>
            <w:tcW w:w="7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94</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Interest on benefit obligations</w:t>
            </w: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821</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119</w:t>
            </w:r>
          </w:p>
        </w:tc>
        <w:tc>
          <w:tcPr>
            <w:tcW w:w="40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673</w:t>
            </w: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(673)</w:t>
            </w:r>
          </w:p>
        </w:tc>
        <w:tc>
          <w:tcPr>
            <w:tcW w:w="4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(575)</w:t>
            </w: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vMerge w:val="restart"/>
          </w:tcPr>
          <w:p>
            <w:pPr>
              <w:ind w:left="2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10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685</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184</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613</w:t>
            </w:r>
          </w:p>
        </w:tc>
        <w:tc>
          <w:tcPr>
            <w:tcW w:w="7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191</w:t>
            </w:r>
          </w:p>
        </w:tc>
        <w:tc>
          <w:tcPr>
            <w:tcW w:w="0" w:type="dxa"/>
            <w:vAlign w:val="bottom"/>
          </w:tcPr>
          <w:p>
            <w:pPr>
              <w:spacing w:after="0"/>
              <w:rPr>
                <w:sz w:val="1"/>
                <w:szCs w:val="1"/>
                <w:color w:val="auto"/>
              </w:rPr>
            </w:pPr>
          </w:p>
        </w:tc>
      </w:tr>
      <w:tr>
        <w:trPr>
          <w:trHeight w:val="273"/>
        </w:trPr>
        <w:tc>
          <w:tcPr>
            <w:tcW w:w="3300" w:type="dxa"/>
            <w:vAlign w:val="bottom"/>
          </w:tcPr>
          <w:p>
            <w:pPr>
              <w:spacing w:after="0"/>
              <w:rPr>
                <w:sz w:val="23"/>
                <w:szCs w:val="23"/>
                <w:color w:val="auto"/>
              </w:rPr>
            </w:pP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9"/>
        </w:trPr>
        <w:tc>
          <w:tcPr>
            <w:tcW w:w="3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15</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39" w:top="646" w:right="1440" w:bottom="1440" w:gutter="0" w:footer="0" w:header="0"/>
        </w:sectPr>
      </w:pPr>
    </w:p>
    <w:bookmarkStart w:id="16" w:name="page17"/>
    <w:bookmarkEnd w:id="16"/>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right="2659"/>
        <w:spacing w:after="0" w:line="367" w:lineRule="auto"/>
        <w:rPr>
          <w:sz w:val="20"/>
          <w:szCs w:val="20"/>
          <w:color w:val="auto"/>
        </w:rPr>
      </w:pPr>
      <w:r>
        <w:rPr>
          <w:rFonts w:ascii="Courier New" w:cs="Courier New" w:eastAsia="Courier New" w:hAnsi="Courier New"/>
          <w:sz w:val="16"/>
          <w:szCs w:val="16"/>
          <w:color w:val="auto"/>
        </w:rPr>
        <w:t>The net periodic benefit cost under these plans for the nine months ended June 30, 2005 and 2004, was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tcPr>
          <w:p>
            <w:pPr>
              <w:jc w:val="center"/>
              <w:ind w:left="119"/>
              <w:spacing w:after="0"/>
              <w:rPr>
                <w:sz w:val="20"/>
                <w:szCs w:val="20"/>
                <w:color w:val="auto"/>
              </w:rPr>
            </w:pPr>
            <w:r>
              <w:rPr>
                <w:rFonts w:ascii="Courier New" w:cs="Courier New" w:eastAsia="Courier New" w:hAnsi="Courier New"/>
                <w:sz w:val="16"/>
                <w:szCs w:val="16"/>
                <w:color w:val="auto"/>
              </w:rPr>
              <w:t>NINE MONTHS ENDED</w:t>
            </w: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2"/>
          </w:tcPr>
          <w:p>
            <w:pPr>
              <w:jc w:val="center"/>
              <w:ind w:left="99"/>
              <w:spacing w:after="0"/>
              <w:rPr>
                <w:sz w:val="20"/>
                <w:szCs w:val="20"/>
                <w:color w:val="auto"/>
              </w:rPr>
            </w:pPr>
            <w:r>
              <w:rPr>
                <w:rFonts w:ascii="Courier New" w:cs="Courier New" w:eastAsia="Courier New" w:hAnsi="Courier New"/>
                <w:sz w:val="16"/>
                <w:szCs w:val="16"/>
                <w:color w:val="auto"/>
              </w:rPr>
              <w:t>NINE MONTHS ENDED</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2"/>
          </w:tcPr>
          <w:p>
            <w:pPr>
              <w:jc w:val="center"/>
              <w:ind w:left="99"/>
              <w:spacing w:after="0"/>
              <w:rPr>
                <w:sz w:val="20"/>
                <w:szCs w:val="20"/>
                <w:color w:val="auto"/>
              </w:rPr>
            </w:pPr>
            <w:r>
              <w:rPr>
                <w:rFonts w:ascii="Courier New" w:cs="Courier New" w:eastAsia="Courier New" w:hAnsi="Courier New"/>
                <w:sz w:val="16"/>
                <w:szCs w:val="16"/>
                <w:color w:val="auto"/>
              </w:rPr>
              <w:t>JUNE 30, 2005</w:t>
            </w: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2"/>
          </w:tcPr>
          <w:p>
            <w:pPr>
              <w:jc w:val="center"/>
              <w:ind w:left="99"/>
              <w:spacing w:after="0"/>
              <w:rPr>
                <w:sz w:val="20"/>
                <w:szCs w:val="20"/>
                <w:color w:val="auto"/>
              </w:rPr>
            </w:pPr>
            <w:r>
              <w:rPr>
                <w:rFonts w:ascii="Courier New" w:cs="Courier New" w:eastAsia="Courier New" w:hAnsi="Courier New"/>
                <w:sz w:val="16"/>
                <w:szCs w:val="16"/>
                <w:color w:val="auto"/>
              </w:rPr>
              <w:t>JUNE 30, 2004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tcPr>
          <w:p>
            <w:pPr>
              <w:ind w:left="280"/>
              <w:spacing w:after="0"/>
              <w:rPr>
                <w:sz w:val="20"/>
                <w:szCs w:val="20"/>
                <w:color w:val="auto"/>
              </w:rPr>
            </w:pPr>
            <w:r>
              <w:rPr>
                <w:rFonts w:ascii="Courier New" w:cs="Courier New" w:eastAsia="Courier New" w:hAnsi="Courier New"/>
                <w:sz w:val="1"/>
                <w:szCs w:val="1"/>
                <w:color w:val="auto"/>
                <w:w w:val="57"/>
              </w:rPr>
              <w:t>-----------------------</w:t>
            </w:r>
          </w:p>
        </w:tc>
        <w:tc>
          <w:tcPr>
            <w:tcW w:w="10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w w:val="98"/>
              </w:rPr>
              <w:t>PENSION</w:t>
            </w:r>
          </w:p>
        </w:tc>
        <w:tc>
          <w:tcPr>
            <w:tcW w:w="1360" w:type="dxa"/>
            <w:vAlign w:val="bottom"/>
            <w:gridSpan w:val="2"/>
            <w:vMerge w:val="restart"/>
          </w:tcPr>
          <w:p>
            <w:pPr>
              <w:jc w:val="right"/>
              <w:ind w:right="399"/>
              <w:spacing w:after="0"/>
              <w:rPr>
                <w:sz w:val="20"/>
                <w:szCs w:val="20"/>
                <w:color w:val="auto"/>
              </w:rPr>
            </w:pPr>
            <w:r>
              <w:rPr>
                <w:rFonts w:ascii="Courier New" w:cs="Courier New" w:eastAsia="Courier New" w:hAnsi="Courier New"/>
                <w:sz w:val="16"/>
                <w:szCs w:val="16"/>
                <w:color w:val="auto"/>
              </w:rPr>
              <w:t>OTHER</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PENSION</w:t>
            </w:r>
          </w:p>
        </w:tc>
        <w:tc>
          <w:tcPr>
            <w:tcW w:w="10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OTHER</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BENEFITS</w:t>
            </w:r>
          </w:p>
        </w:tc>
        <w:tc>
          <w:tcPr>
            <w:tcW w:w="13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BENEFITS</w:t>
            </w:r>
          </w:p>
        </w:tc>
        <w:tc>
          <w:tcPr>
            <w:tcW w:w="146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BENEFITS</w:t>
            </w:r>
          </w:p>
        </w:tc>
        <w:tc>
          <w:tcPr>
            <w:tcW w:w="106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BENEFITS</w:t>
            </w:r>
          </w:p>
        </w:tc>
        <w:tc>
          <w:tcPr>
            <w:tcW w:w="0" w:type="dxa"/>
            <w:vAlign w:val="bottom"/>
          </w:tcPr>
          <w:p>
            <w:pPr>
              <w:spacing w:after="0"/>
              <w:rPr>
                <w:sz w:val="1"/>
                <w:szCs w:val="1"/>
                <w:color w:val="auto"/>
              </w:rPr>
            </w:pPr>
          </w:p>
        </w:tc>
      </w:tr>
      <w:tr>
        <w:trPr>
          <w:trHeight w:val="273"/>
        </w:trPr>
        <w:tc>
          <w:tcPr>
            <w:tcW w:w="3300" w:type="dxa"/>
            <w:vAlign w:val="bottom"/>
          </w:tcPr>
          <w:p>
            <w:pPr>
              <w:spacing w:after="0"/>
              <w:rPr>
                <w:sz w:val="23"/>
                <w:szCs w:val="23"/>
                <w:color w:val="auto"/>
              </w:rPr>
            </w:pP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300" w:type="dxa"/>
            <w:vAlign w:val="bottom"/>
          </w:tcPr>
          <w:p>
            <w:pPr>
              <w:spacing w:after="0"/>
              <w:rPr>
                <w:sz w:val="20"/>
                <w:szCs w:val="20"/>
                <w:color w:val="auto"/>
              </w:rPr>
            </w:pPr>
            <w:r>
              <w:rPr>
                <w:rFonts w:ascii="Courier New" w:cs="Courier New" w:eastAsia="Courier New" w:hAnsi="Courier New"/>
                <w:sz w:val="16"/>
                <w:szCs w:val="16"/>
                <w:color w:val="auto"/>
              </w:rPr>
              <w:t>Service costs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1,632</w:t>
            </w: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197</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1,488</w:t>
            </w:r>
          </w:p>
        </w:tc>
        <w:tc>
          <w:tcPr>
            <w:tcW w:w="7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271</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Interest on benefit obligations</w:t>
            </w:r>
          </w:p>
        </w:tc>
        <w:tc>
          <w:tcPr>
            <w:tcW w:w="38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2,494</w:t>
            </w:r>
          </w:p>
        </w:tc>
        <w:tc>
          <w:tcPr>
            <w:tcW w:w="780" w:type="dxa"/>
            <w:vAlign w:val="bottom"/>
          </w:tcPr>
          <w:p>
            <w:pPr>
              <w:spacing w:after="0"/>
              <w:rPr>
                <w:sz w:val="16"/>
                <w:szCs w:val="16"/>
                <w:color w:val="auto"/>
              </w:rPr>
            </w:pP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360</w:t>
            </w:r>
          </w:p>
        </w:tc>
        <w:tc>
          <w:tcPr>
            <w:tcW w:w="400" w:type="dxa"/>
            <w:vAlign w:val="bottom"/>
          </w:tcPr>
          <w:p>
            <w:pPr>
              <w:spacing w:after="0"/>
              <w:rPr>
                <w:sz w:val="16"/>
                <w:szCs w:val="16"/>
                <w:color w:val="auto"/>
              </w:rPr>
            </w:pP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1,944</w:t>
            </w: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280</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20"/>
                <w:szCs w:val="20"/>
                <w:color w:val="auto"/>
              </w:rPr>
            </w:pPr>
            <w:r>
              <w:rPr>
                <w:rFonts w:ascii="Courier New" w:cs="Courier New" w:eastAsia="Courier New" w:hAnsi="Courier New"/>
                <w:sz w:val="16"/>
                <w:szCs w:val="16"/>
                <w:color w:val="auto"/>
              </w:rPr>
              <w:t>Expected return on plan assets</w:t>
            </w:r>
          </w:p>
        </w:tc>
        <w:tc>
          <w:tcPr>
            <w:tcW w:w="380" w:type="dxa"/>
            <w:vAlign w:val="bottom"/>
          </w:tcPr>
          <w:p>
            <w:pPr>
              <w:spacing w:after="0"/>
              <w:rPr>
                <w:sz w:val="16"/>
                <w:szCs w:val="16"/>
                <w:color w:val="auto"/>
              </w:rPr>
            </w:pP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(2,042)</w:t>
            </w:r>
          </w:p>
        </w:tc>
        <w:tc>
          <w:tcPr>
            <w:tcW w:w="780" w:type="dxa"/>
            <w:vAlign w:val="bottom"/>
          </w:tcPr>
          <w:p>
            <w:pPr>
              <w:spacing w:after="0"/>
              <w:rPr>
                <w:sz w:val="16"/>
                <w:szCs w:val="16"/>
                <w:color w:val="auto"/>
              </w:rPr>
            </w:pP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(1,661)</w:t>
            </w:r>
          </w:p>
        </w:tc>
        <w:tc>
          <w:tcPr>
            <w:tcW w:w="7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vMerge w:val="restart"/>
          </w:tcPr>
          <w:p>
            <w:pPr>
              <w:ind w:left="280"/>
              <w:spacing w:after="0"/>
              <w:rPr>
                <w:sz w:val="20"/>
                <w:szCs w:val="20"/>
                <w:color w:val="auto"/>
              </w:rPr>
            </w:pPr>
            <w:r>
              <w:rPr>
                <w:rFonts w:ascii="Courier New" w:cs="Courier New" w:eastAsia="Courier New" w:hAnsi="Courier New"/>
                <w:sz w:val="4"/>
                <w:szCs w:val="4"/>
                <w:color w:val="auto"/>
                <w:w w:val="70"/>
                <w:vertAlign w:val="subscript"/>
              </w:rPr>
              <w:t>$</w:t>
            </w:r>
            <w:r>
              <w:rPr>
                <w:rFonts w:ascii="Courier New" w:cs="Courier New" w:eastAsia="Courier New" w:hAnsi="Courier New"/>
                <w:sz w:val="2"/>
                <w:szCs w:val="2"/>
                <w:color w:val="auto"/>
                <w:w w:val="70"/>
              </w:rPr>
              <w:t>--------</w:t>
            </w:r>
          </w:p>
        </w:tc>
        <w:tc>
          <w:tcPr>
            <w:tcW w:w="106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2,084</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7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557</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10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1,771</w:t>
            </w:r>
          </w:p>
        </w:tc>
        <w:tc>
          <w:tcPr>
            <w:tcW w:w="7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w w:val="90"/>
              </w:rPr>
              <w:t>551</w:t>
            </w:r>
          </w:p>
        </w:tc>
        <w:tc>
          <w:tcPr>
            <w:tcW w:w="0" w:type="dxa"/>
            <w:vAlign w:val="bottom"/>
          </w:tcPr>
          <w:p>
            <w:pPr>
              <w:spacing w:after="0"/>
              <w:rPr>
                <w:sz w:val="1"/>
                <w:szCs w:val="1"/>
                <w:color w:val="auto"/>
              </w:rPr>
            </w:pPr>
          </w:p>
        </w:tc>
      </w:tr>
      <w:tr>
        <w:trPr>
          <w:trHeight w:val="273"/>
        </w:trPr>
        <w:tc>
          <w:tcPr>
            <w:tcW w:w="3300" w:type="dxa"/>
            <w:vAlign w:val="bottom"/>
          </w:tcPr>
          <w:p>
            <w:pPr>
              <w:spacing w:after="0"/>
              <w:rPr>
                <w:sz w:val="23"/>
                <w:szCs w:val="23"/>
                <w:color w:val="auto"/>
              </w:rPr>
            </w:pPr>
          </w:p>
        </w:tc>
        <w:tc>
          <w:tcPr>
            <w:tcW w:w="144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In the nine months ended June 30, 2005, the Company made contributions of $2,495 to the pension plan and $125 for other benefits. The Company expects that contributions for the fiscal year ending September 30, 2005 will approximate $3,285 to the pension plan and $150 for other benefits.</w:t>
      </w: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6" w:right="1440" w:bottom="1440" w:gutter="0" w:footer="0" w:header="0"/>
        </w:sectPr>
      </w:pPr>
    </w:p>
    <w:bookmarkStart w:id="17" w:name="page18"/>
    <w:bookmarkEnd w:id="17"/>
    <w:p>
      <w:pPr>
        <w:jc w:val="center"/>
        <w:ind w:right="2459"/>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UNAUDITED CONSOLIDATED FINANCIAL STATEMENTS - CONTINUED</w:t>
      </w:r>
    </w:p>
    <w:p>
      <w:pPr>
        <w:spacing w:after="0" w:line="191"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(dollar and share amounts in thousands, except per share data)</w:t>
      </w:r>
    </w:p>
    <w:p>
      <w:pPr>
        <w:spacing w:after="0" w:line="191" w:lineRule="exact"/>
        <w:rPr>
          <w:sz w:val="20"/>
          <w:szCs w:val="20"/>
          <w:color w:val="auto"/>
        </w:rPr>
      </w:pPr>
    </w:p>
    <w:p>
      <w:pPr>
        <w:ind w:left="581" w:hanging="581"/>
        <w:spacing w:after="0"/>
        <w:tabs>
          <w:tab w:leader="none" w:pos="5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91"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Legal Proceedings</w:t>
      </w:r>
    </w:p>
    <w:p>
      <w:pPr>
        <w:spacing w:after="0" w:line="191" w:lineRule="exact"/>
        <w:rPr>
          <w:sz w:val="20"/>
          <w:szCs w:val="20"/>
          <w:color w:val="auto"/>
        </w:rPr>
      </w:pPr>
    </w:p>
    <w:p>
      <w:pPr>
        <w:ind w:left="581" w:right="2559" w:firstLine="581"/>
        <w:spacing w:after="0" w:line="276"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6"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Securities and Exchange Commission Investigation</w:t>
      </w:r>
    </w:p>
    <w:p>
      <w:pPr>
        <w:spacing w:after="0" w:line="191" w:lineRule="exact"/>
        <w:rPr>
          <w:sz w:val="20"/>
          <w:szCs w:val="20"/>
          <w:color w:val="auto"/>
        </w:rPr>
      </w:pPr>
    </w:p>
    <w:p>
      <w:pPr>
        <w:ind w:left="581" w:right="2459" w:firstLine="581"/>
        <w:spacing w:after="0" w:line="260" w:lineRule="auto"/>
        <w:rPr>
          <w:sz w:val="20"/>
          <w:szCs w:val="20"/>
          <w:color w:val="auto"/>
        </w:rPr>
      </w:pPr>
      <w:r>
        <w:rPr>
          <w:rFonts w:ascii="Courier New" w:cs="Courier New" w:eastAsia="Courier New" w:hAnsi="Courier New"/>
          <w:sz w:val="16"/>
          <w:szCs w:val="16"/>
          <w:color w:val="auto"/>
        </w:rPr>
        <w:t>In 2003, the Company was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86"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Guarantor's Accounting and Disclosure Requirements for Guarantees</w:t>
      </w:r>
    </w:p>
    <w:p>
      <w:pPr>
        <w:spacing w:after="0" w:line="191" w:lineRule="exact"/>
        <w:rPr>
          <w:sz w:val="20"/>
          <w:szCs w:val="20"/>
          <w:color w:val="auto"/>
        </w:rPr>
      </w:pPr>
    </w:p>
    <w:p>
      <w:pPr>
        <w:ind w:left="581" w:right="2459" w:firstLine="581"/>
        <w:spacing w:after="0" w:line="260" w:lineRule="auto"/>
        <w:rPr>
          <w:sz w:val="20"/>
          <w:szCs w:val="20"/>
          <w:color w:val="auto"/>
        </w:rPr>
      </w:pPr>
      <w:r>
        <w:rPr>
          <w:rFonts w:ascii="Courier New" w:cs="Courier New" w:eastAsia="Courier New" w:hAnsi="Courier New"/>
          <w:sz w:val="16"/>
          <w:szCs w:val="16"/>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June 30, 2005 and September 30, 2004,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86" w:lineRule="exact"/>
        <w:rPr>
          <w:sz w:val="20"/>
          <w:szCs w:val="20"/>
          <w:color w:val="auto"/>
        </w:rPr>
      </w:pPr>
    </w:p>
    <w:p>
      <w:pPr>
        <w:ind w:left="581" w:right="2459" w:firstLine="581"/>
        <w:spacing w:after="0" w:line="266" w:lineRule="auto"/>
        <w:rPr>
          <w:sz w:val="20"/>
          <w:szCs w:val="20"/>
          <w:color w:val="auto"/>
        </w:rPr>
      </w:pPr>
      <w:r>
        <w:rPr>
          <w:rFonts w:ascii="Courier New" w:cs="Courier New" w:eastAsia="Courier New" w:hAnsi="Courier New"/>
          <w:sz w:val="16"/>
          <w:szCs w:val="16"/>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nine months ended June 30, 2005 and 2004.</w:t>
      </w:r>
    </w:p>
    <w:p>
      <w:pPr>
        <w:spacing w:after="0" w:line="85" w:lineRule="exact"/>
        <w:rPr>
          <w:sz w:val="20"/>
          <w:szCs w:val="20"/>
          <w:color w:val="auto"/>
        </w:rPr>
      </w:pPr>
    </w:p>
    <w:p>
      <w:pPr>
        <w:ind w:left="581" w:right="2559" w:firstLine="581"/>
        <w:spacing w:after="0" w:line="270" w:lineRule="auto"/>
        <w:rPr>
          <w:sz w:val="20"/>
          <w:szCs w:val="20"/>
          <w:color w:val="auto"/>
        </w:rPr>
      </w:pPr>
      <w:r>
        <w:rPr>
          <w:rFonts w:ascii="Courier New" w:cs="Courier New" w:eastAsia="Courier New" w:hAnsi="Courier New"/>
          <w:sz w:val="16"/>
          <w:szCs w:val="16"/>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8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0"/>
          </w:cols>
          <w:pgMar w:left="239" w:top="646" w:right="1440" w:bottom="1440" w:gutter="0" w:footer="0" w:header="0"/>
        </w:sectPr>
      </w:pPr>
    </w:p>
    <w:bookmarkStart w:id="18" w:name="page19"/>
    <w:bookmarkEnd w:id="18"/>
    <w:p>
      <w:pPr>
        <w:spacing w:after="0"/>
        <w:tabs>
          <w:tab w:leader="none" w:pos="860" w:val="left"/>
        </w:tabs>
        <w:rPr>
          <w:sz w:val="20"/>
          <w:szCs w:val="20"/>
          <w:color w:val="auto"/>
        </w:rPr>
      </w:pPr>
      <w:r>
        <w:rPr>
          <w:rFonts w:ascii="Courier New" w:cs="Courier New" w:eastAsia="Courier New" w:hAnsi="Courier New"/>
          <w:sz w:val="16"/>
          <w:szCs w:val="16"/>
          <w:color w:val="auto"/>
        </w:rPr>
        <w:t>ITEM 2.</w:t>
        <w:tab/>
        <w:t>OPERATING AND FINANCIAL REVIEW AND PROSPECTS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 LOOKING STATEMENTS</w:t>
      </w:r>
    </w:p>
    <w:p>
      <w:pPr>
        <w:spacing w:after="0" w:line="191" w:lineRule="exact"/>
        <w:rPr>
          <w:sz w:val="20"/>
          <w:szCs w:val="20"/>
          <w:color w:val="auto"/>
        </w:rPr>
      </w:pPr>
    </w:p>
    <w:p>
      <w:pPr>
        <w:ind w:right="2459" w:firstLine="581"/>
        <w:spacing w:after="0" w:line="254" w:lineRule="auto"/>
        <w:rPr>
          <w:sz w:val="20"/>
          <w:szCs w:val="20"/>
          <w:color w:val="auto"/>
        </w:rPr>
      </w:pPr>
      <w:r>
        <w:rPr>
          <w:rFonts w:ascii="Courier New" w:cs="Courier New" w:eastAsia="Courier New" w:hAnsi="Courier New"/>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99" w:lineRule="exact"/>
        <w:rPr>
          <w:sz w:val="20"/>
          <w:szCs w:val="20"/>
          <w:color w:val="auto"/>
        </w:rPr>
      </w:pPr>
    </w:p>
    <w:p>
      <w:pPr>
        <w:ind w:right="2559" w:firstLine="581"/>
        <w:spacing w:after="0" w:line="256" w:lineRule="auto"/>
        <w:rPr>
          <w:sz w:val="20"/>
          <w:szCs w:val="20"/>
          <w:color w:val="auto"/>
        </w:rPr>
      </w:pPr>
      <w:r>
        <w:rPr>
          <w:rFonts w:ascii="Courier New" w:cs="Courier New" w:eastAsia="Courier New" w:hAnsi="Courier New"/>
          <w:sz w:val="16"/>
          <w:szCs w:val="16"/>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our Annual Report on Form 20-F for fiscal 2004 that we have filed with the United States Securities and Exchange Commission ("SEC").</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INTRODUCTION</w:t>
      </w:r>
    </w:p>
    <w:p>
      <w:pPr>
        <w:spacing w:after="0" w:line="191" w:lineRule="exact"/>
        <w:rPr>
          <w:sz w:val="20"/>
          <w:szCs w:val="20"/>
          <w:color w:val="auto"/>
        </w:rPr>
      </w:pPr>
    </w:p>
    <w:p>
      <w:pPr>
        <w:ind w:right="3139" w:firstLine="581"/>
        <w:spacing w:after="0" w:line="367" w:lineRule="auto"/>
        <w:rPr>
          <w:sz w:val="20"/>
          <w:szCs w:val="20"/>
          <w:color w:val="auto"/>
        </w:rPr>
      </w:pPr>
      <w:r>
        <w:rPr>
          <w:rFonts w:ascii="Courier New" w:cs="Courier New" w:eastAsia="Courier New" w:hAnsi="Courier New"/>
          <w:sz w:val="16"/>
          <w:szCs w:val="16"/>
          <w:color w:val="auto"/>
        </w:rPr>
        <w:t>In this section, we discuss the general financial condition and the results of operations for Amdocs and its subsidiaries including:</w:t>
      </w:r>
    </w:p>
    <w:p>
      <w:pPr>
        <w:spacing w:after="0" w:line="5" w:lineRule="exact"/>
        <w:rPr>
          <w:sz w:val="20"/>
          <w:szCs w:val="20"/>
          <w:color w:val="auto"/>
        </w:rPr>
      </w:pPr>
    </w:p>
    <w:p>
      <w:pPr>
        <w:ind w:left="1160" w:hanging="579"/>
        <w:spacing w:after="0"/>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factors that affect our business,</w:t>
      </w:r>
    </w:p>
    <w:p>
      <w:pPr>
        <w:spacing w:after="0" w:line="191" w:lineRule="exact"/>
        <w:rPr>
          <w:rFonts w:ascii="Courier New" w:cs="Courier New" w:eastAsia="Courier New" w:hAnsi="Courier New"/>
          <w:sz w:val="16"/>
          <w:szCs w:val="16"/>
          <w:color w:val="auto"/>
        </w:rPr>
      </w:pPr>
    </w:p>
    <w:p>
      <w:pPr>
        <w:ind w:left="1160" w:right="2659" w:hanging="579"/>
        <w:spacing w:after="0" w:line="367"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revenue and costs for the three and nine months ended June 30, 2005 and 2004,</w:t>
      </w:r>
    </w:p>
    <w:p>
      <w:pPr>
        <w:spacing w:after="0" w:line="4" w:lineRule="exact"/>
        <w:rPr>
          <w:rFonts w:ascii="Courier New" w:cs="Courier New" w:eastAsia="Courier New" w:hAnsi="Courier New"/>
          <w:sz w:val="16"/>
          <w:szCs w:val="16"/>
          <w:color w:val="auto"/>
        </w:rPr>
      </w:pPr>
    </w:p>
    <w:p>
      <w:pPr>
        <w:ind w:left="1160" w:right="2459" w:hanging="579"/>
        <w:spacing w:after="0" w:line="367"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period to period,</w:t>
      </w:r>
    </w:p>
    <w:p>
      <w:pPr>
        <w:spacing w:after="0" w:line="4"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revenue,</w:t>
      </w:r>
    </w:p>
    <w:p>
      <w:pPr>
        <w:spacing w:after="0" w:line="191"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how all of this affects our overall financial condition,</w:t>
      </w:r>
    </w:p>
    <w:p>
      <w:pPr>
        <w:spacing w:after="0" w:line="191" w:lineRule="exact"/>
        <w:rPr>
          <w:rFonts w:ascii="Courier New" w:cs="Courier New" w:eastAsia="Courier New" w:hAnsi="Courier New"/>
          <w:sz w:val="16"/>
          <w:szCs w:val="16"/>
          <w:color w:val="auto"/>
        </w:rPr>
      </w:pPr>
    </w:p>
    <w:p>
      <w:pPr>
        <w:ind w:left="1160" w:right="2759" w:hanging="579"/>
        <w:spacing w:after="0" w:line="367"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capital expenditures for the three and nine months ended June 30, 2005 and 2004, and</w:t>
      </w:r>
    </w:p>
    <w:p>
      <w:pPr>
        <w:spacing w:after="0" w:line="4" w:lineRule="exact"/>
        <w:rPr>
          <w:rFonts w:ascii="Courier New" w:cs="Courier New" w:eastAsia="Courier New" w:hAnsi="Courier New"/>
          <w:sz w:val="16"/>
          <w:szCs w:val="16"/>
          <w:color w:val="auto"/>
        </w:rPr>
      </w:pPr>
    </w:p>
    <w:p>
      <w:pPr>
        <w:ind w:left="1160" w:right="2659" w:hanging="579"/>
        <w:spacing w:after="0" w:line="367" w:lineRule="auto"/>
        <w:tabs>
          <w:tab w:leader="none" w:pos="11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sources of our cash to pay for future capital expenditures and possible acquisitions.</w:t>
      </w:r>
    </w:p>
    <w:p>
      <w:pPr>
        <w:spacing w:after="0" w:line="5" w:lineRule="exact"/>
        <w:rPr>
          <w:sz w:val="20"/>
          <w:szCs w:val="20"/>
          <w:color w:val="auto"/>
        </w:rPr>
      </w:pPr>
    </w:p>
    <w:p>
      <w:pPr>
        <w:ind w:right="2659" w:firstLine="581"/>
        <w:spacing w:after="0" w:line="287" w:lineRule="auto"/>
        <w:rPr>
          <w:sz w:val="20"/>
          <w:szCs w:val="20"/>
          <w:color w:val="auto"/>
        </w:rPr>
      </w:pPr>
      <w:r>
        <w:rPr>
          <w:rFonts w:ascii="Courier New" w:cs="Courier New" w:eastAsia="Courier New" w:hAnsi="Courier New"/>
          <w:sz w:val="16"/>
          <w:szCs w:val="16"/>
          <w:color w:val="auto"/>
        </w:rPr>
        <w:t>In this section, we also analyze and explain the changes in the specific line items in our consolidated statements of income between the three and nine month periods ended June 30, 2005 and 2004. You should read this section in conjunction with our consolidated financial statements.</w:t>
      </w:r>
    </w:p>
    <w:p>
      <w:pPr>
        <w:spacing w:after="0" w:line="6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4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OVERVIEW OF BUSINESS AND TREND INFORMATION</w:t>
      </w:r>
    </w:p>
    <w:p>
      <w:pPr>
        <w:spacing w:after="0" w:line="191" w:lineRule="exact"/>
        <w:rPr>
          <w:sz w:val="20"/>
          <w:szCs w:val="20"/>
          <w:color w:val="auto"/>
        </w:rPr>
      </w:pPr>
    </w:p>
    <w:p>
      <w:pPr>
        <w:ind w:right="2459" w:firstLine="581"/>
        <w:spacing w:after="0" w:line="255" w:lineRule="auto"/>
        <w:rPr>
          <w:sz w:val="20"/>
          <w:szCs w:val="20"/>
          <w:color w:val="auto"/>
        </w:rPr>
      </w:pPr>
      <w:r>
        <w:rPr>
          <w:rFonts w:ascii="Courier New" w:cs="Courier New" w:eastAsia="Courier New" w:hAnsi="Courier New"/>
          <w:sz w:val="16"/>
          <w:szCs w:val="16"/>
          <w:color w:val="auto"/>
        </w:rPr>
        <w:t>Our market focus is primarily the communications industry, and we are a leading provider of software products and services to that industry. Our addressable market has recently been expanded to include the broadband industry, as a result of the acquisition of DST Innovis. The acquisition not only enlarges our customer base, but also allows us to offer a broader set of customer care and billing solutions to customers in the broadband, satellite and communications services industries. Our products and services help our customers, including broadband cable and satellite companies, move toward an integrated approach to customer management, which we refer to as Integrated Customer Management, or ICM. Our portfolio of product offerings include billing, customer relationship management ("CRM"), order management, self service, service fulfillment, mediation, and content revenue management products, which we refer to, collectively, as Integrated Customer Management Enabling Systems, or ICM Enabling Systems. (In the past, we referred to ICM Enabling Systems as CC&amp;B Systems).</w:t>
      </w:r>
    </w:p>
    <w:p>
      <w:pPr>
        <w:spacing w:after="0" w:line="93"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6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Our ICM Enabling Systems are designed to meet the mission-critical needs of leading communications service providers throughout the entire customer lifecycle. We support different lines of business, including wireline, wireless, cable and satellite, and a wide range of communications services, including voice, video, data, Internet Protocol ("IP") broadband, content, electronic and mobile commerce and IP- based services. We also support companies that offer multiple service packages, commonly referred to as bundled or convergent service packages.</w:t>
      </w:r>
    </w:p>
    <w:p>
      <w:pPr>
        <w:spacing w:after="0" w:line="82" w:lineRule="exact"/>
        <w:rPr>
          <w:sz w:val="20"/>
          <w:szCs w:val="20"/>
          <w:color w:val="auto"/>
        </w:rPr>
      </w:pPr>
    </w:p>
    <w:p>
      <w:pPr>
        <w:ind w:right="2459" w:firstLine="581"/>
        <w:spacing w:after="0" w:line="261" w:lineRule="auto"/>
        <w:rPr>
          <w:sz w:val="20"/>
          <w:szCs w:val="20"/>
          <w:color w:val="auto"/>
        </w:rPr>
      </w:pPr>
      <w:r>
        <w:rPr>
          <w:rFonts w:ascii="Courier New" w:cs="Courier New" w:eastAsia="Courier New" w:hAnsi="Courier New"/>
          <w:sz w:val="16"/>
          <w:szCs w:val="16"/>
          <w:color w:val="auto"/>
        </w:rPr>
        <w:t>Due to the complexity of our customers' projects and the expertise required for systems support, we also provide information technology, or IT, services, including extensive IT consulting, strategy, system implementation,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billing services and communications facility management services, in all cases on either or a combination of a fixed or unit charge basis to our customers.</w:t>
      </w:r>
    </w:p>
    <w:p>
      <w:pPr>
        <w:spacing w:after="0" w:line="89" w:lineRule="exact"/>
        <w:rPr>
          <w:sz w:val="20"/>
          <w:szCs w:val="20"/>
          <w:color w:val="auto"/>
        </w:rPr>
      </w:pPr>
    </w:p>
    <w:p>
      <w:pPr>
        <w:ind w:right="2659" w:firstLine="581"/>
        <w:spacing w:after="0" w:line="276" w:lineRule="auto"/>
        <w:rPr>
          <w:sz w:val="20"/>
          <w:szCs w:val="20"/>
          <w:color w:val="auto"/>
        </w:rPr>
      </w:pPr>
      <w:r>
        <w:rPr>
          <w:rFonts w:ascii="Courier New" w:cs="Courier New" w:eastAsia="Courier New" w:hAnsi="Courier New"/>
          <w:sz w:val="16"/>
          <w:szCs w:val="16"/>
          <w:color w:val="auto"/>
        </w:rPr>
        <w:t>Our business is conducted on a global basis. We maintain six development facilities located in Canada, Cyprus, India, Ireland, Israel and the United States. We expect our development center in India to grow and support the overall activity of our business worldwide at comparatively lower operating costs.</w:t>
      </w:r>
    </w:p>
    <w:p>
      <w:pPr>
        <w:spacing w:after="0" w:line="76"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As part of our strategy, we have pursued and may continue to pursue acquisitions and other initiatives in order to offer new products or services or otherwise enhance our market position or strategic strengths.</w:t>
      </w:r>
    </w:p>
    <w:p>
      <w:pPr>
        <w:spacing w:after="0" w:line="5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We derive our revenue principally from:</w:t>
      </w:r>
    </w:p>
    <w:p>
      <w:pPr>
        <w:spacing w:after="0" w:line="191" w:lineRule="exact"/>
        <w:rPr>
          <w:sz w:val="20"/>
          <w:szCs w:val="20"/>
          <w:color w:val="auto"/>
        </w:rPr>
      </w:pPr>
    </w:p>
    <w:p>
      <w:pPr>
        <w:ind w:left="1160" w:right="2859" w:hanging="579"/>
        <w:spacing w:after="0" w:line="307"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49" w:lineRule="exact"/>
        <w:rPr>
          <w:rFonts w:ascii="Courier New" w:cs="Courier New" w:eastAsia="Courier New" w:hAnsi="Courier New"/>
          <w:sz w:val="16"/>
          <w:szCs w:val="16"/>
          <w:color w:val="auto"/>
        </w:rPr>
      </w:pPr>
    </w:p>
    <w:p>
      <w:pPr>
        <w:ind w:left="1160" w:right="3139" w:hanging="579"/>
        <w:spacing w:after="0" w:line="367"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Managed Services and other related services for our solutions, and</w:t>
      </w:r>
    </w:p>
    <w:p>
      <w:pPr>
        <w:spacing w:after="0" w:line="4" w:lineRule="exact"/>
        <w:rPr>
          <w:rFonts w:ascii="Courier New" w:cs="Courier New" w:eastAsia="Courier New" w:hAnsi="Courier New"/>
          <w:sz w:val="16"/>
          <w:szCs w:val="16"/>
          <w:color w:val="auto"/>
        </w:rPr>
      </w:pPr>
    </w:p>
    <w:p>
      <w:pPr>
        <w:ind w:left="1160" w:right="2659" w:hanging="579"/>
        <w:spacing w:after="0" w:line="307" w:lineRule="auto"/>
        <w:tabs>
          <w:tab w:leader="none" w:pos="1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recurring revenue from ongoing support and maintenance provided to our customers, and from incremental license fees resulting from increases in a customer's business volume.</w:t>
      </w:r>
    </w:p>
    <w:p>
      <w:pPr>
        <w:spacing w:after="0" w:line="50" w:lineRule="exact"/>
        <w:rPr>
          <w:sz w:val="20"/>
          <w:szCs w:val="20"/>
          <w:color w:val="auto"/>
        </w:rPr>
      </w:pPr>
    </w:p>
    <w:p>
      <w:pPr>
        <w:ind w:right="2559" w:firstLine="581"/>
        <w:spacing w:after="0" w:line="307" w:lineRule="auto"/>
        <w:rPr>
          <w:sz w:val="20"/>
          <w:szCs w:val="20"/>
          <w:color w:val="auto"/>
        </w:rPr>
      </w:pPr>
      <w:r>
        <w:rPr>
          <w:rFonts w:ascii="Courier New" w:cs="Courier New" w:eastAsia="Courier New" w:hAnsi="Courier New"/>
          <w:sz w:val="16"/>
          <w:szCs w:val="16"/>
          <w:color w:val="auto"/>
        </w:rPr>
        <w:t>Revenue is recognized only when all of the following conditions have been met: (i) there is persuasive evidence of an arrangement; (ii) delivery has occurred; (iii) the fee is fixed and determinable; and (iv)</w:t>
      </w: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46" w:right="1440" w:bottom="1440" w:gutter="0" w:footer="0" w:header="0"/>
        </w:sectPr>
      </w:pPr>
    </w:p>
    <w:bookmarkStart w:id="20" w:name="page21"/>
    <w:bookmarkEnd w:id="20"/>
    <w:p>
      <w:pPr>
        <w:ind w:right="2459"/>
        <w:spacing w:after="0" w:line="251" w:lineRule="auto"/>
        <w:rPr>
          <w:sz w:val="20"/>
          <w:szCs w:val="20"/>
          <w:color w:val="auto"/>
        </w:rPr>
      </w:pPr>
      <w:r>
        <w:rPr>
          <w:rFonts w:ascii="Courier New" w:cs="Courier New" w:eastAsia="Courier New" w:hAnsi="Courier New"/>
          <w:sz w:val="16"/>
          <w:szCs w:val="16"/>
          <w:color w:val="auto"/>
        </w:rPr>
        <w:t>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03"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Our business is subject to the effects of general global economic conditions and, in particular, market conditions in the communications industry. The telecommunications industry is being transformed by the trend of continued consolidation which we believe accelerates the needs for a carrier to operate its system while simultaneously reducing the total cost of ownership. We believe we are well positioned to take advantage of this trend. At the same time, we believe the acquisitions of DST Innovis and Longshine have expanded our addressable markets and propelled us into a leadership position in the broadband industry, as well as in the Chinese market. As a result, and despite the uncertainties that still exist in the market, including those associated with consolidation, we expect continued growth in the coming quarters.</w:t>
      </w:r>
    </w:p>
    <w:p>
      <w:pPr>
        <w:spacing w:after="0" w:line="93" w:lineRule="exact"/>
        <w:rPr>
          <w:sz w:val="20"/>
          <w:szCs w:val="20"/>
          <w:color w:val="auto"/>
        </w:rPr>
      </w:pPr>
    </w:p>
    <w:p>
      <w:pPr>
        <w:ind w:right="2559" w:firstLine="581"/>
        <w:spacing w:after="0" w:line="287" w:lineRule="auto"/>
        <w:rPr>
          <w:sz w:val="20"/>
          <w:szCs w:val="20"/>
          <w:color w:val="auto"/>
        </w:rPr>
      </w:pPr>
      <w:r>
        <w:rPr>
          <w:rFonts w:ascii="Courier New" w:cs="Courier New" w:eastAsia="Courier New" w:hAnsi="Courier New"/>
          <w:sz w:val="16"/>
          <w:szCs w:val="16"/>
          <w:color w:val="auto"/>
        </w:rPr>
        <w:t>We believe that we are a leading global provider of ICM Enabling Systems. We provide a broad set of products, with proven functionality and scalability, accompanied by a comprehensive range of business consulting, system implementation and integration services.</w:t>
      </w:r>
    </w:p>
    <w:p>
      <w:pPr>
        <w:spacing w:after="0" w:line="65" w:lineRule="exact"/>
        <w:rPr>
          <w:sz w:val="20"/>
          <w:szCs w:val="20"/>
          <w:color w:val="auto"/>
        </w:rPr>
      </w:pPr>
    </w:p>
    <w:p>
      <w:pPr>
        <w:ind w:right="2759" w:firstLine="581"/>
        <w:spacing w:after="0" w:line="367" w:lineRule="auto"/>
        <w:rPr>
          <w:sz w:val="20"/>
          <w:szCs w:val="20"/>
          <w:color w:val="auto"/>
        </w:rPr>
      </w:pPr>
      <w:r>
        <w:rPr>
          <w:rFonts w:ascii="Courier New" w:cs="Courier New" w:eastAsia="Courier New" w:hAnsi="Courier New"/>
          <w:sz w:val="16"/>
          <w:szCs w:val="16"/>
          <w:color w:val="auto"/>
        </w:rPr>
        <w:t>We believe that demand for our ICM Enabling Systems is driven by, among other key factors:</w:t>
      </w:r>
    </w:p>
    <w:p>
      <w:pPr>
        <w:spacing w:after="0" w:line="5" w:lineRule="exact"/>
        <w:rPr>
          <w:sz w:val="20"/>
          <w:szCs w:val="20"/>
          <w:color w:val="auto"/>
        </w:rPr>
      </w:pPr>
    </w:p>
    <w:p>
      <w:pPr>
        <w:ind w:left="1160" w:hanging="579"/>
        <w:spacing w:after="0"/>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global use of communications services,</w:t>
      </w:r>
    </w:p>
    <w:p>
      <w:pPr>
        <w:spacing w:after="0" w:line="191" w:lineRule="exact"/>
        <w:rPr>
          <w:rFonts w:ascii="Courier New" w:cs="Courier New" w:eastAsia="Courier New" w:hAnsi="Courier New"/>
          <w:sz w:val="16"/>
          <w:szCs w:val="16"/>
          <w:color w:val="auto"/>
        </w:rPr>
      </w:pPr>
    </w:p>
    <w:p>
      <w:pPr>
        <w:ind w:left="1160" w:right="2559" w:hanging="579"/>
        <w:spacing w:after="0" w:line="307"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emergence of new communications products and services, especially IP, video, broadband, data and content services and IPTV (Internet Protocol Television),</w:t>
      </w:r>
    </w:p>
    <w:p>
      <w:pPr>
        <w:spacing w:after="0" w:line="49" w:lineRule="exact"/>
        <w:rPr>
          <w:rFonts w:ascii="Courier New" w:cs="Courier New" w:eastAsia="Courier New" w:hAnsi="Courier New"/>
          <w:sz w:val="16"/>
          <w:szCs w:val="16"/>
          <w:color w:val="auto"/>
        </w:rPr>
      </w:pPr>
    </w:p>
    <w:p>
      <w:pPr>
        <w:ind w:left="1160" w:right="2459" w:hanging="579"/>
        <w:spacing w:after="0" w:line="307"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technological changes, such as the introduction of wireless Internet services via GPRS (General Packet Radio Services) and UMTS (Universal Mobile Telecommunications System) technology,</w:t>
      </w:r>
    </w:p>
    <w:p>
      <w:pPr>
        <w:spacing w:after="0" w:line="49"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ongoing consolidation within the communications industry,</w:t>
      </w:r>
    </w:p>
    <w:p>
      <w:pPr>
        <w:spacing w:after="0" w:line="191" w:lineRule="exact"/>
        <w:rPr>
          <w:rFonts w:ascii="Courier New" w:cs="Courier New" w:eastAsia="Courier New" w:hAnsi="Courier New"/>
          <w:sz w:val="16"/>
          <w:szCs w:val="16"/>
          <w:color w:val="auto"/>
        </w:rPr>
      </w:pPr>
    </w:p>
    <w:p>
      <w:pPr>
        <w:ind w:left="1160" w:right="2959" w:hanging="579"/>
        <w:spacing w:after="0" w:line="367"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continued convergence of communications services, broadband cable and satellite industries,</w:t>
      </w:r>
    </w:p>
    <w:p>
      <w:pPr>
        <w:spacing w:after="0" w:line="4" w:lineRule="exact"/>
        <w:rPr>
          <w:rFonts w:ascii="Courier New" w:cs="Courier New" w:eastAsia="Courier New" w:hAnsi="Courier New"/>
          <w:sz w:val="16"/>
          <w:szCs w:val="16"/>
          <w:color w:val="auto"/>
        </w:rPr>
      </w:pPr>
    </w:p>
    <w:p>
      <w:pPr>
        <w:ind w:left="1160" w:right="2859" w:hanging="579"/>
        <w:spacing w:after="0" w:line="307" w:lineRule="auto"/>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business needs of communications service providers to reduce costs and retain high value customers in a highly competitive environment, and</w:t>
      </w:r>
    </w:p>
    <w:p>
      <w:pPr>
        <w:spacing w:after="0" w:line="49" w:lineRule="exact"/>
        <w:rPr>
          <w:rFonts w:ascii="Courier New" w:cs="Courier New" w:eastAsia="Courier New" w:hAnsi="Courier New"/>
          <w:sz w:val="16"/>
          <w:szCs w:val="16"/>
          <w:color w:val="auto"/>
        </w:rPr>
      </w:pPr>
    </w:p>
    <w:p>
      <w:pPr>
        <w:ind w:left="1160" w:hanging="579"/>
        <w:spacing w:after="0"/>
        <w:tabs>
          <w:tab w:leader="none" w:pos="11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shift from in-house management to vendor solutions.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46" w:right="1440" w:bottom="1440" w:gutter="0" w:footer="0" w:header="0"/>
        </w:sectPr>
      </w:pPr>
    </w:p>
    <w:bookmarkStart w:id="21" w:name="page22"/>
    <w:bookmarkEnd w:id="21"/>
    <w:p>
      <w:pPr>
        <w:ind w:right="2459" w:firstLine="581"/>
        <w:spacing w:after="0" w:line="270" w:lineRule="auto"/>
        <w:rPr>
          <w:sz w:val="20"/>
          <w:szCs w:val="20"/>
          <w:color w:val="auto"/>
        </w:rPr>
      </w:pPr>
      <w:r>
        <w:rPr>
          <w:rFonts w:ascii="Courier New" w:cs="Courier New" w:eastAsia="Courier New" w:hAnsi="Courier New"/>
          <w:sz w:val="16"/>
          <w:szCs w:val="16"/>
          <w:color w:val="auto"/>
        </w:rPr>
        <w:t>We also believe that additional drivers of demand are the continuing trend for communications service providers to offer their subscribers multiple service packages, commonly referred to as bundled or convergent services (combinations of voice, broadband, electronic and mobile commerce and IP services), and the ability of our ICM Enabling Systems to improve customer satisfaction, loyalty, profitability and overall productivity.</w:t>
      </w:r>
    </w:p>
    <w:p>
      <w:pPr>
        <w:spacing w:after="0" w:line="81" w:lineRule="exact"/>
        <w:rPr>
          <w:sz w:val="20"/>
          <w:szCs w:val="20"/>
          <w:color w:val="auto"/>
        </w:rPr>
      </w:pPr>
    </w:p>
    <w:p>
      <w:pPr>
        <w:ind w:right="2559"/>
        <w:spacing w:after="0" w:line="256" w:lineRule="auto"/>
        <w:rPr>
          <w:sz w:val="20"/>
          <w:szCs w:val="20"/>
          <w:color w:val="auto"/>
        </w:rPr>
      </w:pPr>
      <w:r>
        <w:rPr>
          <w:rFonts w:ascii="Courier New" w:cs="Courier New" w:eastAsia="Courier New" w:hAnsi="Courier New"/>
          <w:sz w:val="16"/>
          <w:szCs w:val="16"/>
          <w:color w:val="auto"/>
        </w:rPr>
        <w:t>Revenue from Managed Services arrangements is included in both license and service revenue from the sale of ICM Enabling Systems and Directory Systems.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each of the nine month periods ended June 30, 2005 and 2004 was approximately 40% of total revenue.</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right="2759" w:firstLine="581"/>
        <w:spacing w:after="0" w:line="307" w:lineRule="auto"/>
        <w:rPr>
          <w:sz w:val="20"/>
          <w:szCs w:val="20"/>
          <w:color w:val="auto"/>
        </w:rPr>
      </w:pPr>
      <w:r>
        <w:rPr>
          <w:rFonts w:ascii="Courier New" w:cs="Courier New" w:eastAsia="Courier New" w:hAnsi="Courier New"/>
          <w:sz w:val="16"/>
          <w:szCs w:val="16"/>
          <w:color w:val="auto"/>
        </w:rPr>
        <w:t>The following table sets forth for the three and nine months ended June 30, 2005 and 2004 certain items in our consolidated statements of income reflected as a percentage of total revenue: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5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THREE MONTHS ENDED</w:t>
            </w:r>
          </w:p>
        </w:tc>
        <w:tc>
          <w:tcPr>
            <w:tcW w:w="19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25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JUNE 30,</w:t>
            </w:r>
          </w:p>
        </w:tc>
        <w:tc>
          <w:tcPr>
            <w:tcW w:w="19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540" w:type="dxa"/>
            <w:vAlign w:val="bottom"/>
            <w:vMerge w:val="restart"/>
          </w:tcPr>
          <w:p>
            <w:pPr>
              <w:ind w:left="580"/>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5"/>
                <w:szCs w:val="15"/>
                <w:color w:val="auto"/>
                <w:w w:val="71"/>
                <w:vertAlign w:val="subscript"/>
              </w:rPr>
              <w:t>2005</w:t>
            </w:r>
          </w:p>
        </w:tc>
        <w:tc>
          <w:tcPr>
            <w:tcW w:w="9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2004</w:t>
            </w:r>
          </w:p>
        </w:tc>
        <w:tc>
          <w:tcPr>
            <w:tcW w:w="19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2005</w:t>
            </w:r>
          </w:p>
        </w:tc>
        <w:tc>
          <w:tcPr>
            <w:tcW w:w="9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2004</w:t>
            </w:r>
          </w:p>
        </w:tc>
        <w:tc>
          <w:tcPr>
            <w:tcW w:w="0" w:type="dxa"/>
            <w:vAlign w:val="bottom"/>
          </w:tcPr>
          <w:p>
            <w:pPr>
              <w:spacing w:after="0"/>
              <w:rPr>
                <w:sz w:val="1"/>
                <w:szCs w:val="1"/>
                <w:color w:val="auto"/>
              </w:rPr>
            </w:pPr>
          </w:p>
        </w:tc>
      </w:tr>
      <w:tr>
        <w:trPr>
          <w:trHeight w:val="273"/>
        </w:trPr>
        <w:tc>
          <w:tcPr>
            <w:tcW w:w="3780" w:type="dxa"/>
            <w:vAlign w:val="bottom"/>
          </w:tcPr>
          <w:p>
            <w:pPr>
              <w:spacing w:after="0"/>
              <w:rPr>
                <w:sz w:val="23"/>
                <w:szCs w:val="23"/>
                <w:color w:val="auto"/>
              </w:rPr>
            </w:pPr>
          </w:p>
        </w:tc>
        <w:tc>
          <w:tcPr>
            <w:tcW w:w="15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w:t>
            </w:r>
          </w:p>
        </w:tc>
        <w:tc>
          <w:tcPr>
            <w:tcW w:w="10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3780" w:type="dxa"/>
            <w:vAlign w:val="bottom"/>
          </w:tcPr>
          <w:p>
            <w:pPr>
              <w:jc w:val="right"/>
              <w:spacing w:after="0" w:line="286" w:lineRule="exact"/>
              <w:rPr>
                <w:sz w:val="20"/>
                <w:szCs w:val="20"/>
                <w:color w:val="auto"/>
              </w:rPr>
            </w:pPr>
            <w:r>
              <w:rPr>
                <w:rFonts w:ascii="Courier New" w:cs="Courier New" w:eastAsia="Courier New" w:hAnsi="Courier New"/>
                <w:sz w:val="32"/>
                <w:szCs w:val="32"/>
                <w:color w:val="auto"/>
                <w:w w:val="87"/>
                <w:vertAlign w:val="superscript"/>
              </w:rPr>
              <w:t>Revenue:</w:t>
            </w:r>
            <w:r>
              <w:rPr>
                <w:rFonts w:ascii="Courier New" w:cs="Courier New" w:eastAsia="Courier New" w:hAnsi="Courier New"/>
                <w:sz w:val="16"/>
                <w:szCs w:val="16"/>
                <w:color w:val="auto"/>
                <w:w w:val="87"/>
              </w:rPr>
              <w:t xml:space="preserve"> .................................</w:t>
            </w:r>
          </w:p>
        </w:tc>
        <w:tc>
          <w:tcPr>
            <w:tcW w:w="1540" w:type="dxa"/>
            <w:vAlign w:val="bottom"/>
            <w:vMerge w:val="restart"/>
          </w:tcPr>
          <w:p>
            <w:pPr>
              <w:jc w:val="right"/>
              <w:ind w:right="200"/>
              <w:spacing w:after="0"/>
              <w:rPr>
                <w:sz w:val="20"/>
                <w:szCs w:val="20"/>
                <w:color w:val="auto"/>
              </w:rPr>
            </w:pPr>
            <w:r>
              <w:rPr>
                <w:rFonts w:ascii="Courier New" w:cs="Courier New" w:eastAsia="Courier New" w:hAnsi="Courier New"/>
                <w:sz w:val="16"/>
                <w:szCs w:val="16"/>
                <w:color w:val="auto"/>
              </w:rPr>
              <w:t>5.4%</w:t>
            </w:r>
          </w:p>
        </w:tc>
        <w:tc>
          <w:tcPr>
            <w:tcW w:w="98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3.8%</w:t>
            </w:r>
          </w:p>
        </w:tc>
        <w:tc>
          <w:tcPr>
            <w:tcW w:w="102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5.1%</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6"/>
        </w:trPr>
        <w:tc>
          <w:tcPr>
            <w:tcW w:w="3780" w:type="dxa"/>
            <w:vAlign w:val="bottom"/>
          </w:tcPr>
          <w:p>
            <w:pPr>
              <w:ind w:left="200"/>
              <w:spacing w:after="0"/>
              <w:rPr>
                <w:sz w:val="20"/>
                <w:szCs w:val="20"/>
                <w:color w:val="auto"/>
              </w:rPr>
            </w:pPr>
            <w:r>
              <w:rPr>
                <w:rFonts w:ascii="Courier New" w:cs="Courier New" w:eastAsia="Courier New" w:hAnsi="Courier New"/>
                <w:sz w:val="16"/>
                <w:szCs w:val="16"/>
                <w:color w:val="auto"/>
              </w:rPr>
              <w:t>License</w:t>
            </w:r>
          </w:p>
        </w:tc>
        <w:tc>
          <w:tcPr>
            <w:tcW w:w="15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w w:val="97"/>
              </w:rPr>
              <w:t>Service.................................</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94.6</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96.2</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94.9</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96.1</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100.0</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100.0</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100.0</w:t>
            </w:r>
          </w:p>
        </w:tc>
        <w:tc>
          <w:tcPr>
            <w:tcW w:w="0" w:type="dxa"/>
            <w:vAlign w:val="bottom"/>
          </w:tcPr>
          <w:p>
            <w:pPr>
              <w:spacing w:after="0"/>
              <w:rPr>
                <w:sz w:val="1"/>
                <w:szCs w:val="1"/>
                <w:color w:val="auto"/>
              </w:rPr>
            </w:pPr>
          </w:p>
        </w:tc>
      </w:tr>
      <w:tr>
        <w:trPr>
          <w:trHeight w:val="273"/>
        </w:trPr>
        <w:tc>
          <w:tcPr>
            <w:tcW w:w="3780" w:type="dxa"/>
            <w:vAlign w:val="bottom"/>
            <w:vMerge w:val="restart"/>
          </w:tcPr>
          <w:p>
            <w:pPr>
              <w:jc w:val="right"/>
              <w:spacing w:after="0"/>
              <w:rPr>
                <w:sz w:val="20"/>
                <w:szCs w:val="20"/>
                <w:color w:val="auto"/>
              </w:rPr>
            </w:pPr>
            <w:r>
              <w:rPr>
                <w:rFonts w:ascii="Courier New" w:cs="Courier New" w:eastAsia="Courier New" w:hAnsi="Courier New"/>
                <w:sz w:val="32"/>
                <w:szCs w:val="32"/>
                <w:color w:val="auto"/>
                <w:w w:val="77"/>
                <w:vertAlign w:val="superscript"/>
              </w:rPr>
              <w:t>Operating expenses:</w:t>
            </w:r>
            <w:r>
              <w:rPr>
                <w:rFonts w:ascii="Courier New" w:cs="Courier New" w:eastAsia="Courier New" w:hAnsi="Courier New"/>
                <w:sz w:val="16"/>
                <w:szCs w:val="16"/>
                <w:color w:val="auto"/>
                <w:w w:val="77"/>
              </w:rPr>
              <w:t>.........................</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00"/>
        </w:trPr>
        <w:tc>
          <w:tcPr>
            <w:tcW w:w="3780" w:type="dxa"/>
            <w:vAlign w:val="bottom"/>
            <w:vMerge w:val="continue"/>
          </w:tcPr>
          <w:p>
            <w:pPr>
              <w:spacing w:after="0"/>
              <w:rPr>
                <w:sz w:val="8"/>
                <w:szCs w:val="8"/>
                <w:color w:val="auto"/>
              </w:rPr>
            </w:pPr>
          </w:p>
        </w:tc>
        <w:tc>
          <w:tcPr>
            <w:tcW w:w="154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0.2</w:t>
            </w:r>
          </w:p>
        </w:tc>
        <w:tc>
          <w:tcPr>
            <w:tcW w:w="9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0.3</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0.2</w:t>
            </w:r>
          </w:p>
        </w:tc>
        <w:tc>
          <w:tcPr>
            <w:tcW w:w="9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6"/>
        </w:trPr>
        <w:tc>
          <w:tcPr>
            <w:tcW w:w="3780" w:type="dxa"/>
            <w:vAlign w:val="bottom"/>
          </w:tcPr>
          <w:p>
            <w:pPr>
              <w:ind w:left="200"/>
              <w:spacing w:after="0"/>
              <w:rPr>
                <w:sz w:val="20"/>
                <w:szCs w:val="20"/>
                <w:color w:val="auto"/>
              </w:rPr>
            </w:pPr>
            <w:r>
              <w:rPr>
                <w:rFonts w:ascii="Courier New" w:cs="Courier New" w:eastAsia="Courier New" w:hAnsi="Courier New"/>
                <w:sz w:val="16"/>
                <w:szCs w:val="16"/>
                <w:color w:val="auto"/>
              </w:rPr>
              <w:t>Cost of license</w:t>
            </w:r>
          </w:p>
        </w:tc>
        <w:tc>
          <w:tcPr>
            <w:tcW w:w="15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w w:val="97"/>
              </w:rPr>
              <w:t>Cost of service.........................</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63.9</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62.9</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63.4</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63.1</w:t>
            </w:r>
          </w:p>
        </w:tc>
        <w:tc>
          <w:tcPr>
            <w:tcW w:w="0" w:type="dxa"/>
            <w:vAlign w:val="bottom"/>
          </w:tcPr>
          <w:p>
            <w:pPr>
              <w:spacing w:after="0"/>
              <w:rPr>
                <w:sz w:val="1"/>
                <w:szCs w:val="1"/>
                <w:color w:val="auto"/>
              </w:rPr>
            </w:pPr>
          </w:p>
        </w:tc>
      </w:tr>
      <w:tr>
        <w:trPr>
          <w:trHeight w:val="186"/>
        </w:trPr>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w w:val="97"/>
              </w:rPr>
              <w:t>Research and development................</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6.2</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6.7</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w:t>
            </w:r>
          </w:p>
        </w:tc>
        <w:tc>
          <w:tcPr>
            <w:tcW w:w="0" w:type="dxa"/>
            <w:vAlign w:val="bottom"/>
          </w:tcPr>
          <w:p>
            <w:pPr>
              <w:spacing w:after="0"/>
              <w:rPr>
                <w:sz w:val="1"/>
                <w:szCs w:val="1"/>
                <w:color w:val="auto"/>
              </w:rPr>
            </w:pPr>
          </w:p>
        </w:tc>
      </w:tr>
      <w:tr>
        <w:trPr>
          <w:trHeight w:val="186"/>
        </w:trPr>
        <w:tc>
          <w:tcPr>
            <w:tcW w:w="3780" w:type="dxa"/>
            <w:vAlign w:val="bottom"/>
          </w:tcPr>
          <w:p>
            <w:pPr>
              <w:jc w:val="right"/>
              <w:spacing w:after="0" w:line="186" w:lineRule="exact"/>
              <w:rPr>
                <w:sz w:val="20"/>
                <w:szCs w:val="20"/>
                <w:color w:val="auto"/>
              </w:rPr>
            </w:pPr>
            <w:r>
              <w:rPr>
                <w:rFonts w:ascii="Courier New" w:cs="Courier New" w:eastAsia="Courier New" w:hAnsi="Courier New"/>
                <w:sz w:val="21"/>
                <w:szCs w:val="21"/>
                <w:color w:val="auto"/>
                <w:vertAlign w:val="superscript"/>
              </w:rPr>
              <w:t>Selling, general</w:t>
            </w:r>
            <w:r>
              <w:rPr>
                <w:rFonts w:ascii="Courier New" w:cs="Courier New" w:eastAsia="Courier New" w:hAnsi="Courier New"/>
                <w:sz w:val="12"/>
                <w:szCs w:val="12"/>
                <w:color w:val="auto"/>
              </w:rPr>
              <w:t>........................</w:t>
            </w:r>
            <w:r>
              <w:rPr>
                <w:rFonts w:ascii="Courier New" w:cs="Courier New" w:eastAsia="Courier New" w:hAnsi="Courier New"/>
                <w:sz w:val="21"/>
                <w:szCs w:val="21"/>
                <w:color w:val="auto"/>
                <w:vertAlign w:val="superscript"/>
              </w:rPr>
              <w:t>and</w:t>
            </w:r>
          </w:p>
        </w:tc>
        <w:tc>
          <w:tcPr>
            <w:tcW w:w="154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11.1</w:t>
            </w:r>
          </w:p>
        </w:tc>
        <w:tc>
          <w:tcPr>
            <w:tcW w:w="9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11.7</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11.3</w:t>
            </w:r>
          </w:p>
        </w:tc>
        <w:tc>
          <w:tcPr>
            <w:tcW w:w="9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12.0</w:t>
            </w:r>
          </w:p>
        </w:tc>
        <w:tc>
          <w:tcPr>
            <w:tcW w:w="0" w:type="dxa"/>
            <w:vAlign w:val="bottom"/>
          </w:tcPr>
          <w:p>
            <w:pPr>
              <w:spacing w:after="0"/>
              <w:rPr>
                <w:sz w:val="1"/>
                <w:szCs w:val="1"/>
                <w:color w:val="auto"/>
              </w:rPr>
            </w:pPr>
          </w:p>
        </w:tc>
      </w:tr>
      <w:tr>
        <w:trPr>
          <w:trHeight w:val="186"/>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administrative</w:t>
            </w:r>
          </w:p>
        </w:tc>
        <w:tc>
          <w:tcPr>
            <w:tcW w:w="15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Pr>
          <w:p>
            <w:pPr>
              <w:jc w:val="right"/>
              <w:spacing w:after="0" w:line="186" w:lineRule="exact"/>
              <w:rPr>
                <w:sz w:val="20"/>
                <w:szCs w:val="20"/>
                <w:color w:val="auto"/>
              </w:rPr>
            </w:pPr>
            <w:r>
              <w:rPr>
                <w:rFonts w:ascii="Courier New" w:cs="Courier New" w:eastAsia="Courier New" w:hAnsi="Courier New"/>
                <w:sz w:val="12"/>
                <w:szCs w:val="12"/>
                <w:color w:val="auto"/>
              </w:rPr>
              <w:t>Amortization of purchased</w:t>
            </w:r>
            <w:r>
              <w:rPr>
                <w:rFonts w:ascii="Courier New" w:cs="Courier New" w:eastAsia="Courier New" w:hAnsi="Courier New"/>
                <w:sz w:val="21"/>
                <w:szCs w:val="21"/>
                <w:color w:val="auto"/>
                <w:vertAlign w:val="subscript"/>
              </w:rPr>
              <w:t>.....................</w:t>
            </w:r>
          </w:p>
        </w:tc>
        <w:tc>
          <w:tcPr>
            <w:tcW w:w="1540" w:type="dxa"/>
            <w:vAlign w:val="bottom"/>
            <w:vMerge w:val="restart"/>
          </w:tcPr>
          <w:p>
            <w:pPr>
              <w:jc w:val="right"/>
              <w:ind w:right="300"/>
              <w:spacing w:after="0"/>
              <w:rPr>
                <w:sz w:val="20"/>
                <w:szCs w:val="20"/>
                <w:color w:val="auto"/>
              </w:rPr>
            </w:pPr>
            <w:r>
              <w:rPr>
                <w:rFonts w:ascii="Courier New" w:cs="Courier New" w:eastAsia="Courier New" w:hAnsi="Courier New"/>
                <w:sz w:val="16"/>
                <w:szCs w:val="16"/>
                <w:color w:val="auto"/>
              </w:rPr>
              <w:t>0.4</w:t>
            </w:r>
          </w:p>
        </w:tc>
        <w:tc>
          <w:tcPr>
            <w:tcW w:w="980" w:type="dxa"/>
            <w:vAlign w:val="bottom"/>
            <w:vMerge w:val="restart"/>
          </w:tcPr>
          <w:p>
            <w:pPr>
              <w:jc w:val="right"/>
              <w:ind w:right="299"/>
              <w:spacing w:after="0"/>
              <w:rPr>
                <w:sz w:val="20"/>
                <w:szCs w:val="20"/>
                <w:color w:val="auto"/>
              </w:rPr>
            </w:pPr>
            <w:r>
              <w:rPr>
                <w:rFonts w:ascii="Courier New" w:cs="Courier New" w:eastAsia="Courier New" w:hAnsi="Courier New"/>
                <w:sz w:val="16"/>
                <w:szCs w:val="16"/>
                <w:color w:val="auto"/>
              </w:rPr>
              <w:t>1.0</w:t>
            </w:r>
          </w:p>
        </w:tc>
        <w:tc>
          <w:tcPr>
            <w:tcW w:w="10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0.6</w:t>
            </w:r>
          </w:p>
        </w:tc>
        <w:tc>
          <w:tcPr>
            <w:tcW w:w="920" w:type="dxa"/>
            <w:vAlign w:val="bottom"/>
            <w:vMerge w:val="restart"/>
          </w:tcPr>
          <w:p>
            <w:pPr>
              <w:jc w:val="right"/>
              <w:ind w:right="119"/>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6"/>
        </w:trPr>
        <w:tc>
          <w:tcPr>
            <w:tcW w:w="3780" w:type="dxa"/>
            <w:vAlign w:val="bottom"/>
          </w:tcPr>
          <w:p>
            <w:pPr>
              <w:ind w:left="380"/>
              <w:spacing w:after="0"/>
              <w:rPr>
                <w:sz w:val="20"/>
                <w:szCs w:val="20"/>
                <w:color w:val="auto"/>
              </w:rPr>
            </w:pPr>
            <w:r>
              <w:rPr>
                <w:rFonts w:ascii="Courier New" w:cs="Courier New" w:eastAsia="Courier New" w:hAnsi="Courier New"/>
                <w:sz w:val="16"/>
                <w:szCs w:val="16"/>
                <w:color w:val="auto"/>
              </w:rPr>
              <w:t>intangible assets</w:t>
            </w:r>
          </w:p>
        </w:tc>
        <w:tc>
          <w:tcPr>
            <w:tcW w:w="15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81.8</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82.9</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82.2</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83.4</w:t>
            </w:r>
          </w:p>
        </w:tc>
        <w:tc>
          <w:tcPr>
            <w:tcW w:w="0" w:type="dxa"/>
            <w:vAlign w:val="bottom"/>
          </w:tcPr>
          <w:p>
            <w:pPr>
              <w:spacing w:after="0"/>
              <w:rPr>
                <w:sz w:val="1"/>
                <w:szCs w:val="1"/>
                <w:color w:val="auto"/>
              </w:rPr>
            </w:pPr>
          </w:p>
        </w:tc>
      </w:tr>
      <w:tr>
        <w:trPr>
          <w:trHeight w:val="186"/>
        </w:trPr>
        <w:tc>
          <w:tcPr>
            <w:tcW w:w="3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Operating income..........................</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780" w:type="dxa"/>
            <w:vAlign w:val="bottom"/>
            <w:vMerge w:val="continue"/>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18.2</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17.1</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16.6</w:t>
            </w:r>
          </w:p>
        </w:tc>
        <w:tc>
          <w:tcPr>
            <w:tcW w:w="0" w:type="dxa"/>
            <w:vAlign w:val="bottom"/>
          </w:tcPr>
          <w:p>
            <w:pPr>
              <w:spacing w:after="0"/>
              <w:rPr>
                <w:sz w:val="1"/>
                <w:szCs w:val="1"/>
                <w:color w:val="auto"/>
              </w:rPr>
            </w:pPr>
          </w:p>
        </w:tc>
      </w:tr>
      <w:tr>
        <w:trPr>
          <w:trHeight w:val="186"/>
        </w:trPr>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w w:val="93"/>
              </w:rPr>
              <w:t>Interest income and other, net............</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0.8</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0.0</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0.2</w:t>
            </w:r>
          </w:p>
        </w:tc>
        <w:tc>
          <w:tcPr>
            <w:tcW w:w="0" w:type="dxa"/>
            <w:vAlign w:val="bottom"/>
          </w:tcPr>
          <w:p>
            <w:pPr>
              <w:spacing w:after="0"/>
              <w:rPr>
                <w:sz w:val="1"/>
                <w:szCs w:val="1"/>
                <w:color w:val="auto"/>
              </w:rPr>
            </w:pPr>
          </w:p>
        </w:tc>
      </w:tr>
      <w:tr>
        <w:trPr>
          <w:trHeight w:val="186"/>
        </w:trPr>
        <w:tc>
          <w:tcPr>
            <w:tcW w:w="3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Income before income taxes................</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780" w:type="dxa"/>
            <w:vAlign w:val="bottom"/>
            <w:vMerge w:val="continue"/>
          </w:tcPr>
          <w:p>
            <w:pPr>
              <w:spacing w:after="0"/>
              <w:rPr>
                <w:sz w:val="16"/>
                <w:szCs w:val="16"/>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19.0</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17.1</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18.9</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16.8</w:t>
            </w:r>
          </w:p>
        </w:tc>
        <w:tc>
          <w:tcPr>
            <w:tcW w:w="0" w:type="dxa"/>
            <w:vAlign w:val="bottom"/>
          </w:tcPr>
          <w:p>
            <w:pPr>
              <w:spacing w:after="0"/>
              <w:rPr>
                <w:sz w:val="1"/>
                <w:szCs w:val="1"/>
                <w:color w:val="auto"/>
              </w:rPr>
            </w:pPr>
          </w:p>
        </w:tc>
      </w:tr>
      <w:tr>
        <w:trPr>
          <w:trHeight w:val="186"/>
        </w:trPr>
        <w:tc>
          <w:tcPr>
            <w:tcW w:w="3780" w:type="dxa"/>
            <w:vAlign w:val="bottom"/>
          </w:tcPr>
          <w:p>
            <w:pPr>
              <w:jc w:val="right"/>
              <w:spacing w:after="0"/>
              <w:rPr>
                <w:sz w:val="20"/>
                <w:szCs w:val="20"/>
                <w:color w:val="auto"/>
              </w:rPr>
            </w:pPr>
            <w:r>
              <w:rPr>
                <w:rFonts w:ascii="Courier New" w:cs="Courier New" w:eastAsia="Courier New" w:hAnsi="Courier New"/>
                <w:sz w:val="16"/>
                <w:szCs w:val="16"/>
                <w:color w:val="auto"/>
                <w:w w:val="93"/>
              </w:rPr>
              <w:t>Income taxes..............................</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3.8</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186"/>
        </w:trPr>
        <w:tc>
          <w:tcPr>
            <w:tcW w:w="3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Net income................................</w:t>
            </w: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3780" w:type="dxa"/>
            <w:vAlign w:val="bottom"/>
            <w:vMerge w:val="continue"/>
          </w:tcPr>
          <w:p>
            <w:pPr>
              <w:spacing w:after="0"/>
              <w:rPr>
                <w:sz w:val="16"/>
                <w:szCs w:val="16"/>
                <w:color w:val="auto"/>
              </w:rPr>
            </w:pPr>
          </w:p>
        </w:tc>
        <w:tc>
          <w:tcPr>
            <w:tcW w:w="15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15.2%</w:t>
            </w:r>
          </w:p>
        </w:tc>
        <w:tc>
          <w:tcPr>
            <w:tcW w:w="9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13.3%</w:t>
            </w: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15.1%</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13.1%</w:t>
            </w:r>
          </w:p>
        </w:tc>
        <w:tc>
          <w:tcPr>
            <w:tcW w:w="0" w:type="dxa"/>
            <w:vAlign w:val="bottom"/>
          </w:tcPr>
          <w:p>
            <w:pPr>
              <w:spacing w:after="0"/>
              <w:rPr>
                <w:sz w:val="1"/>
                <w:szCs w:val="1"/>
                <w:color w:val="auto"/>
              </w:rPr>
            </w:pPr>
          </w:p>
        </w:tc>
      </w:tr>
      <w:tr>
        <w:trPr>
          <w:trHeight w:val="273"/>
        </w:trPr>
        <w:tc>
          <w:tcPr>
            <w:tcW w:w="3780" w:type="dxa"/>
            <w:vAlign w:val="bottom"/>
          </w:tcPr>
          <w:p>
            <w:pPr>
              <w:spacing w:after="0"/>
              <w:rPr>
                <w:sz w:val="23"/>
                <w:szCs w:val="23"/>
                <w:color w:val="auto"/>
              </w:rPr>
            </w:pPr>
          </w:p>
        </w:tc>
        <w:tc>
          <w:tcPr>
            <w:tcW w:w="15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59"/>
        </w:trPr>
        <w:tc>
          <w:tcPr>
            <w:tcW w:w="3780" w:type="dxa"/>
            <w:vAlign w:val="bottom"/>
          </w:tcPr>
          <w:p>
            <w:pPr>
              <w:spacing w:after="0"/>
              <w:rPr>
                <w:sz w:val="24"/>
                <w:szCs w:val="24"/>
                <w:color w:val="auto"/>
              </w:rPr>
            </w:pPr>
          </w:p>
        </w:tc>
        <w:tc>
          <w:tcPr>
            <w:tcW w:w="1540" w:type="dxa"/>
            <w:vAlign w:val="bottom"/>
          </w:tcPr>
          <w:p>
            <w:pPr>
              <w:jc w:val="right"/>
              <w:ind w:right="1260"/>
              <w:spacing w:after="0"/>
              <w:rPr>
                <w:sz w:val="20"/>
                <w:szCs w:val="20"/>
                <w:color w:val="auto"/>
              </w:rPr>
            </w:pPr>
            <w:r>
              <w:rPr>
                <w:rFonts w:ascii="Courier New" w:cs="Courier New" w:eastAsia="Courier New" w:hAnsi="Courier New"/>
                <w:sz w:val="16"/>
                <w:szCs w:val="16"/>
                <w:color w:val="auto"/>
                <w:w w:val="93"/>
              </w:rPr>
              <w:t>21</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46" w:right="1440" w:bottom="1440" w:gutter="0" w:footer="0" w:header="0"/>
        </w:sectPr>
      </w:pPr>
    </w:p>
    <w:bookmarkStart w:id="22" w:name="page23"/>
    <w:bookmarkEnd w:id="22"/>
    <w:p>
      <w:pPr>
        <w:ind w:left="580"/>
        <w:spacing w:after="0"/>
        <w:rPr>
          <w:sz w:val="20"/>
          <w:szCs w:val="20"/>
          <w:color w:val="auto"/>
        </w:rPr>
      </w:pPr>
      <w:r>
        <w:rPr>
          <w:rFonts w:ascii="Courier New" w:cs="Courier New" w:eastAsia="Courier New" w:hAnsi="Courier New"/>
          <w:sz w:val="16"/>
          <w:szCs w:val="16"/>
          <w:color w:val="auto"/>
        </w:rPr>
        <w:t>NINE MONTHS ENDED JUNE 30, 2005 AND 2004</w:t>
      </w:r>
    </w:p>
    <w:p>
      <w:pPr>
        <w:spacing w:after="0" w:line="191" w:lineRule="exact"/>
        <w:rPr>
          <w:sz w:val="20"/>
          <w:szCs w:val="20"/>
          <w:color w:val="auto"/>
        </w:rPr>
      </w:pPr>
    </w:p>
    <w:p>
      <w:pPr>
        <w:ind w:right="2659" w:firstLine="581"/>
        <w:spacing w:after="0" w:line="287"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nine months ended June 30, 2005 compared to the nine months ended June 30, 2004. Following the table is a discussion and analysis of our business and results of operations for such periods.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NINE MONTHS ENDED</w:t>
            </w:r>
          </w:p>
        </w:tc>
        <w:tc>
          <w:tcPr>
            <w:tcW w:w="2020" w:type="dxa"/>
            <w:vAlign w:val="bottom"/>
            <w:gridSpan w:val="3"/>
            <w:vMerge w:val="restart"/>
          </w:tcPr>
          <w:p>
            <w:pPr>
              <w:ind w:left="100"/>
              <w:spacing w:after="0"/>
              <w:rPr>
                <w:sz w:val="20"/>
                <w:szCs w:val="20"/>
                <w:color w:val="auto"/>
              </w:rPr>
            </w:pPr>
            <w:r>
              <w:rPr>
                <w:rFonts w:ascii="Courier New" w:cs="Courier New" w:eastAsia="Courier New" w:hAnsi="Courier New"/>
                <w:sz w:val="16"/>
                <w:szCs w:val="16"/>
                <w:color w:val="auto"/>
              </w:rPr>
              <w:t>INCREASE (DECREASE)</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3"/>
          </w:tcPr>
          <w:p>
            <w:pPr>
              <w:jc w:val="right"/>
              <w:ind w:right="999"/>
              <w:spacing w:after="0"/>
              <w:rPr>
                <w:sz w:val="20"/>
                <w:szCs w:val="20"/>
                <w:color w:val="auto"/>
              </w:rPr>
            </w:pPr>
            <w:r>
              <w:rPr>
                <w:rFonts w:ascii="Courier New" w:cs="Courier New" w:eastAsia="Courier New" w:hAnsi="Courier New"/>
                <w:sz w:val="16"/>
                <w:szCs w:val="16"/>
                <w:color w:val="auto"/>
              </w:rPr>
              <w:t>JUNE 30,</w:t>
            </w:r>
          </w:p>
        </w:tc>
        <w:tc>
          <w:tcPr>
            <w:tcW w:w="2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960" w:type="dxa"/>
            <w:vAlign w:val="bottom"/>
            <w:vMerge w:val="restart"/>
          </w:tcPr>
          <w:p>
            <w:pPr>
              <w:jc w:val="right"/>
              <w:ind w:right="399"/>
              <w:spacing w:after="0"/>
              <w:rPr>
                <w:sz w:val="20"/>
                <w:szCs w:val="20"/>
                <w:color w:val="auto"/>
              </w:rPr>
            </w:pPr>
            <w:r>
              <w:rPr>
                <w:rFonts w:ascii="Courier New" w:cs="Courier New" w:eastAsia="Courier New" w:hAnsi="Courier New"/>
                <w:sz w:val="16"/>
                <w:szCs w:val="16"/>
                <w:color w:val="auto"/>
              </w:rPr>
              <w:t>2005</w:t>
            </w:r>
          </w:p>
        </w:tc>
        <w:tc>
          <w:tcPr>
            <w:tcW w:w="340" w:type="dxa"/>
            <w:vAlign w:val="bottom"/>
          </w:tcPr>
          <w:p>
            <w:pPr>
              <w:spacing w:after="0"/>
              <w:rPr>
                <w:sz w:val="16"/>
                <w:szCs w:val="16"/>
                <w:color w:val="auto"/>
              </w:rPr>
            </w:pPr>
          </w:p>
        </w:tc>
        <w:tc>
          <w:tcPr>
            <w:tcW w:w="1220" w:type="dxa"/>
            <w:vAlign w:val="bottom"/>
            <w:vMerge w:val="restart"/>
          </w:tcPr>
          <w:p>
            <w:pPr>
              <w:jc w:val="right"/>
              <w:ind w:right="599"/>
              <w:spacing w:after="0"/>
              <w:rPr>
                <w:sz w:val="20"/>
                <w:szCs w:val="20"/>
                <w:color w:val="auto"/>
              </w:rPr>
            </w:pPr>
            <w:r>
              <w:rPr>
                <w:rFonts w:ascii="Courier New" w:cs="Courier New" w:eastAsia="Courier New" w:hAnsi="Courier New"/>
                <w:sz w:val="16"/>
                <w:szCs w:val="16"/>
                <w:color w:val="auto"/>
              </w:rPr>
              <w:t>2004</w:t>
            </w:r>
          </w:p>
        </w:tc>
        <w:tc>
          <w:tcPr>
            <w:tcW w:w="2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AMOUNT</w:t>
            </w:r>
          </w:p>
        </w:tc>
        <w:tc>
          <w:tcPr>
            <w:tcW w:w="7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(in thousands)</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tcPr>
          <w:p>
            <w:pPr>
              <w:spacing w:after="0"/>
              <w:rPr>
                <w:sz w:val="23"/>
                <w:szCs w:val="23"/>
                <w:color w:val="auto"/>
              </w:rPr>
            </w:pPr>
          </w:p>
        </w:tc>
        <w:tc>
          <w:tcPr>
            <w:tcW w:w="4120" w:type="dxa"/>
            <w:vAlign w:val="bottom"/>
            <w:gridSpan w:val="6"/>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0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w:t>
            </w: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74,909</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52,026</w:t>
            </w:r>
          </w:p>
        </w:tc>
        <w:tc>
          <w:tcPr>
            <w:tcW w:w="2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22,883</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44.0%</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License.................................</w:t>
            </w: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Service.................................</w:t>
            </w:r>
          </w:p>
        </w:tc>
        <w:tc>
          <w:tcPr>
            <w:tcW w:w="3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7"/>
              </w:rPr>
              <w:t>1,390,394</w:t>
            </w: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1,269,251</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121,143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3"/>
                <w:szCs w:val="3"/>
                <w:color w:val="auto"/>
                <w:w w:val="90"/>
              </w:rPr>
              <w:t>-----------</w:t>
            </w: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7"/>
              </w:rPr>
              <w:t>1,465,303</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10.9</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1,321,277</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144,026</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0"/>
        </w:trPr>
        <w:tc>
          <w:tcPr>
            <w:tcW w:w="42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3,278</w:t>
            </w:r>
          </w:p>
        </w:tc>
        <w:tc>
          <w:tcPr>
            <w:tcW w:w="340" w:type="dxa"/>
            <w:vAlign w:val="bottom"/>
          </w:tcPr>
          <w:p>
            <w:pPr>
              <w:spacing w:after="0"/>
              <w:rPr>
                <w:sz w:val="8"/>
                <w:szCs w:val="8"/>
                <w:color w:val="auto"/>
              </w:rPr>
            </w:pPr>
          </w:p>
        </w:tc>
        <w:tc>
          <w:tcPr>
            <w:tcW w:w="12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3,807</w:t>
            </w:r>
          </w:p>
        </w:tc>
        <w:tc>
          <w:tcPr>
            <w:tcW w:w="240" w:type="dxa"/>
            <w:vAlign w:val="bottom"/>
          </w:tcPr>
          <w:p>
            <w:pPr>
              <w:spacing w:after="0"/>
              <w:rPr>
                <w:sz w:val="8"/>
                <w:szCs w:val="8"/>
                <w:color w:val="auto"/>
              </w:rPr>
            </w:pP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(529)</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(13.9)</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 of license.........................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 of service.........................</w:t>
            </w:r>
          </w:p>
        </w:tc>
        <w:tc>
          <w:tcPr>
            <w:tcW w:w="3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929,487</w:t>
            </w: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833,470</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96,017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11.5</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Research and development................</w:t>
            </w:r>
          </w:p>
        </w:tc>
        <w:tc>
          <w:tcPr>
            <w:tcW w:w="3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97,567</w:t>
            </w: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92,247</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5,320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0" w:type="dxa"/>
            <w:vAlign w:val="bottom"/>
          </w:tcPr>
          <w:p>
            <w:pPr>
              <w:spacing w:after="0"/>
              <w:rPr>
                <w:sz w:val="1"/>
                <w:szCs w:val="1"/>
                <w:color w:val="auto"/>
              </w:rPr>
            </w:pPr>
          </w:p>
        </w:tc>
      </w:tr>
      <w:tr>
        <w:trPr>
          <w:trHeight w:val="186"/>
        </w:trPr>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30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166,000</w:t>
            </w:r>
          </w:p>
        </w:tc>
        <w:tc>
          <w:tcPr>
            <w:tcW w:w="340" w:type="dxa"/>
            <w:vAlign w:val="bottom"/>
          </w:tcPr>
          <w:p>
            <w:pPr>
              <w:spacing w:after="0"/>
              <w:rPr>
                <w:sz w:val="16"/>
                <w:szCs w:val="16"/>
                <w:color w:val="auto"/>
              </w:rPr>
            </w:pPr>
          </w:p>
        </w:tc>
        <w:tc>
          <w:tcPr>
            <w:tcW w:w="12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159,078</w:t>
            </w:r>
          </w:p>
        </w:tc>
        <w:tc>
          <w:tcPr>
            <w:tcW w:w="240" w:type="dxa"/>
            <w:vAlign w:val="bottom"/>
          </w:tcPr>
          <w:p>
            <w:pPr>
              <w:spacing w:after="0"/>
              <w:rPr>
                <w:sz w:val="16"/>
                <w:szCs w:val="16"/>
                <w:color w:val="auto"/>
              </w:rPr>
            </w:pPr>
          </w:p>
        </w:tc>
        <w:tc>
          <w:tcPr>
            <w:tcW w:w="10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6,922</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purchased</w:t>
            </w:r>
          </w:p>
        </w:tc>
        <w:tc>
          <w:tcPr>
            <w:tcW w:w="300" w:type="dxa"/>
            <w:vAlign w:val="bottom"/>
          </w:tcPr>
          <w:p>
            <w:pPr>
              <w:spacing w:after="0"/>
              <w:rPr>
                <w:sz w:val="16"/>
                <w:szCs w:val="16"/>
                <w:color w:val="auto"/>
              </w:rPr>
            </w:pP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7,875</w:t>
            </w:r>
          </w:p>
        </w:tc>
        <w:tc>
          <w:tcPr>
            <w:tcW w:w="340" w:type="dxa"/>
            <w:vAlign w:val="bottom"/>
          </w:tcPr>
          <w:p>
            <w:pPr>
              <w:spacing w:after="0"/>
              <w:rPr>
                <w:sz w:val="16"/>
                <w:szCs w:val="16"/>
                <w:color w:val="auto"/>
              </w:rPr>
            </w:pPr>
          </w:p>
        </w:tc>
        <w:tc>
          <w:tcPr>
            <w:tcW w:w="1220" w:type="dxa"/>
            <w:vAlign w:val="bottom"/>
            <w:vMerge w:val="restart"/>
          </w:tcPr>
          <w:p>
            <w:pPr>
              <w:jc w:val="right"/>
              <w:ind w:right="219"/>
              <w:spacing w:after="0"/>
              <w:rPr>
                <w:sz w:val="20"/>
                <w:szCs w:val="20"/>
                <w:color w:val="auto"/>
              </w:rPr>
            </w:pPr>
            <w:r>
              <w:rPr>
                <w:rFonts w:ascii="Courier New" w:cs="Courier New" w:eastAsia="Courier New" w:hAnsi="Courier New"/>
                <w:sz w:val="16"/>
                <w:szCs w:val="16"/>
                <w:color w:val="auto"/>
              </w:rPr>
              <w:t>13,423</w:t>
            </w:r>
          </w:p>
        </w:tc>
        <w:tc>
          <w:tcPr>
            <w:tcW w:w="240" w:type="dxa"/>
            <w:vAlign w:val="bottom"/>
          </w:tcPr>
          <w:p>
            <w:pPr>
              <w:spacing w:after="0"/>
              <w:rPr>
                <w:sz w:val="16"/>
                <w:szCs w:val="16"/>
                <w:color w:val="auto"/>
              </w:rPr>
            </w:pPr>
          </w:p>
        </w:tc>
        <w:tc>
          <w:tcPr>
            <w:tcW w:w="10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(5,548)</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(41.3)</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intangible assets.....................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Courier New" w:cs="Courier New" w:eastAsia="Courier New" w:hAnsi="Courier New"/>
                <w:sz w:val="3"/>
                <w:szCs w:val="3"/>
                <w:color w:val="auto"/>
                <w:w w:val="90"/>
              </w:rPr>
              <w:t>-----------</w:t>
            </w: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w w:val="97"/>
              </w:rPr>
              <w:t>1,204,207</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9.3</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1,102,025</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102,182</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tcPr>
          <w:p>
            <w:pPr>
              <w:spacing w:after="0"/>
              <w:rPr>
                <w:sz w:val="23"/>
                <w:szCs w:val="23"/>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income...........................</w:t>
            </w:r>
          </w:p>
        </w:tc>
        <w:tc>
          <w:tcPr>
            <w:tcW w:w="30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261,096</w:t>
            </w:r>
          </w:p>
        </w:tc>
        <w:tc>
          <w:tcPr>
            <w:tcW w:w="340" w:type="dxa"/>
            <w:vAlign w:val="bottom"/>
          </w:tcPr>
          <w:p>
            <w:pPr>
              <w:spacing w:after="0"/>
              <w:rPr>
                <w:sz w:val="24"/>
                <w:szCs w:val="24"/>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219,252</w:t>
            </w:r>
          </w:p>
        </w:tc>
        <w:tc>
          <w:tcPr>
            <w:tcW w:w="240" w:type="dxa"/>
            <w:vAlign w:val="bottom"/>
          </w:tcPr>
          <w:p>
            <w:pPr>
              <w:spacing w:after="0"/>
              <w:rPr>
                <w:sz w:val="24"/>
                <w:szCs w:val="24"/>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41,844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19.1</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income and other, net.............</w:t>
            </w:r>
          </w:p>
        </w:tc>
        <w:tc>
          <w:tcPr>
            <w:tcW w:w="3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14,944</w:t>
            </w: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2,899</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12,045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415.5</w:t>
            </w:r>
          </w:p>
        </w:tc>
        <w:tc>
          <w:tcPr>
            <w:tcW w:w="0" w:type="dxa"/>
            <w:vAlign w:val="bottom"/>
          </w:tcPr>
          <w:p>
            <w:pPr>
              <w:spacing w:after="0"/>
              <w:rPr>
                <w:sz w:val="1"/>
                <w:szCs w:val="1"/>
                <w:color w:val="auto"/>
              </w:rPr>
            </w:pPr>
          </w:p>
        </w:tc>
      </w:tr>
      <w:tr>
        <w:trPr>
          <w:trHeight w:val="186"/>
        </w:trPr>
        <w:tc>
          <w:tcPr>
            <w:tcW w:w="4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Income before income taxes.................</w:t>
            </w:r>
          </w:p>
        </w:tc>
        <w:tc>
          <w:tcPr>
            <w:tcW w:w="300" w:type="dxa"/>
            <w:vAlign w:val="bottom"/>
          </w:tcPr>
          <w:p>
            <w:pPr>
              <w:ind w:left="100"/>
              <w:spacing w:after="0"/>
              <w:rPr>
                <w:sz w:val="20"/>
                <w:szCs w:val="20"/>
                <w:color w:val="auto"/>
              </w:rPr>
            </w:pPr>
            <w:r>
              <w:rPr>
                <w:rFonts w:ascii="Courier New" w:cs="Courier New" w:eastAsia="Courier New" w:hAnsi="Courier New"/>
                <w:sz w:val="3"/>
                <w:szCs w:val="3"/>
                <w:color w:val="auto"/>
                <w:w w:val="90"/>
              </w:rPr>
              <w:t>-----------</w:t>
            </w: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276,040</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24.3</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222,151</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53,889</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taxes...............................</w:t>
            </w:r>
          </w:p>
        </w:tc>
        <w:tc>
          <w:tcPr>
            <w:tcW w:w="30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55,203</w:t>
            </w:r>
          </w:p>
        </w:tc>
        <w:tc>
          <w:tcPr>
            <w:tcW w:w="34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48,873</w:t>
            </w:r>
          </w:p>
        </w:tc>
        <w:tc>
          <w:tcPr>
            <w:tcW w:w="24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6,330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13.0</w:t>
            </w:r>
          </w:p>
        </w:tc>
        <w:tc>
          <w:tcPr>
            <w:tcW w:w="0" w:type="dxa"/>
            <w:vAlign w:val="bottom"/>
          </w:tcPr>
          <w:p>
            <w:pPr>
              <w:spacing w:after="0"/>
              <w:rPr>
                <w:sz w:val="1"/>
                <w:szCs w:val="1"/>
                <w:color w:val="auto"/>
              </w:rPr>
            </w:pPr>
          </w:p>
        </w:tc>
      </w:tr>
      <w:tr>
        <w:trPr>
          <w:trHeight w:val="186"/>
        </w:trPr>
        <w:tc>
          <w:tcPr>
            <w:tcW w:w="4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300" w:type="dxa"/>
            <w:vAlign w:val="bottom"/>
            <w:vMerge w:val="restart"/>
          </w:tcPr>
          <w:p>
            <w:pPr>
              <w:ind w:left="100"/>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9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220,837</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27.4</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173,278</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47,559</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tcPr>
          <w:p>
            <w:pPr>
              <w:spacing w:after="0"/>
              <w:rPr>
                <w:sz w:val="23"/>
                <w:szCs w:val="23"/>
                <w:color w:val="auto"/>
              </w:rPr>
            </w:pPr>
          </w:p>
        </w:tc>
        <w:tc>
          <w:tcPr>
            <w:tcW w:w="126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REVENUE. Total revenue increased by $144.0 million, or 10.9%, in the nine months ended June 30, 2005 to $1,465.3 million from $1,321.3 million in the nine months ended June 30, 2004. Approximately 40% of the increase in total revenue was due to an increase in business related to Managed Services customers. Revenue related to Managed Services customers in the nine months ended June 30, 2005 and 2004 was approximately 40% of total revenue.</w:t>
      </w:r>
    </w:p>
    <w:p>
      <w:pPr>
        <w:spacing w:after="0" w:line="8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License and service revenue from the sale of ICM Enabling Systems was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$1,272.3 million for the nine months ended June 30, 2005, an increase of $127.6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or 11.1%, over the nine months ended June 30, 2004. Approximately 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increase is attributable to an increase in business related to Managed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Services customers. License and service revenue from the sale of ICM Enabling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Systems represented 86.8% and 86.6% of our total revenue in the nine months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ended June 30, 2005 and 2004, respectively. The demand for our ICM Enabling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Systems is primarily driven by the need for communications companies to continue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integrate their billing, CRM and order management systems into an Integrated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 Management approach. In the nine months ended June 30, 2005,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observed strong demand for our offerings.</w:t>
      </w:r>
    </w:p>
    <w:p>
      <w:pPr>
        <w:spacing w:after="0" w:line="161" w:lineRule="exact"/>
        <w:rPr>
          <w:sz w:val="20"/>
          <w:szCs w:val="20"/>
          <w:color w:val="auto"/>
        </w:rPr>
      </w:pPr>
    </w:p>
    <w:p>
      <w:pPr>
        <w:ind w:right="2459" w:firstLine="581"/>
        <w:spacing w:after="0" w:line="260" w:lineRule="auto"/>
        <w:rPr>
          <w:sz w:val="20"/>
          <w:szCs w:val="20"/>
          <w:color w:val="auto"/>
        </w:rPr>
      </w:pPr>
      <w:r>
        <w:rPr>
          <w:rFonts w:ascii="Courier New" w:cs="Courier New" w:eastAsia="Courier New" w:hAnsi="Courier New"/>
          <w:sz w:val="16"/>
          <w:szCs w:val="16"/>
          <w:color w:val="auto"/>
        </w:rPr>
        <w:t>License and service revenue from the sale of Directory Systems was $193.0 million for the nine months ended June 30, 2005, an increase of $16.4 million, or 9.3%, over the nine months ended June 30, 2004. Approximately 90% of the increase in Directory Systems revenue in the nine months ended June 30, 2005 was attributable to an increase in business related to Managed Services customers. License and service revenue from the sale of Directory Systems represented 13.2% and 13.4% of our total revenue in the nine months ended June 30, 2005 and 2004, respectively. We believe that we are a leading provider of Directory Systems in most of the markets we serve. We expect that our revenue from Directory Systems will increase in fiscal 2005.</w:t>
      </w:r>
    </w:p>
    <w:p>
      <w:pPr>
        <w:spacing w:after="0" w:line="86" w:lineRule="exact"/>
        <w:rPr>
          <w:sz w:val="20"/>
          <w:szCs w:val="20"/>
          <w:color w:val="auto"/>
        </w:rPr>
      </w:pPr>
    </w:p>
    <w:p>
      <w:pPr>
        <w:ind w:right="2659" w:firstLine="581"/>
        <w:spacing w:after="0" w:line="307" w:lineRule="auto"/>
        <w:rPr>
          <w:sz w:val="20"/>
          <w:szCs w:val="20"/>
          <w:color w:val="auto"/>
        </w:rPr>
      </w:pPr>
      <w:r>
        <w:rPr>
          <w:rFonts w:ascii="Courier New" w:cs="Courier New" w:eastAsia="Courier New" w:hAnsi="Courier New"/>
          <w:sz w:val="16"/>
          <w:szCs w:val="16"/>
          <w:color w:val="auto"/>
        </w:rPr>
        <w:t>In the nine months ended June 30, 2005, revenue from customers in North America, Europe and the rest of the world accounted for 67.0%, 24.8% and 8.2%, respectively, of total revenue compared to 66.8%, 26.4%</w:t>
      </w:r>
    </w:p>
    <w:p>
      <w:pPr>
        <w:spacing w:after="0" w:line="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46" w:right="1440" w:bottom="725" w:gutter="0" w:footer="0" w:header="0"/>
        </w:sectPr>
      </w:pPr>
    </w:p>
    <w:bookmarkStart w:id="23" w:name="page24"/>
    <w:bookmarkEnd w:id="23"/>
    <w:p>
      <w:pPr>
        <w:ind w:right="2559"/>
        <w:spacing w:after="0" w:line="270" w:lineRule="auto"/>
        <w:rPr>
          <w:sz w:val="20"/>
          <w:szCs w:val="20"/>
          <w:color w:val="auto"/>
        </w:rPr>
      </w:pPr>
      <w:r>
        <w:rPr>
          <w:rFonts w:ascii="Courier New" w:cs="Courier New" w:eastAsia="Courier New" w:hAnsi="Courier New"/>
          <w:sz w:val="16"/>
          <w:szCs w:val="16"/>
          <w:color w:val="auto"/>
        </w:rPr>
        <w:t>and 6.8%, respectively, for the nine months ended June 30, 2004. Approximately half of the increase in revenue from customers in North America in the nine months ended June 30, 2005 was attributable to an increase in business related to Managed Services customers. The increase in revenue from customers in Europe in the nine months ended June 30, 2005 was less than the 10.9% increase in our total revenue, which resulted in a decrease in its percentage of total revenue.</w:t>
      </w:r>
    </w:p>
    <w:p>
      <w:pPr>
        <w:spacing w:after="0" w:line="81"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nine months ended June 30, 2005, cost of license, as a percentage of license revenue, was 4.4%, compared to 7.3% in the nine months ended June 30, 2004.</w:t>
      </w:r>
    </w:p>
    <w:p>
      <w:pPr>
        <w:spacing w:after="0" w:line="82"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COST OF SERVICE. The increase in cost of service in the nine months ended June 30, 2005 was 11.5%, as compared to the 10.9% increase in our total revenue in the nine months ended June 30, 2005, and resulted in a slight decrease of 0.3% in our gross margin as a percentage of revenue. Our gross margin was affected by the continuing investment in our consulting business and our development center in India, during fiscal 2005.</w:t>
      </w:r>
    </w:p>
    <w:p>
      <w:pPr>
        <w:spacing w:after="0" w:line="81" w:lineRule="exact"/>
        <w:rPr>
          <w:sz w:val="20"/>
          <w:szCs w:val="20"/>
          <w:color w:val="auto"/>
        </w:rPr>
      </w:pPr>
    </w:p>
    <w:p>
      <w:pPr>
        <w:ind w:right="2459" w:firstLine="581"/>
        <w:spacing w:after="0" w:line="251"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Research and development expense increased by $5.3 million, or 5.8%, in the nine months ended June 30, 2005 to $97.6 million from $92.3 million in the nine months ended June 30, 2004. This increase in research and development expense was proportionally less than the increase in our total revenue, and research and development expense decreased, as a percentage of revenue, from 7.0% in the nine months ended June 30, 2004 to 6.7% in the nine months ended June 30, 2005. While we continue to upgrade our existing systems, in the nine months ended June 30, 2005, we focused significant research and development efforts on the integration between our products and a unified user interface in order to enable our customers to adopt an ICM approach. As part of these efforts we launched a comprehensive portfolio of products, which we refer to as Amdocs 6, in February 2005. Amdocs 6 is a pre-integrated portfolio of modular, billing, CRM, self-service, order management, mediation and content revenue management software products. The majority of our research and development expenditures are directed to our ICM Enabling Systems, and the remainder to directory solutions. Although we intend to continue to devote resources to research and development, our research and development spending,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00" w:lineRule="exact"/>
        <w:rPr>
          <w:sz w:val="20"/>
          <w:szCs w:val="20"/>
          <w:color w:val="auto"/>
        </w:rPr>
      </w:pPr>
    </w:p>
    <w:p>
      <w:pPr>
        <w:ind w:right="2659" w:firstLine="581"/>
        <w:spacing w:after="0" w:line="261"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$6.9 million, or 4.4%, in the nine months ended June 30, 2005 to $166.0 million, from $159.1 million in the nine months ended June 30, 2004. Selling, general and administrative expense is primarily comprised of compensation expense. The increase in selling, general and administrative expense in the nine months ended June 30, 2005 was attributable to an overall increase in our operations, as well as to the increase in our selling and marketing compensation, although the 4.4% increase was less than the 10.9% increase in our total revenue.</w:t>
      </w:r>
    </w:p>
    <w:p>
      <w:pPr>
        <w:spacing w:after="0" w:line="89" w:lineRule="exact"/>
        <w:rPr>
          <w:sz w:val="20"/>
          <w:szCs w:val="20"/>
          <w:color w:val="auto"/>
        </w:rPr>
      </w:pPr>
    </w:p>
    <w:p>
      <w:pPr>
        <w:ind w:right="2459" w:firstLine="484"/>
        <w:spacing w:after="0" w:line="270"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in the nine months ended June 30, 2005 was $7.9 million, compared to $13.4 million in the nine months ended June 30, 2004. The decrease in amortization of purchased intangible assets was due to purchased intangible assets that were fully amortized in fiscal 2004 and in the first three months of fiscal 2005.</w:t>
      </w:r>
    </w:p>
    <w:p>
      <w:pPr>
        <w:spacing w:after="0" w:line="8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46" w:right="1440" w:bottom="1440" w:gutter="0" w:footer="0" w:header="0"/>
        </w:sectPr>
      </w:pPr>
    </w:p>
    <w:bookmarkStart w:id="24" w:name="page25"/>
    <w:bookmarkEnd w:id="24"/>
    <w:p>
      <w:pPr>
        <w:jc w:val="both"/>
        <w:ind w:right="2559" w:firstLine="581"/>
        <w:spacing w:after="0" w:line="259" w:lineRule="auto"/>
        <w:rPr>
          <w:sz w:val="20"/>
          <w:szCs w:val="20"/>
          <w:color w:val="auto"/>
        </w:rPr>
      </w:pPr>
      <w:r>
        <w:rPr>
          <w:rFonts w:ascii="Courier New" w:cs="Courier New" w:eastAsia="Courier New" w:hAnsi="Courier New"/>
          <w:sz w:val="16"/>
          <w:szCs w:val="16"/>
          <w:color w:val="auto"/>
        </w:rPr>
        <w:t>OPERATING INCOME. Operating income increased by $41.8 million, or 19.1%, in the nine months ended June 30, 2005, to $261.1 million, or 17.8% of revenue, from $219.3 million, or 16.6% of revenue, in the nine months ended June 30,</w:t>
      </w:r>
    </w:p>
    <w:p>
      <w:pPr>
        <w:spacing w:after="0" w:line="2"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2004. The increase in operating income in the nine months ended June 30, 2005 is attributable to the 10.9% increase in our total revenue, which increased at a greater rate than the 9.3% increase in operating expense.</w:t>
      </w:r>
    </w:p>
    <w:p>
      <w:pPr>
        <w:spacing w:after="0" w:line="6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INTEREST INCOME AND OTHER, NET. Interest income and other, net increased by $12.0 million in the nine months ended June 30, 2005 to $14.9 million from $2.9 million in the nine months ended June 30, 2004. The increase in interest income and other, net, in the nine months ended June 30, 2005 is primarily attributable to the increase in market interest rates on our short-term interest-bearing investments, and to the decrease in our interest expense due to the redemption of our 2% Notes in June 2004, which was partially offset by interest expense on our 0.50% Notes issued in March 2004.</w:t>
      </w:r>
    </w:p>
    <w:p>
      <w:pPr>
        <w:spacing w:after="0" w:line="82"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INCOME TAXES. Income taxes for nine months ended June 30, 2005 were $55.2 million on pretax income of $276.0 million, an effective tax rate of 20% compared to 22% in the nine months ended June 30, 2004. Our effective tax rate for fiscal year 2005 is expected to be approximately 20%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82" w:lineRule="exact"/>
        <w:rPr>
          <w:sz w:val="20"/>
          <w:szCs w:val="20"/>
          <w:color w:val="auto"/>
        </w:rPr>
      </w:pPr>
    </w:p>
    <w:p>
      <w:pPr>
        <w:ind w:right="2659" w:firstLine="581"/>
        <w:spacing w:after="0" w:line="270" w:lineRule="auto"/>
        <w:rPr>
          <w:sz w:val="20"/>
          <w:szCs w:val="20"/>
          <w:color w:val="auto"/>
        </w:rPr>
      </w:pPr>
      <w:r>
        <w:rPr>
          <w:rFonts w:ascii="Courier New" w:cs="Courier New" w:eastAsia="Courier New" w:hAnsi="Courier New"/>
          <w:sz w:val="16"/>
          <w:szCs w:val="16"/>
          <w:color w:val="auto"/>
        </w:rPr>
        <w:t>NET INCOME. Net income was $220.8 million in nine months ended June 30, 2005, compared to a net income of $173.3 million in the nine months ended June 30, 2004. The increase in net income is attributable to the 10.9% increase in our total revenue and the increase in interest income and other, net, which increased at a greater rate than the increase in operating expenses and income taxes.</w:t>
      </w:r>
    </w:p>
    <w:p>
      <w:pPr>
        <w:spacing w:after="0" w:line="81" w:lineRule="exact"/>
        <w:rPr>
          <w:sz w:val="20"/>
          <w:szCs w:val="20"/>
          <w:color w:val="auto"/>
        </w:rPr>
      </w:pPr>
    </w:p>
    <w:p>
      <w:pPr>
        <w:ind w:right="2459" w:firstLine="581"/>
        <w:spacing w:after="0" w:line="307" w:lineRule="auto"/>
        <w:rPr>
          <w:sz w:val="20"/>
          <w:szCs w:val="20"/>
          <w:color w:val="auto"/>
        </w:rPr>
      </w:pPr>
      <w:r>
        <w:rPr>
          <w:rFonts w:ascii="Courier New" w:cs="Courier New" w:eastAsia="Courier New" w:hAnsi="Courier New"/>
          <w:sz w:val="16"/>
          <w:szCs w:val="16"/>
          <w:color w:val="auto"/>
        </w:rPr>
        <w:t>DILUTED EARNINGS PER SHARE. Diluted earnings per share increased by $0.24, or 30.4%, in the nine months ended June 30, 2005, to $1.03 from $0.79 in the nine months ended June 30, 2004.</w:t>
      </w:r>
    </w:p>
    <w:p>
      <w:pPr>
        <w:spacing w:after="0" w:line="50" w:lineRule="exact"/>
        <w:rPr>
          <w:sz w:val="20"/>
          <w:szCs w:val="20"/>
          <w:color w:val="auto"/>
        </w:rPr>
      </w:pPr>
    </w:p>
    <w:p>
      <w:pPr>
        <w:ind w:right="2559" w:firstLine="581"/>
        <w:spacing w:after="0" w:line="266" w:lineRule="auto"/>
        <w:rPr>
          <w:sz w:val="20"/>
          <w:szCs w:val="20"/>
          <w:color w:val="auto"/>
        </w:rPr>
      </w:pPr>
      <w:r>
        <w:rPr>
          <w:rFonts w:ascii="Courier New" w:cs="Courier New" w:eastAsia="Courier New" w:hAnsi="Courier New"/>
          <w:sz w:val="16"/>
          <w:szCs w:val="16"/>
          <w:color w:val="auto"/>
        </w:rPr>
        <w:t>The shares issuable upon conversion of the 0.50% Notes were included in the diluted earnings per share calculation for the nine months ended June 30, 2005 following the adoption of EITF 04-8, which required the addition of 10.4 million ordinary shares issuable upon conversion of our 0.50% Notes, to the diluted earnings per share calculation. The adoption of EITF 04-8 reduced our previously reported quarterly diluted earnings per share by $0.01 per share for the nine months ended June 30, 2004.</w:t>
      </w:r>
    </w:p>
    <w:p>
      <w:pPr>
        <w:spacing w:after="0" w:line="8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46" w:right="1440" w:bottom="1440" w:gutter="0" w:footer="0" w:header="0"/>
        </w:sectPr>
      </w:pPr>
    </w:p>
    <w:bookmarkStart w:id="25" w:name="page26"/>
    <w:bookmarkEnd w:id="25"/>
    <w:p>
      <w:pPr>
        <w:ind w:left="580"/>
        <w:spacing w:after="0"/>
        <w:rPr>
          <w:sz w:val="20"/>
          <w:szCs w:val="20"/>
          <w:color w:val="auto"/>
        </w:rPr>
      </w:pPr>
      <w:r>
        <w:rPr>
          <w:rFonts w:ascii="Courier New" w:cs="Courier New" w:eastAsia="Courier New" w:hAnsi="Courier New"/>
          <w:sz w:val="16"/>
          <w:szCs w:val="16"/>
          <w:color w:val="auto"/>
        </w:rPr>
        <w:t>THREE MONTHS ENDED JUNE 30, 2005 AND 2004</w:t>
      </w:r>
    </w:p>
    <w:p>
      <w:pPr>
        <w:spacing w:after="0" w:line="191"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The following is a tabular presentation of our results of operations for the three months ended June 30, 2005 compared to the three months ended June 30, 2004. Following the table is a discussion and analysis of our business and results of operations for such periods.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right"/>
              <w:ind w:right="459"/>
              <w:spacing w:after="0"/>
              <w:rPr>
                <w:sz w:val="20"/>
                <w:szCs w:val="20"/>
                <w:color w:val="auto"/>
              </w:rPr>
            </w:pPr>
            <w:r>
              <w:rPr>
                <w:rFonts w:ascii="Courier New" w:cs="Courier New" w:eastAsia="Courier New" w:hAnsi="Courier New"/>
                <w:sz w:val="16"/>
                <w:szCs w:val="16"/>
                <w:color w:val="auto"/>
                <w:w w:val="99"/>
              </w:rPr>
              <w:t>THREE MONTHS ENDED</w:t>
            </w:r>
          </w:p>
        </w:tc>
        <w:tc>
          <w:tcPr>
            <w:tcW w:w="18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INCREASE (DECREASE)</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3"/>
          </w:tcPr>
          <w:p>
            <w:pPr>
              <w:jc w:val="right"/>
              <w:ind w:right="839"/>
              <w:spacing w:after="0"/>
              <w:rPr>
                <w:sz w:val="20"/>
                <w:szCs w:val="20"/>
                <w:color w:val="auto"/>
              </w:rPr>
            </w:pPr>
            <w:r>
              <w:rPr>
                <w:rFonts w:ascii="Courier New" w:cs="Courier New" w:eastAsia="Courier New" w:hAnsi="Courier New"/>
                <w:sz w:val="16"/>
                <w:szCs w:val="16"/>
                <w:color w:val="auto"/>
              </w:rPr>
              <w:t>JUNE 30,</w:t>
            </w:r>
          </w:p>
        </w:tc>
        <w:tc>
          <w:tcPr>
            <w:tcW w:w="1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2"/>
                <w:szCs w:val="2"/>
                <w:color w:val="auto"/>
                <w:w w:val="71"/>
              </w:rPr>
              <w:t>---------------------</w:t>
            </w:r>
          </w:p>
        </w:tc>
        <w:tc>
          <w:tcPr>
            <w:tcW w:w="82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2005</w:t>
            </w:r>
          </w:p>
        </w:tc>
        <w:tc>
          <w:tcPr>
            <w:tcW w:w="380" w:type="dxa"/>
            <w:vAlign w:val="bottom"/>
          </w:tcPr>
          <w:p>
            <w:pPr>
              <w:spacing w:after="0"/>
              <w:rPr>
                <w:sz w:val="16"/>
                <w:szCs w:val="16"/>
                <w:color w:val="auto"/>
              </w:rPr>
            </w:pPr>
          </w:p>
        </w:tc>
        <w:tc>
          <w:tcPr>
            <w:tcW w:w="1080" w:type="dxa"/>
            <w:vAlign w:val="bottom"/>
            <w:vMerge w:val="restart"/>
          </w:tcPr>
          <w:p>
            <w:pPr>
              <w:jc w:val="right"/>
              <w:ind w:right="559"/>
              <w:spacing w:after="0"/>
              <w:rPr>
                <w:sz w:val="20"/>
                <w:szCs w:val="20"/>
                <w:color w:val="auto"/>
              </w:rPr>
            </w:pPr>
            <w:r>
              <w:rPr>
                <w:rFonts w:ascii="Courier New" w:cs="Courier New" w:eastAsia="Courier New" w:hAnsi="Courier New"/>
                <w:sz w:val="16"/>
                <w:szCs w:val="16"/>
                <w:color w:val="auto"/>
              </w:rPr>
              <w:t>2004</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AMOUNT</w:t>
            </w:r>
          </w:p>
        </w:tc>
        <w:tc>
          <w:tcPr>
            <w:tcW w:w="9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 thousands)</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tcPr>
          <w:p>
            <w:pPr>
              <w:spacing w:after="0"/>
              <w:rPr>
                <w:sz w:val="23"/>
                <w:szCs w:val="23"/>
                <w:color w:val="auto"/>
              </w:rPr>
            </w:pPr>
          </w:p>
        </w:tc>
        <w:tc>
          <w:tcPr>
            <w:tcW w:w="3440" w:type="dxa"/>
            <w:vAlign w:val="bottom"/>
            <w:gridSpan w:val="5"/>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3"/>
        </w:trPr>
        <w:tc>
          <w:tcPr>
            <w:tcW w:w="4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License.................................</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27,199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17,298</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$ 9,901</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57.2%</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Service.................................</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480,156</w:t>
            </w: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432,926</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47,230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10.9</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507,355</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12.7</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450,224</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57,131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vMerge w:val="restart"/>
          </w:tcPr>
          <w:p>
            <w:pPr>
              <w:spacing w:after="0"/>
              <w:rPr>
                <w:sz w:val="20"/>
                <w:szCs w:val="20"/>
                <w:color w:val="auto"/>
              </w:rPr>
            </w:pPr>
            <w:r>
              <w:rPr>
                <w:rFonts w:ascii="Courier New" w:cs="Courier New" w:eastAsia="Courier New" w:hAnsi="Courier New"/>
                <w:sz w:val="16"/>
                <w:szCs w:val="16"/>
                <w:color w:val="auto"/>
              </w:rPr>
              <w:t>Operating expenses:</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 of license.........................</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1,125</w:t>
            </w:r>
          </w:p>
        </w:tc>
        <w:tc>
          <w:tcPr>
            <w:tcW w:w="380" w:type="dxa"/>
            <w:vAlign w:val="bottom"/>
          </w:tcPr>
          <w:p>
            <w:pPr>
              <w:spacing w:after="0"/>
              <w:rPr>
                <w:sz w:val="24"/>
                <w:szCs w:val="24"/>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1,448</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(323)</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(22.3)</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Cost of service.........................</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324,249</w:t>
            </w: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283,109</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41,140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14.5</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Research and development................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31,393</w:t>
            </w: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31,665</w:t>
            </w:r>
          </w:p>
        </w:tc>
        <w:tc>
          <w:tcPr>
            <w:tcW w:w="9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(272)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(0.9)</w:t>
            </w:r>
          </w:p>
        </w:tc>
        <w:tc>
          <w:tcPr>
            <w:tcW w:w="0" w:type="dxa"/>
            <w:vAlign w:val="bottom"/>
          </w:tcPr>
          <w:p>
            <w:pPr>
              <w:spacing w:after="0"/>
              <w:rPr>
                <w:sz w:val="1"/>
                <w:szCs w:val="1"/>
                <w:color w:val="auto"/>
              </w:rPr>
            </w:pPr>
          </w:p>
        </w:tc>
      </w:tr>
      <w:tr>
        <w:trPr>
          <w:trHeight w:val="186"/>
        </w:trPr>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56,448</w:t>
            </w:r>
          </w:p>
        </w:tc>
        <w:tc>
          <w:tcPr>
            <w:tcW w:w="380" w:type="dxa"/>
            <w:vAlign w:val="bottom"/>
          </w:tcPr>
          <w:p>
            <w:pPr>
              <w:spacing w:after="0"/>
              <w:rPr>
                <w:sz w:val="16"/>
                <w:szCs w:val="16"/>
                <w:color w:val="auto"/>
              </w:rPr>
            </w:pPr>
          </w:p>
        </w:tc>
        <w:tc>
          <w:tcPr>
            <w:tcW w:w="10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52,745</w:t>
            </w:r>
          </w:p>
        </w:tc>
        <w:tc>
          <w:tcPr>
            <w:tcW w:w="960" w:type="dxa"/>
            <w:vAlign w:val="bottom"/>
            <w:vMerge w:val="restart"/>
          </w:tcPr>
          <w:p>
            <w:pPr>
              <w:jc w:val="right"/>
              <w:ind w:right="159"/>
              <w:spacing w:after="0"/>
              <w:rPr>
                <w:sz w:val="20"/>
                <w:szCs w:val="20"/>
                <w:color w:val="auto"/>
              </w:rPr>
            </w:pPr>
            <w:r>
              <w:rPr>
                <w:rFonts w:ascii="Courier New" w:cs="Courier New" w:eastAsia="Courier New" w:hAnsi="Courier New"/>
                <w:sz w:val="16"/>
                <w:szCs w:val="16"/>
                <w:color w:val="auto"/>
              </w:rPr>
              <w:t>3,703</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7.0</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administrative........................</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ind w:left="300"/>
              <w:spacing w:after="0"/>
              <w:rPr>
                <w:sz w:val="20"/>
                <w:szCs w:val="20"/>
                <w:color w:val="auto"/>
              </w:rPr>
            </w:pPr>
            <w:r>
              <w:rPr>
                <w:rFonts w:ascii="Courier New" w:cs="Courier New" w:eastAsia="Courier New" w:hAnsi="Courier New"/>
                <w:sz w:val="16"/>
                <w:szCs w:val="16"/>
                <w:color w:val="auto"/>
              </w:rPr>
              <w:t>Amortization of purchased</w:t>
            </w:r>
          </w:p>
        </w:tc>
        <w:tc>
          <w:tcPr>
            <w:tcW w:w="2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2,078</w:t>
            </w:r>
          </w:p>
        </w:tc>
        <w:tc>
          <w:tcPr>
            <w:tcW w:w="380" w:type="dxa"/>
            <w:vAlign w:val="bottom"/>
          </w:tcPr>
          <w:p>
            <w:pPr>
              <w:spacing w:after="0"/>
              <w:rPr>
                <w:sz w:val="16"/>
                <w:szCs w:val="16"/>
                <w:color w:val="auto"/>
              </w:rPr>
            </w:pPr>
          </w:p>
        </w:tc>
        <w:tc>
          <w:tcPr>
            <w:tcW w:w="1080" w:type="dxa"/>
            <w:vAlign w:val="bottom"/>
            <w:vMerge w:val="restart"/>
          </w:tcPr>
          <w:p>
            <w:pPr>
              <w:jc w:val="right"/>
              <w:ind w:right="259"/>
              <w:spacing w:after="0"/>
              <w:rPr>
                <w:sz w:val="20"/>
                <w:szCs w:val="20"/>
                <w:color w:val="auto"/>
              </w:rPr>
            </w:pPr>
            <w:r>
              <w:rPr>
                <w:rFonts w:ascii="Courier New" w:cs="Courier New" w:eastAsia="Courier New" w:hAnsi="Courier New"/>
                <w:sz w:val="16"/>
                <w:szCs w:val="16"/>
                <w:color w:val="auto"/>
              </w:rPr>
              <w:t>4,558</w:t>
            </w:r>
          </w:p>
        </w:tc>
        <w:tc>
          <w:tcPr>
            <w:tcW w:w="960" w:type="dxa"/>
            <w:vAlign w:val="bottom"/>
            <w:vMerge w:val="restart"/>
          </w:tcPr>
          <w:p>
            <w:pPr>
              <w:jc w:val="right"/>
              <w:ind w:right="59"/>
              <w:spacing w:after="0"/>
              <w:rPr>
                <w:sz w:val="20"/>
                <w:szCs w:val="20"/>
                <w:color w:val="auto"/>
              </w:rPr>
            </w:pPr>
            <w:r>
              <w:rPr>
                <w:rFonts w:ascii="Courier New" w:cs="Courier New" w:eastAsia="Courier New" w:hAnsi="Courier New"/>
                <w:sz w:val="16"/>
                <w:szCs w:val="16"/>
                <w:color w:val="auto"/>
              </w:rPr>
              <w:t>(2,480)</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(54.4)</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intangible assets.....................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415,293</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11.2</w:t>
            </w: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373,525</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41,768</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Operating income...........................</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92,062</w:t>
            </w:r>
          </w:p>
        </w:tc>
        <w:tc>
          <w:tcPr>
            <w:tcW w:w="380" w:type="dxa"/>
            <w:vAlign w:val="bottom"/>
          </w:tcPr>
          <w:p>
            <w:pPr>
              <w:spacing w:after="0"/>
              <w:rPr>
                <w:sz w:val="24"/>
                <w:szCs w:val="24"/>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76,699</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15,363</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w:t>
            </w: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Interest income and other, net.............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4,305</w:t>
            </w: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121</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4,184</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3,457.9</w:t>
            </w:r>
          </w:p>
        </w:tc>
        <w:tc>
          <w:tcPr>
            <w:tcW w:w="0" w:type="dxa"/>
            <w:vAlign w:val="bottom"/>
          </w:tcPr>
          <w:p>
            <w:pPr>
              <w:spacing w:after="0"/>
              <w:rPr>
                <w:sz w:val="1"/>
                <w:szCs w:val="1"/>
                <w:color w:val="auto"/>
              </w:rPr>
            </w:pPr>
          </w:p>
        </w:tc>
      </w:tr>
      <w:tr>
        <w:trPr>
          <w:trHeight w:val="186"/>
        </w:trPr>
        <w:tc>
          <w:tcPr>
            <w:tcW w:w="4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Income before income taxes ................</w:t>
            </w:r>
          </w:p>
        </w:tc>
        <w:tc>
          <w:tcPr>
            <w:tcW w:w="200" w:type="dxa"/>
            <w:vAlign w:val="bottom"/>
          </w:tcPr>
          <w:p>
            <w:pPr>
              <w:jc w:val="right"/>
              <w:spacing w:after="0"/>
              <w:rPr>
                <w:sz w:val="20"/>
                <w:szCs w:val="20"/>
                <w:color w:val="auto"/>
              </w:rPr>
            </w:pPr>
            <w:r>
              <w:rPr>
                <w:rFonts w:ascii="Courier New" w:cs="Courier New" w:eastAsia="Courier New" w:hAnsi="Courier New"/>
                <w:sz w:val="4"/>
                <w:szCs w:val="4"/>
                <w:color w:val="auto"/>
                <w:w w:val="83"/>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96,367</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25.4</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76,820</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19,547</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Income taxes...............................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19,270</w:t>
            </w:r>
          </w:p>
        </w:tc>
        <w:tc>
          <w:tcPr>
            <w:tcW w:w="380" w:type="dxa"/>
            <w:vAlign w:val="bottom"/>
          </w:tcPr>
          <w:p>
            <w:pPr>
              <w:spacing w:after="0"/>
              <w:rPr>
                <w:sz w:val="16"/>
                <w:szCs w:val="16"/>
                <w:color w:val="auto"/>
              </w:rPr>
            </w:pP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16,900</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2,370</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14.0</w:t>
            </w:r>
          </w:p>
        </w:tc>
        <w:tc>
          <w:tcPr>
            <w:tcW w:w="0" w:type="dxa"/>
            <w:vAlign w:val="bottom"/>
          </w:tcPr>
          <w:p>
            <w:pPr>
              <w:spacing w:after="0"/>
              <w:rPr>
                <w:sz w:val="1"/>
                <w:szCs w:val="1"/>
                <w:color w:val="auto"/>
              </w:rPr>
            </w:pPr>
          </w:p>
        </w:tc>
      </w:tr>
      <w:tr>
        <w:trPr>
          <w:trHeight w:val="186"/>
        </w:trPr>
        <w:tc>
          <w:tcPr>
            <w:tcW w:w="426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Net income.................................</w:t>
            </w:r>
          </w:p>
        </w:tc>
        <w:tc>
          <w:tcPr>
            <w:tcW w:w="20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2"/>
                <w:vertAlign w:val="subscript"/>
              </w:rPr>
              <w:t>$</w:t>
            </w:r>
            <w:r>
              <w:rPr>
                <w:rFonts w:ascii="Courier New" w:cs="Courier New" w:eastAsia="Courier New" w:hAnsi="Courier New"/>
                <w:sz w:val="4"/>
                <w:szCs w:val="4"/>
                <w:color w:val="auto"/>
                <w:w w:val="72"/>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77,097</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vMerge w:val="restart"/>
          </w:tcPr>
          <w:p>
            <w:pPr>
              <w:jc w:val="right"/>
              <w:ind w:right="19"/>
              <w:spacing w:after="0"/>
              <w:rPr>
                <w:sz w:val="20"/>
                <w:szCs w:val="20"/>
                <w:color w:val="auto"/>
              </w:rPr>
            </w:pPr>
            <w:r>
              <w:rPr>
                <w:rFonts w:ascii="Courier New" w:cs="Courier New" w:eastAsia="Courier New" w:hAnsi="Courier New"/>
                <w:sz w:val="16"/>
                <w:szCs w:val="16"/>
                <w:color w:val="auto"/>
              </w:rPr>
              <w:t>28.7</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59,920</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$17,177</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426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REVENUE. Total revenue increased by $57.2 million, or 12.7%, in the three months ended June 30, 2005 to $507.4 million from $450.2 million in the three months ended June 30, 2004. Revenue related to Managed Services customers in the three months ended June 30, 2005 and 2004 was approximately 40% of total revenue.</w:t>
      </w:r>
    </w:p>
    <w:p>
      <w:pPr>
        <w:spacing w:after="0" w:line="7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License and service revenue from the sale of ICM Enabling Systems was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$440.0 million for the three months ended June 30, 2005, an increase of $52.0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million, or 13.4%, over the three months ended June 30, 2004. License and</w:t>
      </w:r>
    </w:p>
    <w:p>
      <w:pPr>
        <w:spacing w:after="0" w:line="5" w:lineRule="exact"/>
        <w:rPr>
          <w:sz w:val="20"/>
          <w:szCs w:val="20"/>
          <w:color w:val="auto"/>
        </w:rPr>
      </w:pPr>
    </w:p>
    <w:p>
      <w:pPr>
        <w:ind w:right="2459"/>
        <w:spacing w:after="0" w:line="262" w:lineRule="auto"/>
        <w:rPr>
          <w:sz w:val="20"/>
          <w:szCs w:val="20"/>
          <w:color w:val="auto"/>
        </w:rPr>
      </w:pPr>
      <w:r>
        <w:rPr>
          <w:rFonts w:ascii="Courier New" w:cs="Courier New" w:eastAsia="Courier New" w:hAnsi="Courier New"/>
          <w:sz w:val="16"/>
          <w:szCs w:val="16"/>
          <w:color w:val="auto"/>
        </w:rPr>
        <w:t>service revenue from the sale of ICM Enabling Systems represented 86.7% and 86.2% of our total revenue in the three months ended June 30, 2005 and 2004, respectively. The demand for our ICM Enabling Systems is primarily driven by the need for communications companies to continue to integrate their billing, CRM and order management systems into an Integrated Customer Management approach. In the third quarter of fiscal 2005, we observed strong demand for our offerings.</w:t>
      </w:r>
    </w:p>
    <w:p>
      <w:pPr>
        <w:spacing w:after="0" w:line="87" w:lineRule="exact"/>
        <w:rPr>
          <w:sz w:val="20"/>
          <w:szCs w:val="20"/>
          <w:color w:val="auto"/>
        </w:rPr>
      </w:pPr>
    </w:p>
    <w:p>
      <w:pPr>
        <w:ind w:right="2559" w:firstLine="581"/>
        <w:spacing w:after="0" w:line="260" w:lineRule="auto"/>
        <w:rPr>
          <w:sz w:val="20"/>
          <w:szCs w:val="20"/>
          <w:color w:val="auto"/>
        </w:rPr>
      </w:pPr>
      <w:r>
        <w:rPr>
          <w:rFonts w:ascii="Courier New" w:cs="Courier New" w:eastAsia="Courier New" w:hAnsi="Courier New"/>
          <w:sz w:val="16"/>
          <w:szCs w:val="16"/>
          <w:color w:val="auto"/>
        </w:rPr>
        <w:t>License and service revenue from the sale of Directory Systems was $67.4 million for the three months ended June 30, 2005, an increase of $5.1 million, or 8.3%, over the three months ended June 30, 2004. Approximately 90% of the increase in Directory Systems revenue in the three months ended June 30, 2005 was attributable to an increase in business related to Managed Services customers. License and service revenue from the sale of Directory Systems represented 13.3% and 13.8% of our total revenue in the three months ended June 30, 2005 and 2004, respectively. We believe that we are a leading provider of Directory Systems in most of the markets we serve. We expect that our revenue from Directory Systems will increase in fiscal 2005.</w:t>
      </w:r>
    </w:p>
    <w:p>
      <w:pPr>
        <w:spacing w:after="0" w:line="86"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In the three months ended June 30, 2005, revenue from customers in North America, Europe and the rest of the world accounted for 68.4%, 24.7% and 6.9%, respectively, of total revenue compared to 65.9%, 26.1% and 8.0%, respectively, for the three months ended June 30, 2004. The increase in revenue from customers in</w:t>
      </w:r>
    </w:p>
    <w:p>
      <w:pPr>
        <w:spacing w:after="0" w:line="7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46" w:right="1440" w:bottom="539" w:gutter="0" w:footer="0" w:header="0"/>
        </w:sectPr>
      </w:pPr>
    </w:p>
    <w:bookmarkStart w:id="26" w:name="page27"/>
    <w:bookmarkEnd w:id="26"/>
    <w:p>
      <w:pPr>
        <w:ind w:right="2559"/>
        <w:spacing w:after="0" w:line="266" w:lineRule="auto"/>
        <w:rPr>
          <w:sz w:val="20"/>
          <w:szCs w:val="20"/>
          <w:color w:val="auto"/>
        </w:rPr>
      </w:pPr>
      <w:r>
        <w:rPr>
          <w:rFonts w:ascii="Courier New" w:cs="Courier New" w:eastAsia="Courier New" w:hAnsi="Courier New"/>
          <w:sz w:val="16"/>
          <w:szCs w:val="16"/>
          <w:color w:val="auto"/>
        </w:rPr>
        <w:t>Europe in the three months ended June 30, 2005 was less than the 12.7% increase in our total revenue, which resulted in a decrease in revenue from customers in Europe as a percentage of total revenue. Revenue from customers in the rest of the world in the three months ended June 30, 2005 was at the same level as compared to the three months ended June 30, 2004, which resulted in a decrease in revenue from customers in the rest of the world as a percentage of total revenue.</w:t>
      </w:r>
    </w:p>
    <w:p>
      <w:pPr>
        <w:spacing w:after="0" w:line="8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June 30, 2005, cost of license, as a percentage of license revenue, was 4.1%, compared to 8.4% in the three months ended June 30, 2004.</w:t>
      </w:r>
    </w:p>
    <w:p>
      <w:pPr>
        <w:spacing w:after="0" w:line="82"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COST OF SERVICE. The increase in cost of service in the three months ended June 30, 2005 was 14.5%, which is greater than the increase in our total revenue in the three months ended June 30, 2005, and resulted in a 0.9% decrease in our gross margin, as a percentage of revenue. Our gross margin was affected by the continuing investment in our consulting business and our development center in India, during fiscal 2005.</w:t>
      </w:r>
    </w:p>
    <w:p>
      <w:pPr>
        <w:spacing w:after="0" w:line="81" w:lineRule="exact"/>
        <w:rPr>
          <w:sz w:val="20"/>
          <w:szCs w:val="20"/>
          <w:color w:val="auto"/>
        </w:rPr>
      </w:pPr>
    </w:p>
    <w:p>
      <w:pPr>
        <w:ind w:right="2459" w:firstLine="581"/>
        <w:spacing w:after="0" w:line="253" w:lineRule="auto"/>
        <w:rPr>
          <w:sz w:val="20"/>
          <w:szCs w:val="20"/>
          <w:color w:val="auto"/>
        </w:rPr>
      </w:pPr>
      <w:r>
        <w:rPr>
          <w:rFonts w:ascii="Courier New" w:cs="Courier New" w:eastAsia="Courier New" w:hAnsi="Courier New"/>
          <w:sz w:val="16"/>
          <w:szCs w:val="16"/>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Research and development expense decreased by $0.3 million, or 0.9%, in the three months ended June 30, 2005 to $31.4 million from $31.7 million in the three months ended June 30, 2004. Research and development expense decreased as a percentage of revenue from 7.0% in the three months ended June 30, 2004 to 6.2% in the three months ended June 30, 2005. The majority of our research and development expenditures are directed to our ICM Enabling Systems, expanding functionality and integrating the system components, and the remainder to directory solutions. Although we intend to continue to devote resources to research and development, our research and development spending,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97" w:lineRule="exact"/>
        <w:rPr>
          <w:sz w:val="20"/>
          <w:szCs w:val="20"/>
          <w:color w:val="auto"/>
        </w:rPr>
      </w:pPr>
    </w:p>
    <w:p>
      <w:pPr>
        <w:ind w:right="2659" w:firstLine="581"/>
        <w:spacing w:after="0" w:line="261" w:lineRule="auto"/>
        <w:rPr>
          <w:sz w:val="20"/>
          <w:szCs w:val="20"/>
          <w:color w:val="auto"/>
        </w:rPr>
      </w:pPr>
      <w:r>
        <w:rPr>
          <w:rFonts w:ascii="Courier New" w:cs="Courier New" w:eastAsia="Courier New" w:hAnsi="Courier New"/>
          <w:sz w:val="16"/>
          <w:szCs w:val="16"/>
          <w:color w:val="auto"/>
        </w:rPr>
        <w:t>SELLING, GENERAL AND ADMINISTRATIVE. Selling, general and administrative expense increased by $3.7 million, or 7.0%, in the three months ended June 30, 2005 to $56.4 million, from $52.7 million in the three months ended June 30, 2004. Selling, general and administrative expense is primarily comprised of compensation expense. The increase in selling, general and administrative expense in the third quarter of fiscal 2005 was attributable to an overall increase in our operations, as well as to the increase in our selling and marketing compensation, although the 7.0% increase was less than the 12.7% increase in our total revenue.</w:t>
      </w:r>
    </w:p>
    <w:p>
      <w:pPr>
        <w:spacing w:after="0" w:line="89" w:lineRule="exact"/>
        <w:rPr>
          <w:sz w:val="20"/>
          <w:szCs w:val="20"/>
          <w:color w:val="auto"/>
        </w:rPr>
      </w:pPr>
    </w:p>
    <w:p>
      <w:pPr>
        <w:ind w:right="2459" w:firstLine="581"/>
        <w:spacing w:after="0" w:line="270" w:lineRule="auto"/>
        <w:rPr>
          <w:sz w:val="20"/>
          <w:szCs w:val="20"/>
          <w:color w:val="auto"/>
        </w:rPr>
      </w:pPr>
      <w:r>
        <w:rPr>
          <w:rFonts w:ascii="Courier New" w:cs="Courier New" w:eastAsia="Courier New" w:hAnsi="Courier New"/>
          <w:sz w:val="16"/>
          <w:szCs w:val="16"/>
          <w:color w:val="auto"/>
        </w:rPr>
        <w:t>AMORTIZATION OF PURCHASED INTANGIBLE ASSETS. Amortization of purchased intangible assets in the three months ended June 30, 2005 was $2.1 million, compared to $4.6 million in the three months ended June 30, 2004. The decrease in amortization of purchased intangible assets was due to purchased intangible assets that were fully amortized in fiscal 2004 and in the first three months of fiscal 2005.</w:t>
      </w:r>
    </w:p>
    <w:p>
      <w:pPr>
        <w:spacing w:after="0" w:line="81" w:lineRule="exact"/>
        <w:rPr>
          <w:sz w:val="20"/>
          <w:szCs w:val="20"/>
          <w:color w:val="auto"/>
        </w:rPr>
      </w:pPr>
    </w:p>
    <w:p>
      <w:pPr>
        <w:ind w:right="2559" w:firstLine="581"/>
        <w:spacing w:after="0" w:line="270" w:lineRule="auto"/>
        <w:rPr>
          <w:sz w:val="20"/>
          <w:szCs w:val="20"/>
          <w:color w:val="auto"/>
        </w:rPr>
      </w:pPr>
      <w:r>
        <w:rPr>
          <w:rFonts w:ascii="Courier New" w:cs="Courier New" w:eastAsia="Courier New" w:hAnsi="Courier New"/>
          <w:sz w:val="16"/>
          <w:szCs w:val="16"/>
          <w:color w:val="auto"/>
        </w:rPr>
        <w:t>OPERATING INCOME. Operating income increased by $15.4 million, or 20%, in the three months ended June 30, 2005, to $92.1 million, or 18.2% of revenue, from $76.7 million, or 17.1% of revenue, in the three months ended June 30, 2004. The increase in operating income in the third quarter of fiscal 2005 is attributable to the 12.7% increase in our total revenue, which increased at a greater rate than the 11.2% increase in operating expense.</w:t>
      </w:r>
    </w:p>
    <w:p>
      <w:pPr>
        <w:spacing w:after="0" w:line="8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INTEREST INCOME AND OTHER, NET. Interest income and other, net increased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$4.2 million in the three months ended June 30, 2005 to $4.3 million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 million in the three months ended June 30, 2004. The increase in interest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and other, net, in the third quarter of fiscal 2005 is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the increase in market interest rates on our short-term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interest-bearing investments, and to the decrease in our</w:t>
      </w:r>
    </w:p>
    <w:p>
      <w:pPr>
        <w:spacing w:after="0" w:line="16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46" w:right="1440" w:bottom="1440" w:gutter="0" w:footer="0" w:header="0"/>
        </w:sectPr>
      </w:pPr>
    </w:p>
    <w:bookmarkStart w:id="27" w:name="page28"/>
    <w:bookmarkEnd w:id="27"/>
    <w:p>
      <w:pPr>
        <w:ind w:right="2659"/>
        <w:spacing w:after="0" w:line="367" w:lineRule="auto"/>
        <w:rPr>
          <w:sz w:val="20"/>
          <w:szCs w:val="20"/>
          <w:color w:val="auto"/>
        </w:rPr>
      </w:pPr>
      <w:r>
        <w:rPr>
          <w:rFonts w:ascii="Courier New" w:cs="Courier New" w:eastAsia="Courier New" w:hAnsi="Courier New"/>
          <w:sz w:val="16"/>
          <w:szCs w:val="16"/>
          <w:color w:val="auto"/>
        </w:rPr>
        <w:t>interest expense due to the redemption of our 2% Notes in June 2004, which was partially offset by interest expense on our 0.50% Notes issued in March 2004.</w:t>
      </w:r>
    </w:p>
    <w:p>
      <w:pPr>
        <w:spacing w:after="0" w:line="5" w:lineRule="exact"/>
        <w:rPr>
          <w:sz w:val="20"/>
          <w:szCs w:val="20"/>
          <w:color w:val="auto"/>
        </w:rPr>
      </w:pPr>
    </w:p>
    <w:p>
      <w:pPr>
        <w:ind w:right="2459" w:firstLine="581"/>
        <w:spacing w:after="0" w:line="264" w:lineRule="auto"/>
        <w:rPr>
          <w:sz w:val="20"/>
          <w:szCs w:val="20"/>
          <w:color w:val="auto"/>
        </w:rPr>
      </w:pPr>
      <w:r>
        <w:rPr>
          <w:rFonts w:ascii="Courier New" w:cs="Courier New" w:eastAsia="Courier New" w:hAnsi="Courier New"/>
          <w:sz w:val="16"/>
          <w:szCs w:val="16"/>
          <w:color w:val="auto"/>
        </w:rPr>
        <w:t>INCOME TAXES. Income taxes for the third quarter of fiscal 2005 were $19.3 million on pretax income of $96.4 million, an effective tax rate of 20% compared to 22% in the three months ended June 30, 2004. Our effective tax rate for fiscal year 2005 is expected to be approximately 20%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82" w:lineRule="exact"/>
        <w:rPr>
          <w:sz w:val="20"/>
          <w:szCs w:val="20"/>
          <w:color w:val="auto"/>
        </w:rPr>
      </w:pPr>
    </w:p>
    <w:p>
      <w:pPr>
        <w:ind w:right="2659" w:firstLine="581"/>
        <w:spacing w:after="0" w:line="276" w:lineRule="auto"/>
        <w:rPr>
          <w:sz w:val="20"/>
          <w:szCs w:val="20"/>
          <w:color w:val="auto"/>
        </w:rPr>
      </w:pPr>
      <w:r>
        <w:rPr>
          <w:rFonts w:ascii="Courier New" w:cs="Courier New" w:eastAsia="Courier New" w:hAnsi="Courier New"/>
          <w:sz w:val="16"/>
          <w:szCs w:val="16"/>
          <w:color w:val="auto"/>
        </w:rPr>
        <w:t>NET INCOME. Net income was $77.1 million in the third quarter of fiscal 2005, compared to a net income of $59.9 million in the three months ended June 30, 2004. The increase in net income is attributable to the 12.7% increase in our total revenue and the increase in interest income and other, net, which increased at a greater rate than operating expenses and income taxes.</w:t>
      </w:r>
    </w:p>
    <w:p>
      <w:pPr>
        <w:spacing w:after="0" w:line="7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DILUTED EARNINGS PER SHARE. Diluted earnings per share increased by $</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0.09, or 33.3%, in the three months ended June 30, 2005 to $0.36 from $0.27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three months ended June 30, 2004.</w:t>
      </w:r>
    </w:p>
    <w:p>
      <w:pPr>
        <w:spacing w:after="0" w:line="161" w:lineRule="exact"/>
        <w:rPr>
          <w:sz w:val="20"/>
          <w:szCs w:val="20"/>
          <w:color w:val="auto"/>
        </w:rPr>
      </w:pPr>
    </w:p>
    <w:p>
      <w:pPr>
        <w:ind w:right="2659" w:firstLine="581"/>
        <w:spacing w:after="0" w:line="266" w:lineRule="auto"/>
        <w:rPr>
          <w:sz w:val="20"/>
          <w:szCs w:val="20"/>
          <w:color w:val="auto"/>
        </w:rPr>
      </w:pPr>
      <w:r>
        <w:rPr>
          <w:rFonts w:ascii="Courier New" w:cs="Courier New" w:eastAsia="Courier New" w:hAnsi="Courier New"/>
          <w:sz w:val="16"/>
          <w:szCs w:val="16"/>
          <w:color w:val="auto"/>
        </w:rPr>
        <w:t>The shares issuable upon conversion of the 0.50% Notes were included in the diluted earnings per share calculation for the three months ended June 30, 2005 following the adoption of EITF 04-8, which required the addition of 10.4 million ordinary shares issuable upon conversion of our 0.50% Notes, to the diluted earnings per share calculation. The adoption of EITF 04-8 reduced our previously reported quarterly diluted earnings per share by 0.01 per share for the three months ended June 30, 2004.</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459" w:firstLine="581"/>
        <w:spacing w:after="0" w:line="258" w:lineRule="auto"/>
        <w:rPr>
          <w:sz w:val="20"/>
          <w:szCs w:val="20"/>
          <w:color w:val="auto"/>
        </w:rPr>
      </w:pPr>
      <w:r>
        <w:rPr>
          <w:rFonts w:ascii="Courier New" w:cs="Courier New" w:eastAsia="Courier New" w:hAnsi="Courier New"/>
          <w:sz w:val="16"/>
          <w:szCs w:val="16"/>
          <w:color w:val="auto"/>
        </w:rPr>
        <w:t>Cash, cash equivalents and short-term interest-bearing investments totaled $1,290.0 million as of June 30, 2005, compared to $1,190.7 million as of September 30, 2004. The increase is attributable to positive cash flows from operations which were partially offset by our use of $100.0 million to repurchase ordinary shares pursuant to our share repurchase program during the nine months ended June 30, 2005. Net cash provided by operating activities amounted to $256.6 million and $257.7 million for the nine months ended June 30, 2005 and 2004, respectively. As of August 3, 2005 approximately $268.0 million was paid in connection with DST and Longshine acquisitions. We currently intend to retain our future operating cash flows to support the further expansion of our business, including acquisitions.</w:t>
      </w:r>
    </w:p>
    <w:p>
      <w:pPr>
        <w:spacing w:after="0" w:line="93" w:lineRule="exact"/>
        <w:rPr>
          <w:sz w:val="20"/>
          <w:szCs w:val="20"/>
          <w:color w:val="auto"/>
        </w:rPr>
      </w:pPr>
    </w:p>
    <w:p>
      <w:pPr>
        <w:ind w:right="2459" w:firstLine="581"/>
        <w:spacing w:after="0" w:line="287" w:lineRule="auto"/>
        <w:rPr>
          <w:sz w:val="20"/>
          <w:szCs w:val="20"/>
          <w:color w:val="auto"/>
        </w:rPr>
      </w:pPr>
      <w:r>
        <w:rPr>
          <w:rFonts w:ascii="Courier New" w:cs="Courier New" w:eastAsia="Courier New" w:hAnsi="Courier New"/>
          <w:sz w:val="16"/>
          <w:szCs w:val="16"/>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65" w:lineRule="exact"/>
        <w:rPr>
          <w:sz w:val="20"/>
          <w:szCs w:val="20"/>
          <w:color w:val="auto"/>
        </w:rPr>
      </w:pPr>
    </w:p>
    <w:p>
      <w:pPr>
        <w:ind w:right="2659" w:firstLine="581"/>
        <w:spacing w:after="0" w:line="367" w:lineRule="auto"/>
        <w:rPr>
          <w:sz w:val="20"/>
          <w:szCs w:val="20"/>
          <w:color w:val="auto"/>
        </w:rPr>
      </w:pPr>
      <w:r>
        <w:rPr>
          <w:rFonts w:ascii="Courier New" w:cs="Courier New" w:eastAsia="Courier New" w:hAnsi="Courier New"/>
          <w:sz w:val="16"/>
          <w:szCs w:val="16"/>
          <w:color w:val="auto"/>
        </w:rPr>
        <w:t>As of June 30, 2005, $0.3 million and $450.0 million aggregate principal amount of our 2% Notes and 0.50% Notes were outstanding, respectively.</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On December 20, 2004, we announced that our Board of Directors had</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extended our share repurchase program for the additional repurchase of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million of our ordinary shares in the open market or privately negotiated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and at times and prices we deem appropriate. In accordance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extension, during the three months ended June 30, 2005, we had repurchased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approximately 3.5 million ordinary shares, at an average price of 28.33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w:t>
      </w:r>
    </w:p>
    <w:p>
      <w:pPr>
        <w:spacing w:after="0" w:line="161" w:lineRule="exact"/>
        <w:rPr>
          <w:sz w:val="20"/>
          <w:szCs w:val="20"/>
          <w:color w:val="auto"/>
        </w:rPr>
      </w:pPr>
    </w:p>
    <w:p>
      <w:pPr>
        <w:ind w:right="2659" w:firstLine="581"/>
        <w:spacing w:after="0" w:line="287" w:lineRule="auto"/>
        <w:rPr>
          <w:sz w:val="20"/>
          <w:szCs w:val="20"/>
          <w:color w:val="auto"/>
        </w:rPr>
      </w:pPr>
      <w:r>
        <w:rPr>
          <w:rFonts w:ascii="Courier New" w:cs="Courier New" w:eastAsia="Courier New" w:hAnsi="Courier New"/>
          <w:sz w:val="16"/>
          <w:szCs w:val="16"/>
          <w:color w:val="auto"/>
        </w:rPr>
        <w:t>As of June 30, 2005, we had available short-term general revolving lines of credit totaling $31.0 million, pursuant to which $1.0 million of loans were outstanding. In addition, as of June 30, 2005 we had outstanding letters of credit and bank guarantees from various banks totaling $13.8 million.</w:t>
      </w:r>
    </w:p>
    <w:p>
      <w:pPr>
        <w:spacing w:after="0" w:line="65" w:lineRule="exact"/>
        <w:rPr>
          <w:sz w:val="20"/>
          <w:szCs w:val="20"/>
          <w:color w:val="auto"/>
        </w:rPr>
      </w:pPr>
    </w:p>
    <w:p>
      <w:pPr>
        <w:ind w:right="2959" w:firstLine="581"/>
        <w:spacing w:after="0" w:line="367" w:lineRule="auto"/>
        <w:rPr>
          <w:sz w:val="20"/>
          <w:szCs w:val="20"/>
          <w:color w:val="auto"/>
        </w:rPr>
      </w:pPr>
      <w:r>
        <w:rPr>
          <w:rFonts w:ascii="Courier New" w:cs="Courier New" w:eastAsia="Courier New" w:hAnsi="Courier New"/>
          <w:sz w:val="16"/>
          <w:szCs w:val="16"/>
          <w:color w:val="auto"/>
        </w:rPr>
        <w:t>As of June 30, 2005, we had outstanding long-term obligations of $6.7 million in connection with leasing arrangements.</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46" w:right="1440" w:bottom="1440" w:gutter="0" w:footer="0" w:header="0"/>
        </w:sectPr>
      </w:pPr>
    </w:p>
    <w:bookmarkStart w:id="28" w:name="page29"/>
    <w:bookmarkEnd w:id="28"/>
    <w:p>
      <w:pPr>
        <w:ind w:right="2759" w:firstLine="581"/>
        <w:spacing w:after="0" w:line="259" w:lineRule="auto"/>
        <w:rPr>
          <w:sz w:val="20"/>
          <w:szCs w:val="20"/>
          <w:color w:val="auto"/>
        </w:rPr>
      </w:pPr>
      <w:r>
        <w:rPr>
          <w:rFonts w:ascii="Courier New" w:cs="Courier New" w:eastAsia="Courier New" w:hAnsi="Courier New"/>
          <w:sz w:val="16"/>
          <w:szCs w:val="16"/>
          <w:color w:val="auto"/>
        </w:rPr>
        <w:t>We have contractual obligations for our convertible notes, financing arrangements, capital leases and non-cancelable operating leases that were summarized in a table of contractual obligations in our Annual Report on Form</w:t>
      </w:r>
    </w:p>
    <w:p>
      <w:pPr>
        <w:spacing w:after="0" w:line="2" w:lineRule="exact"/>
        <w:rPr>
          <w:sz w:val="20"/>
          <w:szCs w:val="20"/>
          <w:color w:val="auto"/>
        </w:rPr>
      </w:pPr>
    </w:p>
    <w:p>
      <w:pPr>
        <w:ind w:right="2459"/>
        <w:spacing w:after="0" w:line="287" w:lineRule="auto"/>
        <w:rPr>
          <w:sz w:val="20"/>
          <w:szCs w:val="20"/>
          <w:color w:val="auto"/>
        </w:rPr>
      </w:pPr>
      <w:r>
        <w:rPr>
          <w:rFonts w:ascii="Courier New" w:cs="Courier New" w:eastAsia="Courier New" w:hAnsi="Courier New"/>
          <w:sz w:val="16"/>
          <w:szCs w:val="16"/>
          <w:color w:val="auto"/>
        </w:rPr>
        <w:t>20-F for the year ended September 30, 2004. Since September 30, 2004, there have been no material changes in contractual obligations outside the ordinary course of our business.</w:t>
      </w:r>
    </w:p>
    <w:p>
      <w:pPr>
        <w:spacing w:after="0" w:line="65" w:lineRule="exact"/>
        <w:rPr>
          <w:sz w:val="20"/>
          <w:szCs w:val="20"/>
          <w:color w:val="auto"/>
        </w:rPr>
      </w:pPr>
    </w:p>
    <w:p>
      <w:pPr>
        <w:ind w:right="2459" w:firstLine="581"/>
        <w:spacing w:after="0" w:line="276" w:lineRule="auto"/>
        <w:rPr>
          <w:sz w:val="20"/>
          <w:szCs w:val="20"/>
          <w:color w:val="auto"/>
        </w:rPr>
      </w:pPr>
      <w:r>
        <w:rPr>
          <w:rFonts w:ascii="Courier New" w:cs="Courier New" w:eastAsia="Courier New" w:hAnsi="Courier New"/>
          <w:sz w:val="16"/>
          <w:szCs w:val="16"/>
          <w:color w:val="auto"/>
        </w:rPr>
        <w:t>Our capital expenditures were approximately $53.8 million in the nine months ended June 30, 2005. Approximately 78%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CURRENCY FLUCTUATIONS</w:t>
      </w:r>
    </w:p>
    <w:p>
      <w:pPr>
        <w:spacing w:after="0" w:line="191" w:lineRule="exact"/>
        <w:rPr>
          <w:sz w:val="20"/>
          <w:szCs w:val="20"/>
          <w:color w:val="auto"/>
        </w:rPr>
      </w:pPr>
    </w:p>
    <w:p>
      <w:pPr>
        <w:ind w:right="2459" w:firstLine="581"/>
        <w:spacing w:after="0" w:line="266" w:lineRule="auto"/>
        <w:rPr>
          <w:sz w:val="20"/>
          <w:szCs w:val="20"/>
          <w:color w:val="auto"/>
        </w:rPr>
      </w:pPr>
      <w:r>
        <w:rPr>
          <w:rFonts w:ascii="Courier New" w:cs="Courier New" w:eastAsia="Courier New" w:hAnsi="Courier New"/>
          <w:sz w:val="16"/>
          <w:szCs w:val="16"/>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the Amdocs group.</w:t>
      </w:r>
    </w:p>
    <w:p>
      <w:pPr>
        <w:spacing w:after="0" w:line="85" w:lineRule="exact"/>
        <w:rPr>
          <w:sz w:val="20"/>
          <w:szCs w:val="20"/>
          <w:color w:val="auto"/>
        </w:rPr>
      </w:pPr>
    </w:p>
    <w:p>
      <w:pPr>
        <w:ind w:right="2459" w:firstLine="581"/>
        <w:spacing w:after="0" w:line="257" w:lineRule="auto"/>
        <w:rPr>
          <w:sz w:val="20"/>
          <w:szCs w:val="20"/>
          <w:color w:val="auto"/>
        </w:rPr>
      </w:pPr>
      <w:r>
        <w:rPr>
          <w:rFonts w:ascii="Courier New" w:cs="Courier New" w:eastAsia="Courier New" w:hAnsi="Courier New"/>
          <w:sz w:val="16"/>
          <w:szCs w:val="16"/>
          <w:color w:val="auto"/>
        </w:rPr>
        <w:t>During the nine months ended June 30, 2005, approximately 70% of our revenue and approximately 50% of our operating expenses were in U.S. dollars or linked to the U.S. dollar.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9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46" w:right="1440" w:bottom="1440" w:gutter="0" w:footer="0" w:header="0"/>
        </w:sectPr>
      </w:pPr>
    </w:p>
    <w:bookmarkStart w:id="29" w:name="page30"/>
    <w:bookmarkEnd w:id="29"/>
    <w:p>
      <w:pPr>
        <w:ind w:left="1"/>
        <w:spacing w:after="0"/>
        <w:tabs>
          <w:tab w:leader="none" w:pos="86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191" w:lineRule="exact"/>
        <w:rPr>
          <w:sz w:val="20"/>
          <w:szCs w:val="20"/>
          <w:color w:val="auto"/>
        </w:rPr>
      </w:pPr>
    </w:p>
    <w:p>
      <w:pPr>
        <w:ind w:left="1" w:right="2820"/>
        <w:spacing w:after="0" w:line="367" w:lineRule="auto"/>
        <w:rPr>
          <w:sz w:val="20"/>
          <w:szCs w:val="20"/>
          <w:color w:val="auto"/>
        </w:rPr>
      </w:pPr>
      <w:r>
        <w:rPr>
          <w:rFonts w:ascii="Courier New" w:cs="Courier New" w:eastAsia="Courier New" w:hAnsi="Courier New"/>
          <w:sz w:val="16"/>
          <w:szCs w:val="16"/>
          <w:color w:val="auto"/>
        </w:rPr>
        <w:t>ITEM 1. CHANGES IN SECURITIES, USE OF PROCEEDS AND ISSUER PURCHASES OF EQUITY SECURITIES.</w:t>
      </w:r>
    </w:p>
    <w:p>
      <w:pPr>
        <w:spacing w:after="0" w:line="5" w:lineRule="exact"/>
        <w:rPr>
          <w:sz w:val="20"/>
          <w:szCs w:val="20"/>
          <w:color w:val="auto"/>
        </w:rPr>
      </w:pPr>
    </w:p>
    <w:p>
      <w:pPr>
        <w:ind w:left="581" w:hanging="581"/>
        <w:spacing w:after="0"/>
        <w:tabs>
          <w:tab w:leader="none" w:pos="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Purchases of Equity Securities</w:t>
      </w:r>
    </w:p>
    <w:p>
      <w:pPr>
        <w:spacing w:after="0" w:line="191" w:lineRule="exact"/>
        <w:rPr>
          <w:sz w:val="20"/>
          <w:szCs w:val="20"/>
          <w:color w:val="auto"/>
        </w:rPr>
      </w:pPr>
    </w:p>
    <w:p>
      <w:pPr>
        <w:ind w:left="1" w:right="2720" w:firstLine="581"/>
        <w:spacing w:after="0" w:line="287" w:lineRule="auto"/>
        <w:rPr>
          <w:sz w:val="20"/>
          <w:szCs w:val="20"/>
          <w:color w:val="auto"/>
        </w:rPr>
      </w:pPr>
      <w:r>
        <w:rPr>
          <w:rFonts w:ascii="Courier New" w:cs="Courier New" w:eastAsia="Courier New" w:hAnsi="Courier New"/>
          <w:sz w:val="16"/>
          <w:szCs w:val="16"/>
          <w:color w:val="auto"/>
        </w:rPr>
        <w:t>The following table provides information about purchases by the Company and its affiliated purchasers during the quarter ended June 30, 2005 of equity securities that are registered by the Company pursuant to Section 12 of the Securities Exchange Act of 1934:</w:t>
      </w:r>
    </w:p>
    <w:p>
      <w:pPr>
        <w:spacing w:after="0" w:line="65" w:lineRule="exact"/>
        <w:rPr>
          <w:sz w:val="20"/>
          <w:szCs w:val="20"/>
          <w:color w:val="auto"/>
        </w:rPr>
      </w:pPr>
    </w:p>
    <w:p>
      <w:pPr>
        <w:ind w:left="2141"/>
        <w:spacing w:after="0"/>
        <w:rPr>
          <w:sz w:val="20"/>
          <w:szCs w:val="20"/>
          <w:color w:val="auto"/>
        </w:rPr>
      </w:pPr>
      <w:r>
        <w:rPr>
          <w:rFonts w:ascii="Courier New" w:cs="Courier New" w:eastAsia="Courier New" w:hAnsi="Courier New"/>
          <w:sz w:val="16"/>
          <w:szCs w:val="16"/>
          <w:color w:val="auto"/>
        </w:rPr>
        <w:t>ISSUER PURCHASES OF EQUITY SECURITIES</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20" w:type="dxa"/>
            <w:vAlign w:val="bottom"/>
          </w:tcPr>
          <w:p>
            <w:pPr>
              <w:jc w:val="right"/>
              <w:ind w:right="1019"/>
              <w:spacing w:after="0"/>
              <w:rPr>
                <w:sz w:val="20"/>
                <w:szCs w:val="20"/>
                <w:color w:val="auto"/>
              </w:rPr>
            </w:pPr>
            <w:r>
              <w:rPr>
                <w:rFonts w:ascii="Courier New" w:cs="Courier New" w:eastAsia="Courier New" w:hAnsi="Courier New"/>
                <w:sz w:val="16"/>
                <w:szCs w:val="16"/>
                <w:color w:val="auto"/>
              </w:rPr>
              <w:t>(c)</w:t>
            </w:r>
          </w:p>
        </w:tc>
        <w:tc>
          <w:tcPr>
            <w:tcW w:w="108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MAXIMUM</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(d)</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2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TOTAL NUMBER OF</w:t>
            </w:r>
          </w:p>
        </w:tc>
        <w:tc>
          <w:tcPr>
            <w:tcW w:w="1080" w:type="dxa"/>
            <w:vAlign w:val="bottom"/>
            <w:vMerge w:val="continue"/>
          </w:tcPr>
          <w:p>
            <w:pPr>
              <w:spacing w:after="0"/>
              <w:rPr>
                <w:sz w:val="16"/>
                <w:szCs w:val="16"/>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NUMBER (OR</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2000" w:type="dxa"/>
            <w:vAlign w:val="bottom"/>
            <w:vMerge w:val="restart"/>
          </w:tcPr>
          <w:p>
            <w:pPr>
              <w:jc w:val="right"/>
              <w:ind w:right="999"/>
              <w:spacing w:after="0"/>
              <w:rPr>
                <w:sz w:val="20"/>
                <w:szCs w:val="20"/>
                <w:color w:val="auto"/>
              </w:rPr>
            </w:pPr>
            <w:r>
              <w:rPr>
                <w:rFonts w:ascii="Courier New" w:cs="Courier New" w:eastAsia="Courier New" w:hAnsi="Courier New"/>
                <w:sz w:val="16"/>
                <w:szCs w:val="16"/>
                <w:color w:val="auto"/>
              </w:rPr>
              <w:t>(a)</w:t>
            </w:r>
          </w:p>
        </w:tc>
        <w:tc>
          <w:tcPr>
            <w:tcW w:w="520" w:type="dxa"/>
            <w:vAlign w:val="bottom"/>
          </w:tcPr>
          <w:p>
            <w:pPr>
              <w:spacing w:after="0"/>
              <w:rPr>
                <w:sz w:val="16"/>
                <w:szCs w:val="16"/>
                <w:color w:val="auto"/>
              </w:rPr>
            </w:pPr>
          </w:p>
        </w:tc>
        <w:tc>
          <w:tcPr>
            <w:tcW w:w="1180" w:type="dxa"/>
            <w:vAlign w:val="bottom"/>
            <w:vMerge w:val="restart"/>
          </w:tcPr>
          <w:p>
            <w:pPr>
              <w:jc w:val="right"/>
              <w:ind w:right="759"/>
              <w:spacing w:after="0"/>
              <w:rPr>
                <w:sz w:val="20"/>
                <w:szCs w:val="20"/>
                <w:color w:val="auto"/>
              </w:rPr>
            </w:pPr>
            <w:r>
              <w:rPr>
                <w:rFonts w:ascii="Courier New" w:cs="Courier New" w:eastAsia="Courier New" w:hAnsi="Courier New"/>
                <w:sz w:val="16"/>
                <w:szCs w:val="16"/>
                <w:color w:val="auto"/>
              </w:rPr>
              <w:t>(b)</w:t>
            </w:r>
          </w:p>
        </w:tc>
        <w:tc>
          <w:tcPr>
            <w:tcW w:w="20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SHARES (OR UNITS)</w:t>
            </w:r>
          </w:p>
        </w:tc>
        <w:tc>
          <w:tcPr>
            <w:tcW w:w="24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APPROXIMATE DOLLAR</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20" w:type="dxa"/>
            <w:vAlign w:val="bottom"/>
          </w:tcPr>
          <w:p>
            <w:pPr>
              <w:jc w:val="center"/>
              <w:ind w:right="219"/>
              <w:spacing w:after="0"/>
              <w:rPr>
                <w:sz w:val="20"/>
                <w:szCs w:val="20"/>
                <w:color w:val="auto"/>
              </w:rPr>
            </w:pPr>
            <w:r>
              <w:rPr>
                <w:rFonts w:ascii="Courier New" w:cs="Courier New" w:eastAsia="Courier New" w:hAnsi="Courier New"/>
                <w:sz w:val="16"/>
                <w:szCs w:val="16"/>
                <w:color w:val="auto"/>
              </w:rPr>
              <w:t>PURCHASED AS PART</w:t>
            </w:r>
          </w:p>
        </w:tc>
        <w:tc>
          <w:tcPr>
            <w:tcW w:w="24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VALUE) OF SHARES (OR</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2000" w:type="dxa"/>
            <w:vAlign w:val="bottom"/>
          </w:tcPr>
          <w:p>
            <w:pPr>
              <w:jc w:val="center"/>
              <w:ind w:right="159"/>
              <w:spacing w:after="0"/>
              <w:rPr>
                <w:sz w:val="20"/>
                <w:szCs w:val="20"/>
                <w:color w:val="auto"/>
              </w:rPr>
            </w:pPr>
            <w:r>
              <w:rPr>
                <w:rFonts w:ascii="Courier New" w:cs="Courier New" w:eastAsia="Courier New" w:hAnsi="Courier New"/>
                <w:sz w:val="16"/>
                <w:szCs w:val="16"/>
                <w:color w:val="auto"/>
                <w:w w:val="99"/>
              </w:rPr>
              <w:t>TOTAL NUMBER OF</w:t>
            </w:r>
          </w:p>
        </w:tc>
        <w:tc>
          <w:tcPr>
            <w:tcW w:w="1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AVERAGE PRICE</w:t>
            </w:r>
          </w:p>
        </w:tc>
        <w:tc>
          <w:tcPr>
            <w:tcW w:w="202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OF PUBLICLY</w:t>
            </w:r>
          </w:p>
        </w:tc>
        <w:tc>
          <w:tcPr>
            <w:tcW w:w="24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UNITS) THAT MAY YET BE</w:t>
            </w:r>
          </w:p>
        </w:tc>
        <w:tc>
          <w:tcPr>
            <w:tcW w:w="0" w:type="dxa"/>
            <w:vAlign w:val="bottom"/>
          </w:tcPr>
          <w:p>
            <w:pPr>
              <w:spacing w:after="0"/>
              <w:rPr>
                <w:sz w:val="1"/>
                <w:szCs w:val="1"/>
                <w:color w:val="auto"/>
              </w:rPr>
            </w:pPr>
          </w:p>
        </w:tc>
      </w:tr>
      <w:tr>
        <w:trPr>
          <w:trHeight w:val="186"/>
        </w:trPr>
        <w:tc>
          <w:tcPr>
            <w:tcW w:w="188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PERIOD</w:t>
            </w:r>
          </w:p>
        </w:tc>
        <w:tc>
          <w:tcPr>
            <w:tcW w:w="20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SHARES (OR UNITS)</w:t>
            </w:r>
          </w:p>
        </w:tc>
        <w:tc>
          <w:tcPr>
            <w:tcW w:w="17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PAID PER SHARE</w:t>
            </w:r>
          </w:p>
        </w:tc>
        <w:tc>
          <w:tcPr>
            <w:tcW w:w="2020" w:type="dxa"/>
            <w:vAlign w:val="bottom"/>
          </w:tcPr>
          <w:p>
            <w:pPr>
              <w:jc w:val="center"/>
              <w:ind w:right="199"/>
              <w:spacing w:after="0"/>
              <w:rPr>
                <w:sz w:val="20"/>
                <w:szCs w:val="20"/>
                <w:color w:val="auto"/>
              </w:rPr>
            </w:pPr>
            <w:r>
              <w:rPr>
                <w:rFonts w:ascii="Courier New" w:cs="Courier New" w:eastAsia="Courier New" w:hAnsi="Courier New"/>
                <w:sz w:val="16"/>
                <w:szCs w:val="16"/>
                <w:color w:val="auto"/>
              </w:rPr>
              <w:t>ANNOUNCED PLANS</w:t>
            </w:r>
          </w:p>
        </w:tc>
        <w:tc>
          <w:tcPr>
            <w:tcW w:w="24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PURCHASED UNDER THE</w:t>
            </w: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2000" w:type="dxa"/>
            <w:vAlign w:val="bottom"/>
          </w:tcPr>
          <w:p>
            <w:pPr>
              <w:jc w:val="center"/>
              <w:ind w:right="159"/>
              <w:spacing w:after="0"/>
              <w:rPr>
                <w:sz w:val="20"/>
                <w:szCs w:val="20"/>
                <w:color w:val="auto"/>
              </w:rPr>
            </w:pPr>
            <w:r>
              <w:rPr>
                <w:rFonts w:ascii="Courier New" w:cs="Courier New" w:eastAsia="Courier New" w:hAnsi="Courier New"/>
                <w:sz w:val="16"/>
                <w:szCs w:val="16"/>
                <w:color w:val="auto"/>
              </w:rPr>
              <w:t>PURCHASED</w:t>
            </w:r>
          </w:p>
        </w:tc>
        <w:tc>
          <w:tcPr>
            <w:tcW w:w="17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(OR UNIT)</w:t>
            </w:r>
          </w:p>
        </w:tc>
        <w:tc>
          <w:tcPr>
            <w:tcW w:w="2020" w:type="dxa"/>
            <w:vAlign w:val="bottom"/>
          </w:tcPr>
          <w:p>
            <w:pPr>
              <w:ind w:left="240"/>
              <w:spacing w:after="0"/>
              <w:rPr>
                <w:sz w:val="20"/>
                <w:szCs w:val="20"/>
                <w:color w:val="auto"/>
              </w:rPr>
            </w:pPr>
            <w:r>
              <w:rPr>
                <w:rFonts w:ascii="Courier New" w:cs="Courier New" w:eastAsia="Courier New" w:hAnsi="Courier New"/>
                <w:sz w:val="16"/>
                <w:szCs w:val="16"/>
                <w:color w:val="auto"/>
              </w:rPr>
              <w:t>OR PROGRAMS</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PLANS OR</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PROGRAMS (1)</w:t>
            </w:r>
          </w:p>
        </w:tc>
        <w:tc>
          <w:tcPr>
            <w:tcW w:w="0" w:type="dxa"/>
            <w:vAlign w:val="bottom"/>
          </w:tcPr>
          <w:p>
            <w:pPr>
              <w:spacing w:after="0"/>
              <w:rPr>
                <w:sz w:val="1"/>
                <w:szCs w:val="1"/>
                <w:color w:val="auto"/>
              </w:rPr>
            </w:pPr>
          </w:p>
        </w:tc>
      </w:tr>
      <w:tr>
        <w:trPr>
          <w:trHeight w:val="273"/>
        </w:trPr>
        <w:tc>
          <w:tcPr>
            <w:tcW w:w="1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248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1880" w:type="dxa"/>
            <w:vAlign w:val="bottom"/>
          </w:tcPr>
          <w:p>
            <w:pPr>
              <w:spacing w:after="0"/>
              <w:rPr>
                <w:sz w:val="20"/>
                <w:szCs w:val="20"/>
                <w:color w:val="auto"/>
              </w:rPr>
            </w:pPr>
            <w:r>
              <w:rPr>
                <w:rFonts w:ascii="Courier New" w:cs="Courier New" w:eastAsia="Courier New" w:hAnsi="Courier New"/>
                <w:sz w:val="16"/>
                <w:szCs w:val="16"/>
                <w:color w:val="auto"/>
              </w:rPr>
              <w:t>04/01/05-04/30/05</w:t>
            </w:r>
          </w:p>
        </w:tc>
        <w:tc>
          <w:tcPr>
            <w:tcW w:w="20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c>
          <w:tcPr>
            <w:tcW w:w="1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1880" w:type="dxa"/>
            <w:vAlign w:val="bottom"/>
          </w:tcPr>
          <w:p>
            <w:pPr>
              <w:spacing w:after="0"/>
              <w:rPr>
                <w:sz w:val="20"/>
                <w:szCs w:val="20"/>
                <w:color w:val="auto"/>
              </w:rPr>
            </w:pPr>
            <w:r>
              <w:rPr>
                <w:rFonts w:ascii="Courier New" w:cs="Courier New" w:eastAsia="Courier New" w:hAnsi="Courier New"/>
                <w:sz w:val="16"/>
                <w:szCs w:val="16"/>
                <w:color w:val="auto"/>
              </w:rPr>
              <w:t>05/01/05-05/31/05</w:t>
            </w:r>
          </w:p>
        </w:tc>
        <w:tc>
          <w:tcPr>
            <w:tcW w:w="20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3,525,200</w:t>
            </w:r>
          </w:p>
        </w:tc>
        <w:tc>
          <w:tcPr>
            <w:tcW w:w="52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28.33</w:t>
            </w:r>
          </w:p>
        </w:tc>
        <w:tc>
          <w:tcPr>
            <w:tcW w:w="2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3,525,200</w:t>
            </w:r>
          </w:p>
        </w:tc>
        <w:tc>
          <w:tcPr>
            <w:tcW w:w="10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7"/>
        </w:trPr>
        <w:tc>
          <w:tcPr>
            <w:tcW w:w="1880" w:type="dxa"/>
            <w:vAlign w:val="bottom"/>
          </w:tcPr>
          <w:p>
            <w:pPr>
              <w:spacing w:after="0"/>
              <w:rPr>
                <w:sz w:val="20"/>
                <w:szCs w:val="20"/>
                <w:color w:val="auto"/>
              </w:rPr>
            </w:pPr>
            <w:r>
              <w:rPr>
                <w:rFonts w:ascii="Courier New" w:cs="Courier New" w:eastAsia="Courier New" w:hAnsi="Courier New"/>
                <w:sz w:val="16"/>
                <w:szCs w:val="16"/>
                <w:color w:val="auto"/>
              </w:rPr>
              <w:t>06/01/05-06/30/05</w:t>
            </w:r>
          </w:p>
        </w:tc>
        <w:tc>
          <w:tcPr>
            <w:tcW w:w="20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4"/>
                <w:szCs w:val="24"/>
                <w:color w:val="auto"/>
              </w:rPr>
            </w:pPr>
          </w:p>
        </w:tc>
        <w:tc>
          <w:tcPr>
            <w:tcW w:w="118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2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188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20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2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559"/>
              <w:spacing w:after="0"/>
              <w:rPr>
                <w:sz w:val="20"/>
                <w:szCs w:val="20"/>
                <w:color w:val="auto"/>
              </w:rPr>
            </w:pPr>
            <w:r>
              <w:rPr>
                <w:rFonts w:ascii="Courier New" w:cs="Courier New" w:eastAsia="Courier New" w:hAnsi="Courier New"/>
                <w:sz w:val="16"/>
                <w:szCs w:val="16"/>
                <w:color w:val="auto"/>
              </w:rPr>
              <w:t>28.33</w:t>
            </w:r>
          </w:p>
        </w:tc>
        <w:tc>
          <w:tcPr>
            <w:tcW w:w="2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4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20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3,525,200</w:t>
            </w:r>
          </w:p>
        </w:tc>
        <w:tc>
          <w:tcPr>
            <w:tcW w:w="520" w:type="dxa"/>
            <w:vAlign w:val="bottom"/>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3,525,200</w:t>
            </w:r>
          </w:p>
        </w:tc>
        <w:tc>
          <w:tcPr>
            <w:tcW w:w="10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880" w:type="dxa"/>
            <w:vAlign w:val="bottom"/>
          </w:tcPr>
          <w:p>
            <w:pPr>
              <w:spacing w:after="0"/>
              <w:rPr>
                <w:sz w:val="23"/>
                <w:szCs w:val="23"/>
                <w:color w:val="auto"/>
              </w:rPr>
            </w:pPr>
          </w:p>
        </w:tc>
        <w:tc>
          <w:tcPr>
            <w:tcW w:w="20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1" w:right="2520" w:hanging="581"/>
        <w:spacing w:after="0" w:line="266" w:lineRule="auto"/>
        <w:tabs>
          <w:tab w:leader="none" w:pos="5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20, 2004, the Company announced that its Board of Directors had extended the Company's share repurchase program for the additional repurchase of up to $100 million of our ordinary shares in the open market or privately negotiated transactions and at times and prices we deem appropriate. In accordance with this extension, during the three months ended June 30, 2005, the Company had repurchased approximately 3.5 million ordinary shares, at an average price of 28.33 per share.</w:t>
      </w:r>
    </w:p>
    <w:p>
      <w:pPr>
        <w:spacing w:after="0" w:line="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Convertible Notes</w:t>
      </w:r>
    </w:p>
    <w:p>
      <w:pPr>
        <w:spacing w:after="0" w:line="200" w:lineRule="exact"/>
        <w:rPr>
          <w:sz w:val="20"/>
          <w:szCs w:val="20"/>
          <w:color w:val="auto"/>
        </w:rPr>
      </w:pPr>
    </w:p>
    <w:p>
      <w:pPr>
        <w:spacing w:after="0" w:line="364" w:lineRule="exact"/>
        <w:rPr>
          <w:sz w:val="20"/>
          <w:szCs w:val="20"/>
          <w:color w:val="auto"/>
        </w:rPr>
      </w:pPr>
    </w:p>
    <w:tbl>
      <w:tblPr>
        <w:tblLayout w:type="fixed"/>
        <w:tblInd w:w="1" w:type="dxa"/>
        <w:tblCellMar>
          <w:top w:w="0" w:type="dxa"/>
          <w:left w:w="0" w:type="dxa"/>
          <w:bottom w:w="0" w:type="dxa"/>
          <w:right w:w="0" w:type="dxa"/>
        </w:tblCellMar>
      </w:tblPr>
      <w:tr>
        <w:trPr>
          <w:trHeight w:val="186"/>
        </w:trPr>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center"/>
              <w:ind w:right="559"/>
              <w:spacing w:after="0"/>
              <w:rPr>
                <w:sz w:val="20"/>
                <w:szCs w:val="20"/>
                <w:color w:val="auto"/>
              </w:rPr>
            </w:pPr>
            <w:r>
              <w:rPr>
                <w:rFonts w:ascii="Courier New" w:cs="Courier New" w:eastAsia="Courier New" w:hAnsi="Courier New"/>
                <w:sz w:val="16"/>
                <w:szCs w:val="16"/>
                <w:color w:val="auto"/>
                <w:w w:val="97"/>
              </w:rPr>
              <w:t>(b)</w:t>
            </w:r>
          </w:p>
        </w:tc>
        <w:tc>
          <w:tcPr>
            <w:tcW w:w="1160" w:type="dxa"/>
            <w:vAlign w:val="bottom"/>
          </w:tcPr>
          <w:p>
            <w:pPr>
              <w:ind w:left="820"/>
              <w:spacing w:after="0"/>
              <w:rPr>
                <w:sz w:val="20"/>
                <w:szCs w:val="20"/>
                <w:color w:val="auto"/>
              </w:rPr>
            </w:pPr>
            <w:r>
              <w:rPr>
                <w:rFonts w:ascii="Courier New" w:cs="Courier New" w:eastAsia="Courier New" w:hAnsi="Courier New"/>
                <w:sz w:val="16"/>
                <w:szCs w:val="16"/>
                <w:color w:val="auto"/>
              </w:rPr>
              <w:t>(c)</w:t>
            </w: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(d)</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0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AVERAGE PRICE</w:t>
            </w:r>
          </w:p>
        </w:tc>
        <w:tc>
          <w:tcPr>
            <w:tcW w:w="22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w w:val="99"/>
              </w:rPr>
              <w:t>TOTAL NUMBER OF</w:t>
            </w:r>
          </w:p>
        </w:tc>
        <w:tc>
          <w:tcPr>
            <w:tcW w:w="24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MAXIMUM NUMBER (OR</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vMerge w:val="restart"/>
          </w:tcPr>
          <w:p>
            <w:pPr>
              <w:jc w:val="right"/>
              <w:ind w:right="999"/>
              <w:spacing w:after="0"/>
              <w:rPr>
                <w:sz w:val="20"/>
                <w:szCs w:val="20"/>
                <w:color w:val="auto"/>
              </w:rPr>
            </w:pPr>
            <w:r>
              <w:rPr>
                <w:rFonts w:ascii="Courier New" w:cs="Courier New" w:eastAsia="Courier New" w:hAnsi="Courier New"/>
                <w:sz w:val="16"/>
                <w:szCs w:val="16"/>
                <w:color w:val="auto"/>
              </w:rPr>
              <w:t>(a)</w:t>
            </w:r>
          </w:p>
        </w:tc>
        <w:tc>
          <w:tcPr>
            <w:tcW w:w="170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PAID PER</w:t>
            </w:r>
          </w:p>
        </w:tc>
        <w:tc>
          <w:tcPr>
            <w:tcW w:w="22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PRINCIPAL AMOUNT OF</w:t>
            </w:r>
          </w:p>
        </w:tc>
        <w:tc>
          <w:tcPr>
            <w:tcW w:w="24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APPROXIMATE DOLLAR</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659"/>
              <w:spacing w:after="0"/>
              <w:rPr>
                <w:sz w:val="20"/>
                <w:szCs w:val="20"/>
                <w:color w:val="auto"/>
              </w:rPr>
            </w:pPr>
            <w:r>
              <w:rPr>
                <w:rFonts w:ascii="Courier New" w:cs="Courier New" w:eastAsia="Courier New" w:hAnsi="Courier New"/>
                <w:sz w:val="16"/>
                <w:szCs w:val="16"/>
                <w:color w:val="auto"/>
                <w:w w:val="97"/>
              </w:rPr>
              <w:t>$1,000</w:t>
            </w:r>
          </w:p>
        </w:tc>
        <w:tc>
          <w:tcPr>
            <w:tcW w:w="22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CONVERTIBLE NOTES</w:t>
            </w:r>
          </w:p>
        </w:tc>
        <w:tc>
          <w:tcPr>
            <w:tcW w:w="24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VALUE) OF PRINCIPAL</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200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TOTAL PRINCIPAL</w:t>
            </w:r>
          </w:p>
        </w:tc>
        <w:tc>
          <w:tcPr>
            <w:tcW w:w="1700" w:type="dxa"/>
            <w:vAlign w:val="bottom"/>
            <w:gridSpan w:val="2"/>
          </w:tcPr>
          <w:p>
            <w:pPr>
              <w:jc w:val="center"/>
              <w:ind w:right="179"/>
              <w:spacing w:after="0"/>
              <w:rPr>
                <w:sz w:val="20"/>
                <w:szCs w:val="20"/>
                <w:color w:val="auto"/>
              </w:rPr>
            </w:pPr>
            <w:r>
              <w:rPr>
                <w:rFonts w:ascii="Courier New" w:cs="Courier New" w:eastAsia="Courier New" w:hAnsi="Courier New"/>
                <w:sz w:val="16"/>
                <w:szCs w:val="16"/>
                <w:color w:val="auto"/>
              </w:rPr>
              <w:t>PRINCIPAL</w:t>
            </w:r>
          </w:p>
        </w:tc>
        <w:tc>
          <w:tcPr>
            <w:tcW w:w="2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PURCHASED AS PART</w:t>
            </w:r>
          </w:p>
        </w:tc>
        <w:tc>
          <w:tcPr>
            <w:tcW w:w="840" w:type="dxa"/>
            <w:vAlign w:val="bottom"/>
          </w:tcPr>
          <w:p>
            <w:pPr>
              <w:ind w:left="200"/>
              <w:spacing w:after="0"/>
              <w:rPr>
                <w:sz w:val="20"/>
                <w:szCs w:val="20"/>
                <w:color w:val="auto"/>
              </w:rPr>
            </w:pPr>
            <w:r>
              <w:rPr>
                <w:rFonts w:ascii="Courier New" w:cs="Courier New" w:eastAsia="Courier New" w:hAnsi="Courier New"/>
                <w:sz w:val="16"/>
                <w:szCs w:val="16"/>
                <w:color w:val="auto"/>
              </w:rPr>
              <w:t>AMOUNT</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OF CONVERTIBLE</w:t>
            </w: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AMOUNT OF</w:t>
            </w:r>
          </w:p>
        </w:tc>
        <w:tc>
          <w:tcPr>
            <w:tcW w:w="1700" w:type="dxa"/>
            <w:vAlign w:val="bottom"/>
            <w:gridSpan w:val="2"/>
          </w:tcPr>
          <w:p>
            <w:pPr>
              <w:jc w:val="center"/>
              <w:ind w:right="179"/>
              <w:spacing w:after="0"/>
              <w:rPr>
                <w:sz w:val="20"/>
                <w:szCs w:val="20"/>
                <w:color w:val="auto"/>
              </w:rPr>
            </w:pPr>
            <w:r>
              <w:rPr>
                <w:rFonts w:ascii="Courier New" w:cs="Courier New" w:eastAsia="Courier New" w:hAnsi="Courier New"/>
                <w:sz w:val="16"/>
                <w:szCs w:val="16"/>
                <w:color w:val="auto"/>
              </w:rPr>
              <w:t>AMOUNT OF</w:t>
            </w:r>
          </w:p>
        </w:tc>
        <w:tc>
          <w:tcPr>
            <w:tcW w:w="2260" w:type="dxa"/>
            <w:vAlign w:val="bottom"/>
            <w:gridSpan w:val="2"/>
          </w:tcPr>
          <w:p>
            <w:pPr>
              <w:jc w:val="center"/>
              <w:ind w:right="59"/>
              <w:spacing w:after="0"/>
              <w:rPr>
                <w:sz w:val="20"/>
                <w:szCs w:val="20"/>
                <w:color w:val="auto"/>
              </w:rPr>
            </w:pPr>
            <w:r>
              <w:rPr>
                <w:rFonts w:ascii="Courier New" w:cs="Courier New" w:eastAsia="Courier New" w:hAnsi="Courier New"/>
                <w:sz w:val="16"/>
                <w:szCs w:val="16"/>
                <w:color w:val="auto"/>
              </w:rPr>
              <w:t>OF PUBLICLY</w:t>
            </w:r>
          </w:p>
        </w:tc>
        <w:tc>
          <w:tcPr>
            <w:tcW w:w="24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NOTES THAT MAY YET BE</w:t>
            </w:r>
          </w:p>
        </w:tc>
        <w:tc>
          <w:tcPr>
            <w:tcW w:w="0" w:type="dxa"/>
            <w:vAlign w:val="bottom"/>
          </w:tcPr>
          <w:p>
            <w:pPr>
              <w:spacing w:after="0"/>
              <w:rPr>
                <w:sz w:val="1"/>
                <w:szCs w:val="1"/>
                <w:color w:val="auto"/>
              </w:rPr>
            </w:pPr>
          </w:p>
        </w:tc>
      </w:tr>
      <w:tr>
        <w:trPr>
          <w:trHeight w:val="186"/>
        </w:trPr>
        <w:tc>
          <w:tcPr>
            <w:tcW w:w="1880" w:type="dxa"/>
            <w:vAlign w:val="bottom"/>
            <w:vMerge w:val="restart"/>
          </w:tcPr>
          <w:p>
            <w:pPr>
              <w:ind w:left="580"/>
              <w:spacing w:after="0"/>
              <w:rPr>
                <w:sz w:val="20"/>
                <w:szCs w:val="20"/>
                <w:color w:val="auto"/>
              </w:rPr>
            </w:pPr>
            <w:r>
              <w:rPr>
                <w:rFonts w:ascii="Courier New" w:cs="Courier New" w:eastAsia="Courier New" w:hAnsi="Courier New"/>
                <w:sz w:val="16"/>
                <w:szCs w:val="16"/>
                <w:color w:val="auto"/>
              </w:rPr>
              <w:t>PERIOD</w:t>
            </w:r>
          </w:p>
        </w:tc>
        <w:tc>
          <w:tcPr>
            <w:tcW w:w="200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CONVERTIBLE NOTES</w:t>
            </w:r>
          </w:p>
        </w:tc>
        <w:tc>
          <w:tcPr>
            <w:tcW w:w="1700" w:type="dxa"/>
            <w:vAlign w:val="bottom"/>
            <w:gridSpan w:val="2"/>
          </w:tcPr>
          <w:p>
            <w:pPr>
              <w:jc w:val="center"/>
              <w:ind w:right="179"/>
              <w:spacing w:after="0"/>
              <w:rPr>
                <w:sz w:val="20"/>
                <w:szCs w:val="20"/>
                <w:color w:val="auto"/>
              </w:rPr>
            </w:pPr>
            <w:r>
              <w:rPr>
                <w:rFonts w:ascii="Courier New" w:cs="Courier New" w:eastAsia="Courier New" w:hAnsi="Courier New"/>
                <w:sz w:val="16"/>
                <w:szCs w:val="16"/>
                <w:color w:val="auto"/>
              </w:rPr>
              <w:t>CONVERTIBLE</w:t>
            </w:r>
          </w:p>
        </w:tc>
        <w:tc>
          <w:tcPr>
            <w:tcW w:w="22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ANNOUNCED PLANS OR</w:t>
            </w:r>
          </w:p>
        </w:tc>
        <w:tc>
          <w:tcPr>
            <w:tcW w:w="24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PURCHASED UNDER THE</w:t>
            </w: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9"/>
              </w:rPr>
              <w:t>PURCHASED</w:t>
            </w:r>
          </w:p>
        </w:tc>
        <w:tc>
          <w:tcPr>
            <w:tcW w:w="380" w:type="dxa"/>
            <w:vAlign w:val="bottom"/>
          </w:tcPr>
          <w:p>
            <w:pPr>
              <w:spacing w:after="0"/>
              <w:rPr>
                <w:sz w:val="16"/>
                <w:szCs w:val="16"/>
                <w:color w:val="auto"/>
              </w:rPr>
            </w:pPr>
          </w:p>
        </w:tc>
        <w:tc>
          <w:tcPr>
            <w:tcW w:w="1320" w:type="dxa"/>
            <w:vAlign w:val="bottom"/>
          </w:tcPr>
          <w:p>
            <w:pPr>
              <w:jc w:val="center"/>
              <w:ind w:right="559"/>
              <w:spacing w:after="0"/>
              <w:rPr>
                <w:sz w:val="20"/>
                <w:szCs w:val="20"/>
                <w:color w:val="auto"/>
              </w:rPr>
            </w:pPr>
            <w:r>
              <w:rPr>
                <w:rFonts w:ascii="Courier New" w:cs="Courier New" w:eastAsia="Courier New" w:hAnsi="Courier New"/>
                <w:sz w:val="16"/>
                <w:szCs w:val="16"/>
                <w:color w:val="auto"/>
                <w:w w:val="99"/>
              </w:rPr>
              <w:t>NOTES</w:t>
            </w:r>
          </w:p>
        </w:tc>
        <w:tc>
          <w:tcPr>
            <w:tcW w:w="2260" w:type="dxa"/>
            <w:vAlign w:val="bottom"/>
            <w:gridSpan w:val="2"/>
          </w:tcPr>
          <w:p>
            <w:pPr>
              <w:jc w:val="right"/>
              <w:ind w:right="879"/>
              <w:spacing w:after="0"/>
              <w:rPr>
                <w:sz w:val="20"/>
                <w:szCs w:val="20"/>
                <w:color w:val="auto"/>
              </w:rPr>
            </w:pPr>
            <w:r>
              <w:rPr>
                <w:rFonts w:ascii="Courier New" w:cs="Courier New" w:eastAsia="Courier New" w:hAnsi="Courier New"/>
                <w:sz w:val="16"/>
                <w:szCs w:val="16"/>
                <w:color w:val="auto"/>
              </w:rPr>
              <w:t>PROGRAMS</w:t>
            </w:r>
          </w:p>
        </w:tc>
        <w:tc>
          <w:tcPr>
            <w:tcW w:w="244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PLANS OR PROGRAMS (1)</w:t>
            </w:r>
          </w:p>
        </w:tc>
        <w:tc>
          <w:tcPr>
            <w:tcW w:w="0" w:type="dxa"/>
            <w:vAlign w:val="bottom"/>
          </w:tcPr>
          <w:p>
            <w:pPr>
              <w:spacing w:after="0"/>
              <w:rPr>
                <w:sz w:val="1"/>
                <w:szCs w:val="1"/>
                <w:color w:val="auto"/>
              </w:rPr>
            </w:pPr>
          </w:p>
        </w:tc>
      </w:tr>
      <w:tr>
        <w:trPr>
          <w:trHeight w:val="273"/>
        </w:trPr>
        <w:tc>
          <w:tcPr>
            <w:tcW w:w="1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00" w:type="dxa"/>
            <w:vAlign w:val="bottom"/>
            <w:gridSpan w:val="2"/>
          </w:tcPr>
          <w:p>
            <w:pPr>
              <w:ind w:left="260"/>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4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3"/>
        </w:trPr>
        <w:tc>
          <w:tcPr>
            <w:tcW w:w="1880" w:type="dxa"/>
            <w:vAlign w:val="bottom"/>
          </w:tcPr>
          <w:p>
            <w:pPr>
              <w:spacing w:after="0"/>
              <w:rPr>
                <w:sz w:val="20"/>
                <w:szCs w:val="20"/>
                <w:color w:val="auto"/>
              </w:rPr>
            </w:pPr>
            <w:r>
              <w:rPr>
                <w:rFonts w:ascii="Courier New" w:cs="Courier New" w:eastAsia="Courier New" w:hAnsi="Courier New"/>
                <w:sz w:val="16"/>
                <w:szCs w:val="16"/>
                <w:color w:val="auto"/>
              </w:rPr>
              <w:t>04/01/05-04/30/05</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272,000</w:t>
            </w:r>
          </w:p>
        </w:tc>
        <w:tc>
          <w:tcPr>
            <w:tcW w:w="0" w:type="dxa"/>
            <w:vAlign w:val="bottom"/>
          </w:tcPr>
          <w:p>
            <w:pPr>
              <w:spacing w:after="0"/>
              <w:rPr>
                <w:sz w:val="1"/>
                <w:szCs w:val="1"/>
                <w:color w:val="auto"/>
              </w:rPr>
            </w:pPr>
          </w:p>
        </w:tc>
      </w:tr>
      <w:tr>
        <w:trPr>
          <w:trHeight w:val="373"/>
        </w:trPr>
        <w:tc>
          <w:tcPr>
            <w:tcW w:w="1880" w:type="dxa"/>
            <w:vAlign w:val="bottom"/>
          </w:tcPr>
          <w:p>
            <w:pPr>
              <w:spacing w:after="0"/>
              <w:rPr>
                <w:sz w:val="20"/>
                <w:szCs w:val="20"/>
                <w:color w:val="auto"/>
              </w:rPr>
            </w:pPr>
            <w:r>
              <w:rPr>
                <w:rFonts w:ascii="Courier New" w:cs="Courier New" w:eastAsia="Courier New" w:hAnsi="Courier New"/>
                <w:sz w:val="16"/>
                <w:szCs w:val="16"/>
                <w:color w:val="auto"/>
              </w:rPr>
              <w:t>05/01/05-05/31/05</w:t>
            </w:r>
          </w:p>
        </w:tc>
        <w:tc>
          <w:tcPr>
            <w:tcW w:w="540" w:type="dxa"/>
            <w:vAlign w:val="bottom"/>
          </w:tcPr>
          <w:p>
            <w:pPr>
              <w:spacing w:after="0"/>
              <w:rPr>
                <w:sz w:val="24"/>
                <w:szCs w:val="24"/>
                <w:color w:val="auto"/>
              </w:rPr>
            </w:pPr>
          </w:p>
        </w:tc>
        <w:tc>
          <w:tcPr>
            <w:tcW w:w="14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3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24"/>
                <w:szCs w:val="24"/>
                <w:color w:val="auto"/>
              </w:rPr>
            </w:pPr>
          </w:p>
        </w:tc>
        <w:tc>
          <w:tcPr>
            <w:tcW w:w="11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272,000</w:t>
            </w:r>
          </w:p>
        </w:tc>
        <w:tc>
          <w:tcPr>
            <w:tcW w:w="0" w:type="dxa"/>
            <w:vAlign w:val="bottom"/>
          </w:tcPr>
          <w:p>
            <w:pPr>
              <w:spacing w:after="0"/>
              <w:rPr>
                <w:sz w:val="1"/>
                <w:szCs w:val="1"/>
                <w:color w:val="auto"/>
              </w:rPr>
            </w:pPr>
          </w:p>
        </w:tc>
      </w:tr>
      <w:tr>
        <w:trPr>
          <w:trHeight w:val="287"/>
        </w:trPr>
        <w:tc>
          <w:tcPr>
            <w:tcW w:w="1880" w:type="dxa"/>
            <w:vAlign w:val="bottom"/>
          </w:tcPr>
          <w:p>
            <w:pPr>
              <w:spacing w:after="0"/>
              <w:rPr>
                <w:sz w:val="20"/>
                <w:szCs w:val="20"/>
                <w:color w:val="auto"/>
              </w:rPr>
            </w:pPr>
            <w:r>
              <w:rPr>
                <w:rFonts w:ascii="Courier New" w:cs="Courier New" w:eastAsia="Courier New" w:hAnsi="Courier New"/>
                <w:sz w:val="16"/>
                <w:szCs w:val="16"/>
                <w:color w:val="auto"/>
              </w:rPr>
              <w:t>06/01/05-06/30/05</w:t>
            </w:r>
          </w:p>
        </w:tc>
        <w:tc>
          <w:tcPr>
            <w:tcW w:w="540" w:type="dxa"/>
            <w:vAlign w:val="bottom"/>
          </w:tcPr>
          <w:p>
            <w:pPr>
              <w:spacing w:after="0"/>
              <w:rPr>
                <w:sz w:val="24"/>
                <w:szCs w:val="24"/>
                <w:color w:val="auto"/>
              </w:rPr>
            </w:pPr>
          </w:p>
        </w:tc>
        <w:tc>
          <w:tcPr>
            <w:tcW w:w="14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3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spacing w:after="0"/>
              <w:rPr>
                <w:sz w:val="24"/>
                <w:szCs w:val="24"/>
                <w:color w:val="auto"/>
              </w:rPr>
            </w:pPr>
          </w:p>
        </w:tc>
        <w:tc>
          <w:tcPr>
            <w:tcW w:w="11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272,000</w:t>
            </w:r>
          </w:p>
        </w:tc>
        <w:tc>
          <w:tcPr>
            <w:tcW w:w="0" w:type="dxa"/>
            <w:vAlign w:val="bottom"/>
          </w:tcPr>
          <w:p>
            <w:pPr>
              <w:spacing w:after="0"/>
              <w:rPr>
                <w:sz w:val="1"/>
                <w:szCs w:val="1"/>
                <w:color w:val="auto"/>
              </w:rPr>
            </w:pPr>
          </w:p>
        </w:tc>
      </w:tr>
      <w:tr>
        <w:trPr>
          <w:trHeight w:val="186"/>
        </w:trPr>
        <w:tc>
          <w:tcPr>
            <w:tcW w:w="188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200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320" w:type="dxa"/>
            <w:vAlign w:val="bottom"/>
            <w:vMerge w:val="restart"/>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16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272,000</w:t>
            </w:r>
          </w:p>
        </w:tc>
        <w:tc>
          <w:tcPr>
            <w:tcW w:w="0" w:type="dxa"/>
            <w:vAlign w:val="bottom"/>
          </w:tcPr>
          <w:p>
            <w:pPr>
              <w:spacing w:after="0"/>
              <w:rPr>
                <w:sz w:val="1"/>
                <w:szCs w:val="1"/>
                <w:color w:val="auto"/>
              </w:rPr>
            </w:pPr>
          </w:p>
        </w:tc>
      </w:tr>
      <w:tr>
        <w:trPr>
          <w:trHeight w:val="186"/>
        </w:trPr>
        <w:tc>
          <w:tcPr>
            <w:tcW w:w="1880" w:type="dxa"/>
            <w:vAlign w:val="bottom"/>
            <w:vMerge w:val="continue"/>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160" w:type="dxa"/>
            <w:vAlign w:val="bottom"/>
          </w:tcPr>
          <w:p>
            <w:pPr>
              <w:ind w:left="8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880" w:type="dxa"/>
            <w:vAlign w:val="bottom"/>
          </w:tcPr>
          <w:p>
            <w:pPr>
              <w:spacing w:after="0"/>
              <w:rPr>
                <w:sz w:val="23"/>
                <w:szCs w:val="23"/>
                <w:color w:val="auto"/>
              </w:rPr>
            </w:pPr>
          </w:p>
        </w:tc>
        <w:tc>
          <w:tcPr>
            <w:tcW w:w="200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60" w:type="dxa"/>
            <w:vAlign w:val="bottom"/>
            <w:gridSpan w:val="2"/>
          </w:tcPr>
          <w:p>
            <w:pPr>
              <w:jc w:val="right"/>
              <w:ind w:right="77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81" w:right="2620" w:hanging="581"/>
        <w:spacing w:after="0" w:line="367" w:lineRule="auto"/>
        <w:tabs>
          <w:tab w:leader="none" w:pos="5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2004, the Company's board of directors authorized the Company to repurchase the outstanding amount of the 2% Notes.</w:t>
      </w:r>
    </w:p>
    <w:p>
      <w:pPr>
        <w:spacing w:after="0" w:line="5"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81"/>
          </w:cols>
          <w:pgMar w:left="239" w:top="646" w:right="1379" w:bottom="1440" w:gutter="0" w:footer="0" w:header="0"/>
        </w:sectPr>
      </w:pPr>
    </w:p>
    <w:bookmarkStart w:id="30" w:name="page31"/>
    <w:bookmarkEnd w:id="30"/>
    <w:p>
      <w:pPr>
        <w:ind w:left="1"/>
        <w:spacing w:after="0"/>
        <w:rPr>
          <w:sz w:val="20"/>
          <w:szCs w:val="20"/>
          <w:color w:val="auto"/>
        </w:rPr>
      </w:pPr>
      <w:r>
        <w:rPr>
          <w:rFonts w:ascii="Courier New" w:cs="Courier New" w:eastAsia="Courier New" w:hAnsi="Courier New"/>
          <w:sz w:val="16"/>
          <w:szCs w:val="16"/>
          <w:color w:val="auto"/>
        </w:rPr>
        <w:t>ITEM 2. REPORTS ON FORM 6-K</w:t>
      </w:r>
    </w:p>
    <w:p>
      <w:pPr>
        <w:spacing w:after="0" w:line="191" w:lineRule="exact"/>
        <w:rPr>
          <w:sz w:val="20"/>
          <w:szCs w:val="20"/>
          <w:color w:val="auto"/>
        </w:rPr>
      </w:pPr>
    </w:p>
    <w:p>
      <w:pPr>
        <w:ind w:left="581" w:hanging="581"/>
        <w:spacing w:after="0"/>
        <w:tabs>
          <w:tab w:leader="none" w:pos="5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6-K</w:t>
      </w:r>
    </w:p>
    <w:p>
      <w:pPr>
        <w:spacing w:after="0" w:line="191" w:lineRule="exact"/>
        <w:rPr>
          <w:rFonts w:ascii="Courier New" w:cs="Courier New" w:eastAsia="Courier New" w:hAnsi="Courier New"/>
          <w:sz w:val="16"/>
          <w:szCs w:val="16"/>
          <w:color w:val="auto"/>
        </w:rPr>
      </w:pPr>
    </w:p>
    <w:p>
      <w:pPr>
        <w:ind w:left="581" w:right="2759"/>
        <w:spacing w:after="0" w:line="36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furnished or filed the following reports on Form 6-K during the three months ended June 30, 2005:</w:t>
      </w:r>
    </w:p>
    <w:p>
      <w:pPr>
        <w:spacing w:after="0" w:line="4" w:lineRule="exact"/>
        <w:rPr>
          <w:rFonts w:ascii="Courier New" w:cs="Courier New" w:eastAsia="Courier New" w:hAnsi="Courier New"/>
          <w:sz w:val="16"/>
          <w:szCs w:val="16"/>
          <w:color w:val="auto"/>
        </w:rPr>
      </w:pPr>
    </w:p>
    <w:p>
      <w:pPr>
        <w:ind w:left="1161" w:hanging="579"/>
        <w:spacing w:after="0"/>
        <w:tabs>
          <w:tab w:leader="none" w:pos="116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6-K dated May 16, 2005.</w:t>
      </w:r>
    </w:p>
    <w:p>
      <w:pPr>
        <w:spacing w:after="0" w:line="19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0"/>
          </w:cols>
          <w:pgMar w:left="239" w:top="646" w:right="1440" w:bottom="1440" w:gutter="0" w:footer="0" w:header="0"/>
        </w:sectPr>
      </w:pPr>
    </w:p>
    <w:bookmarkStart w:id="31" w:name="page32"/>
    <w:bookmarkEnd w:id="31"/>
    <w:p>
      <w:pPr>
        <w:ind w:left="340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jc w:val="both"/>
        <w:ind w:right="3239"/>
        <w:spacing w:after="0" w:line="30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50"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AMDOCS LIMITED</w:t>
      </w:r>
    </w:p>
    <w:p>
      <w:pPr>
        <w:spacing w:after="0" w:line="19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 THOMAS G. O'BRIEN</w:t>
      </w:r>
    </w:p>
    <w:p>
      <w:pPr>
        <w:spacing w:after="0" w:line="3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Thomas G. O'Brien</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Treasurer and Secretary</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Authorized U.S. Representative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15, 2005</w:t>
      </w:r>
    </w:p>
    <w:sectPr>
      <w:pgSz w:w="11900" w:h="16838" w:orient="portrait"/>
      <w:cols w:equalWidth="0" w:num="1">
        <w:col w:w="10219"/>
      </w:cols>
      <w:pgMar w:left="240" w:top="6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2019-12-14T21:12:35Z</dcterms:created>
  <dcterms:modified xsi:type="dcterms:W3CDTF">2019-12-14T21:12:35Z</dcterms:modified>
</cp:coreProperties>
</file>