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13d-101)</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 RULE 13d-1(a)</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AND AMENDMENTS THERETO FILED PURSUANT TO RULE 13d-2(a)</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Ordinary Shares, par value (pound)0.01</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SBC Communications Inc.</w:t>
      </w:r>
    </w:p>
    <w:p>
      <w:pPr>
        <w:ind w:left="3380"/>
        <w:spacing w:after="0" w:line="238" w:lineRule="auto"/>
        <w:rPr>
          <w:sz w:val="20"/>
          <w:szCs w:val="20"/>
          <w:color w:val="auto"/>
        </w:rPr>
      </w:pPr>
      <w:r>
        <w:rPr>
          <w:rFonts w:ascii="Courier New" w:cs="Courier New" w:eastAsia="Courier New" w:hAnsi="Courier New"/>
          <w:sz w:val="18"/>
          <w:szCs w:val="18"/>
          <w:color w:val="auto"/>
        </w:rPr>
        <w:t>175 East Houston</w:t>
      </w:r>
    </w:p>
    <w:p>
      <w:pPr>
        <w:ind w:left="3160"/>
        <w:spacing w:after="0"/>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left="1700" w:right="335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December 5, 2001</w:t>
      </w:r>
    </w:p>
    <w:p>
      <w:pPr>
        <w:spacing w:after="0" w:line="2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8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53" w:lineRule="exact"/>
        <w:rPr>
          <w:sz w:val="24"/>
          <w:szCs w:val="24"/>
          <w:color w:val="auto"/>
        </w:rPr>
      </w:pPr>
    </w:p>
    <w:p>
      <w:pPr>
        <w:spacing w:after="0"/>
        <w:tabs>
          <w:tab w:leader="none" w:pos="3260" w:val="left"/>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7 Pages</w:t>
      </w:r>
    </w:p>
    <w:p>
      <w:pPr>
        <w:spacing w:after="0" w:line="169"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42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w w:val="92"/>
              </w:rPr>
              <w:t>1</w:t>
            </w:r>
          </w:p>
        </w:tc>
        <w:tc>
          <w:tcPr>
            <w:tcW w:w="800" w:type="dxa"/>
            <w:vAlign w:val="bottom"/>
          </w:tcPr>
          <w:p>
            <w:pPr>
              <w:ind w:left="320"/>
              <w:spacing w:after="0" w:line="192" w:lineRule="exact"/>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OF</w:t>
            </w:r>
          </w:p>
        </w:tc>
        <w:tc>
          <w:tcPr>
            <w:tcW w:w="436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REPORTING PERSON</w:t>
            </w:r>
          </w:p>
        </w:tc>
        <w:tc>
          <w:tcPr>
            <w:tcW w:w="24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7"/>
              </w:rPr>
              <w:t>SBC COMMUNICATIONS INC.</w:t>
            </w:r>
          </w:p>
        </w:tc>
      </w:tr>
      <w:tr>
        <w:trPr>
          <w:trHeight w:val="235"/>
        </w:trPr>
        <w:tc>
          <w:tcPr>
            <w:tcW w:w="4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w w:val="97"/>
              </w:rPr>
              <w:t>I.R.S. IDENTIFICATION NO. OF ABOVE PERSON</w:t>
            </w:r>
          </w:p>
        </w:tc>
        <w:tc>
          <w:tcPr>
            <w:tcW w:w="2440" w:type="dxa"/>
            <w:vAlign w:val="bottom"/>
          </w:tcPr>
          <w:p>
            <w:pPr>
              <w:jc w:val="right"/>
              <w:spacing w:after="0"/>
              <w:rPr>
                <w:sz w:val="20"/>
                <w:szCs w:val="20"/>
                <w:color w:val="auto"/>
              </w:rPr>
            </w:pPr>
            <w:r>
              <w:rPr>
                <w:rFonts w:ascii="Courier New" w:cs="Courier New" w:eastAsia="Courier New" w:hAnsi="Courier New"/>
                <w:sz w:val="18"/>
                <w:szCs w:val="18"/>
                <w:color w:val="auto"/>
              </w:rPr>
              <w:t>43-1301883</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tabs>
          <w:tab w:leader="none" w:pos="72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72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AF</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72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tbl>
      <w:tblPr>
        <w:tblLayout w:type="fixed"/>
        <w:tblInd w:w="320" w:type="dxa"/>
        <w:tblCellMar>
          <w:top w:w="0" w:type="dxa"/>
          <w:left w:w="0" w:type="dxa"/>
          <w:bottom w:w="0" w:type="dxa"/>
          <w:right w:w="0" w:type="dxa"/>
        </w:tblCellMar>
      </w:tblPr>
      <w:tr>
        <w:trPr>
          <w:trHeight w:val="192"/>
        </w:trPr>
        <w:tc>
          <w:tcPr>
            <w:tcW w:w="9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NUMBER</w:t>
            </w:r>
          </w:p>
        </w:tc>
        <w:tc>
          <w:tcPr>
            <w:tcW w:w="6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jc w:val="right"/>
              <w:ind w:right="132"/>
              <w:spacing w:after="0" w:line="192" w:lineRule="exact"/>
              <w:rPr>
                <w:sz w:val="20"/>
                <w:szCs w:val="20"/>
                <w:color w:val="auto"/>
              </w:rPr>
            </w:pPr>
            <w:r>
              <w:rPr>
                <w:rFonts w:ascii="Courier New" w:cs="Courier New" w:eastAsia="Courier New" w:hAnsi="Courier New"/>
                <w:sz w:val="18"/>
                <w:szCs w:val="18"/>
                <w:color w:val="auto"/>
              </w:rPr>
              <w:t>7</w:t>
            </w:r>
          </w:p>
        </w:tc>
        <w:tc>
          <w:tcPr>
            <w:tcW w:w="33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4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3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SHARED VOTING POWER</w:t>
            </w:r>
          </w:p>
        </w:tc>
        <w:tc>
          <w:tcPr>
            <w:tcW w:w="24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30,654,138*</w:t>
            </w:r>
          </w:p>
        </w:tc>
        <w:tc>
          <w:tcPr>
            <w:tcW w:w="0" w:type="dxa"/>
            <w:vAlign w:val="bottom"/>
          </w:tcPr>
          <w:p>
            <w:pPr>
              <w:spacing w:after="0"/>
              <w:rPr>
                <w:sz w:val="1"/>
                <w:szCs w:val="1"/>
                <w:color w:val="auto"/>
              </w:rPr>
            </w:pPr>
          </w:p>
        </w:tc>
      </w:tr>
      <w:tr>
        <w:trPr>
          <w:trHeight w:val="203"/>
        </w:trPr>
        <w:tc>
          <w:tcPr>
            <w:tcW w:w="15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vMerge w:val="continue"/>
          </w:tcPr>
          <w:p>
            <w:pPr>
              <w:spacing w:after="0"/>
              <w:rPr>
                <w:sz w:val="17"/>
                <w:szCs w:val="17"/>
                <w:color w:val="auto"/>
              </w:rPr>
            </w:pPr>
          </w:p>
        </w:tc>
        <w:tc>
          <w:tcPr>
            <w:tcW w:w="3320" w:type="dxa"/>
            <w:vAlign w:val="bottom"/>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OWNED</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640" w:type="dxa"/>
            <w:vAlign w:val="bottom"/>
          </w:tcPr>
          <w:p>
            <w:pPr>
              <w:spacing w:after="0"/>
              <w:rPr>
                <w:sz w:val="24"/>
                <w:szCs w:val="24"/>
                <w:color w:val="auto"/>
              </w:rPr>
            </w:pPr>
          </w:p>
        </w:tc>
        <w:tc>
          <w:tcPr>
            <w:tcW w:w="58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 Does not include 8,003,798 non-voting Shares.</w:t>
            </w:r>
          </w:p>
        </w:tc>
        <w:tc>
          <w:tcPr>
            <w:tcW w:w="0" w:type="dxa"/>
            <w:vAlign w:val="bottom"/>
          </w:tcPr>
          <w:p>
            <w:pPr>
              <w:spacing w:after="0"/>
              <w:rPr>
                <w:sz w:val="1"/>
                <w:szCs w:val="1"/>
                <w:color w:val="auto"/>
              </w:rPr>
            </w:pPr>
          </w:p>
        </w:tc>
      </w:tr>
    </w:tbl>
    <w:p>
      <w:pPr>
        <w:sectPr>
          <w:pgSz w:w="11900" w:h="16838" w:orient="portrait"/>
          <w:cols w:equalWidth="0" w:num="1">
            <w:col w:w="10219"/>
          </w:cols>
          <w:pgMar w:left="240" w:top="218" w:right="1440" w:bottom="0" w:gutter="0" w:footer="0" w:header="0"/>
        </w:sectPr>
      </w:pPr>
    </w:p>
    <w:bookmarkStart w:id="1" w:name="page2"/>
    <w:bookmarkEnd w:id="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20" w:type="dxa"/>
            <w:vAlign w:val="bottom"/>
          </w:tcPr>
          <w:p>
            <w:pPr>
              <w:jc w:val="center"/>
              <w:ind w:right="412"/>
              <w:spacing w:after="0"/>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ind w:left="360"/>
              <w:spacing w:after="0"/>
              <w:rPr>
                <w:sz w:val="20"/>
                <w:szCs w:val="20"/>
                <w:color w:val="auto"/>
              </w:rPr>
            </w:pPr>
            <w:r>
              <w:rPr>
                <w:rFonts w:ascii="Courier New" w:cs="Courier New" w:eastAsia="Courier New" w:hAnsi="Courier New"/>
                <w:sz w:val="18"/>
                <w:szCs w:val="18"/>
                <w:color w:val="auto"/>
              </w:rPr>
              <w:t>9</w:t>
            </w:r>
          </w:p>
        </w:tc>
        <w:tc>
          <w:tcPr>
            <w:tcW w:w="35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10</w:t>
            </w:r>
          </w:p>
        </w:tc>
        <w:tc>
          <w:tcPr>
            <w:tcW w:w="354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28,657,936*</w:t>
            </w:r>
          </w:p>
        </w:tc>
        <w:tc>
          <w:tcPr>
            <w:tcW w:w="0" w:type="dxa"/>
            <w:vAlign w:val="bottom"/>
          </w:tcPr>
          <w:p>
            <w:pPr>
              <w:spacing w:after="0"/>
              <w:rPr>
                <w:sz w:val="1"/>
                <w:szCs w:val="1"/>
                <w:color w:val="auto"/>
              </w:rPr>
            </w:pPr>
          </w:p>
        </w:tc>
      </w:tr>
      <w:tr>
        <w:trPr>
          <w:trHeight w:val="203"/>
        </w:trPr>
        <w:tc>
          <w:tcPr>
            <w:tcW w:w="13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20" w:type="dxa"/>
            <w:vAlign w:val="bottom"/>
            <w:vMerge w:val="continue"/>
          </w:tcPr>
          <w:p>
            <w:pPr>
              <w:spacing w:after="0"/>
              <w:rPr>
                <w:sz w:val="17"/>
                <w:szCs w:val="17"/>
                <w:color w:val="auto"/>
              </w:rPr>
            </w:pPr>
          </w:p>
        </w:tc>
        <w:tc>
          <w:tcPr>
            <w:tcW w:w="3540" w:type="dxa"/>
            <w:vAlign w:val="bottom"/>
            <w:gridSpan w:val="2"/>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WITH</w:t>
            </w:r>
          </w:p>
        </w:tc>
        <w:tc>
          <w:tcPr>
            <w:tcW w:w="720" w:type="dxa"/>
            <w:vAlign w:val="bottom"/>
          </w:tcPr>
          <w:p>
            <w:pPr>
              <w:spacing w:after="0"/>
              <w:rPr>
                <w:sz w:val="17"/>
                <w:szCs w:val="17"/>
                <w:color w:val="auto"/>
              </w:rPr>
            </w:pP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  Does not include</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10,000,000 Shares for which the</w:t>
            </w: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20" w:type="dxa"/>
            <w:vAlign w:val="bottom"/>
          </w:tcPr>
          <w:p>
            <w:pPr>
              <w:ind w:left="480"/>
              <w:spacing w:after="0"/>
              <w:rPr>
                <w:sz w:val="20"/>
                <w:szCs w:val="20"/>
                <w:color w:val="auto"/>
              </w:rPr>
            </w:pPr>
            <w:r>
              <w:rPr>
                <w:rFonts w:ascii="Courier New" w:cs="Courier New" w:eastAsia="Courier New" w:hAnsi="Courier New"/>
                <w:sz w:val="18"/>
                <w:szCs w:val="18"/>
                <w:color w:val="auto"/>
                <w:w w:val="99"/>
              </w:rPr>
              <w:t>reporting person</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has voting rights only.</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96"/>
        </w:trPr>
        <w:tc>
          <w:tcPr>
            <w:tcW w:w="44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39,257,936</w:t>
            </w:r>
          </w:p>
        </w:tc>
      </w:tr>
    </w:tbl>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5680" w:type="dxa"/>
            <w:vAlign w:val="bottom"/>
          </w:tcPr>
          <w:p>
            <w:pPr>
              <w:ind w:left="320"/>
              <w:spacing w:after="0"/>
              <w:rPr>
                <w:sz w:val="20"/>
                <w:szCs w:val="20"/>
                <w:color w:val="auto"/>
              </w:rPr>
            </w:pPr>
            <w:r>
              <w:rPr>
                <w:rFonts w:ascii="Courier New" w:cs="Courier New" w:eastAsia="Courier New" w:hAnsi="Courier New"/>
                <w:sz w:val="18"/>
                <w:szCs w:val="18"/>
                <w:color w:val="auto"/>
              </w:rPr>
              <w:t>CHECK BOX IF THE AGGREGATE AMOUNT IN</w:t>
            </w:r>
          </w:p>
        </w:tc>
        <w:tc>
          <w:tcPr>
            <w:tcW w:w="2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5680" w:type="dxa"/>
            <w:vAlign w:val="bottom"/>
          </w:tcPr>
          <w:p>
            <w:pPr>
              <w:ind w:left="320"/>
              <w:spacing w:after="0"/>
              <w:rPr>
                <w:sz w:val="20"/>
                <w:szCs w:val="20"/>
                <w:color w:val="auto"/>
              </w:rPr>
            </w:pPr>
            <w:r>
              <w:rPr>
                <w:rFonts w:ascii="Courier New" w:cs="Courier New" w:eastAsia="Courier New" w:hAnsi="Courier New"/>
                <w:sz w:val="18"/>
                <w:szCs w:val="18"/>
                <w:color w:val="auto"/>
              </w:rPr>
              <w:t>ROW (11) EXCLUDES CERTAIN SHARES</w:t>
            </w: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08" w:right="1440" w:bottom="1440" w:gutter="0" w:footer="0" w:header="0"/>
        </w:sectPr>
      </w:pPr>
    </w:p>
    <w:p>
      <w:pPr>
        <w:spacing w:after="0" w:line="19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PERCENT OF CLASS REPRESENTED BY AMOUNT IN ROW (11)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17.6%</w:t>
      </w:r>
    </w:p>
    <w:p>
      <w:pPr>
        <w:spacing w:after="0" w:line="200" w:lineRule="exact"/>
        <w:rPr>
          <w:sz w:val="20"/>
          <w:szCs w:val="20"/>
          <w:color w:val="auto"/>
        </w:rPr>
      </w:pPr>
    </w:p>
    <w:p>
      <w:pPr>
        <w:sectPr>
          <w:pgSz w:w="11900" w:h="16838" w:orient="portrait"/>
          <w:cols w:equalWidth="0" w:num="2">
            <w:col w:w="7080" w:space="720"/>
            <w:col w:w="2419"/>
          </w:cols>
          <w:pgMar w:left="240" w:top="10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08" w:right="1440" w:bottom="1440" w:gutter="0" w:footer="0" w:header="0"/>
          <w:type w:val="continuous"/>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TYPE OF REPORTING PERSON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ectPr>
          <w:pgSz w:w="11900" w:h="16838" w:orient="portrait"/>
          <w:cols w:equalWidth="0" w:num="2">
            <w:col w:w="7400" w:space="720"/>
            <w:col w:w="2099"/>
          </w:cols>
          <w:pgMar w:left="240" w:top="10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08" w:right="1440" w:bottom="1440" w:gutter="0" w:footer="0" w:header="0"/>
          <w:type w:val="continuous"/>
        </w:sectPr>
      </w:pPr>
    </w:p>
    <w:bookmarkStart w:id="2" w:name="page3"/>
    <w:bookmarkEnd w:id="2"/>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53" w:lineRule="exact"/>
        <w:rPr>
          <w:sz w:val="20"/>
          <w:szCs w:val="20"/>
          <w:color w:val="auto"/>
        </w:rPr>
      </w:pPr>
    </w:p>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7 Pages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52" w:lineRule="exact"/>
        <w:rPr>
          <w:sz w:val="20"/>
          <w:szCs w:val="20"/>
          <w:color w:val="auto"/>
        </w:rPr>
      </w:pPr>
    </w:p>
    <w:p>
      <w:pPr>
        <w:spacing w:after="0"/>
        <w:tabs>
          <w:tab w:leader="none" w:pos="72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INTERNATIONAL, INC.</w:t>
      </w:r>
    </w:p>
    <w:p>
      <w:pPr>
        <w:ind w:left="740"/>
        <w:spacing w:after="0"/>
        <w:tabs>
          <w:tab w:leader="none" w:pos="7260" w:val="left"/>
        </w:tabs>
        <w:rPr>
          <w:sz w:val="20"/>
          <w:szCs w:val="20"/>
          <w:color w:val="auto"/>
        </w:rPr>
      </w:pPr>
      <w:r>
        <w:rPr>
          <w:rFonts w:ascii="Courier New" w:cs="Courier New" w:eastAsia="Courier New" w:hAnsi="Courier New"/>
          <w:sz w:val="18"/>
          <w:szCs w:val="18"/>
          <w:color w:val="auto"/>
        </w:rPr>
        <w:t>S.S. OR I.R.S. IDENTIFICATION NO. OF ABOVE PERSON</w:t>
      </w:r>
      <w:r>
        <w:rPr>
          <w:sz w:val="20"/>
          <w:szCs w:val="20"/>
          <w:color w:val="auto"/>
        </w:rPr>
        <w:tab/>
      </w:r>
      <w:r>
        <w:rPr>
          <w:rFonts w:ascii="Courier New" w:cs="Courier New" w:eastAsia="Courier New" w:hAnsi="Courier New"/>
          <w:sz w:val="16"/>
          <w:szCs w:val="16"/>
          <w:color w:val="auto"/>
        </w:rPr>
        <w:t>43-1380735</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24" w:lineRule="exact"/>
        <w:rPr>
          <w:sz w:val="20"/>
          <w:szCs w:val="20"/>
          <w:color w:val="auto"/>
        </w:rPr>
      </w:pPr>
    </w:p>
    <w:p>
      <w:pPr>
        <w:jc w:val="right"/>
        <w:ind w:right="1879"/>
        <w:spacing w:after="0" w:line="257" w:lineRule="auto"/>
        <w:rPr>
          <w:sz w:val="20"/>
          <w:szCs w:val="20"/>
          <w:color w:val="auto"/>
        </w:rPr>
      </w:pPr>
      <w:r>
        <w:rPr>
          <w:rFonts w:ascii="Courier New" w:cs="Courier New" w:eastAsia="Courier New" w:hAnsi="Courier New"/>
          <w:sz w:val="18"/>
          <w:szCs w:val="18"/>
          <w:color w:val="auto"/>
        </w:rPr>
        <w:t>2      CHECK THE APPROPRIATE BOX IF A MEMBER OF A GROUP               (a) [   ] (b) [   ]</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spacing w:after="0"/>
        <w:tabs>
          <w:tab w:leader="none" w:pos="72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5</w:t>
            </w:r>
          </w:p>
        </w:tc>
        <w:tc>
          <w:tcPr>
            <w:tcW w:w="280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DISCLOSURE</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8"/>
                <w:szCs w:val="18"/>
                <w:color w:val="auto"/>
                <w:w w:val="99"/>
              </w:rPr>
              <w:t>IS REQUIRED PURSUANT TO</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ITEM 2(d) or 2(e)</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6</w:t>
            </w:r>
          </w:p>
        </w:tc>
        <w:tc>
          <w:tcPr>
            <w:tcW w:w="2680" w:type="dxa"/>
            <w:vAlign w:val="bottom"/>
            <w:gridSpan w:val="3"/>
          </w:tcPr>
          <w:p>
            <w:pPr>
              <w:ind w:left="520"/>
              <w:spacing w:after="0"/>
              <w:rPr>
                <w:sz w:val="20"/>
                <w:szCs w:val="20"/>
                <w:color w:val="auto"/>
              </w:rPr>
            </w:pPr>
            <w:r>
              <w:rPr>
                <w:rFonts w:ascii="Courier New" w:cs="Courier New" w:eastAsia="Courier New" w:hAnsi="Courier New"/>
                <w:sz w:val="18"/>
                <w:szCs w:val="18"/>
                <w:color w:val="auto"/>
                <w:w w:val="99"/>
              </w:rPr>
              <w:t>CITIZENSHIP OR PLACE</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OF ORGANIZATION</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79"/>
        </w:trPr>
        <w:tc>
          <w:tcPr>
            <w:tcW w:w="29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 -------------------- ----</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4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470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30,654,138*</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6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20" w:type="dxa"/>
            <w:vAlign w:val="bottom"/>
            <w:vMerge w:val="continue"/>
          </w:tcPr>
          <w:p>
            <w:pPr>
              <w:spacing w:after="0"/>
              <w:rPr>
                <w:sz w:val="17"/>
                <w:szCs w:val="17"/>
                <w:color w:val="auto"/>
              </w:rPr>
            </w:pPr>
          </w:p>
        </w:tc>
        <w:tc>
          <w:tcPr>
            <w:tcW w:w="47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1640" w:type="dxa"/>
            <w:vAlign w:val="bottom"/>
          </w:tcPr>
          <w:p>
            <w:pPr>
              <w:ind w:left="200"/>
              <w:spacing w:after="0"/>
              <w:rPr>
                <w:sz w:val="20"/>
                <w:szCs w:val="20"/>
                <w:color w:val="auto"/>
              </w:rPr>
            </w:pPr>
            <w:r>
              <w:rPr>
                <w:rFonts w:ascii="Courier New" w:cs="Courier New" w:eastAsia="Courier New" w:hAnsi="Courier New"/>
                <w:sz w:val="18"/>
                <w:szCs w:val="18"/>
                <w:color w:val="auto"/>
              </w:rPr>
              <w:t>OWNED BY</w:t>
            </w:r>
          </w:p>
        </w:tc>
        <w:tc>
          <w:tcPr>
            <w:tcW w:w="6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Does not include 8,003,798 non-voting Shares.</w:t>
            </w: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16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7"/>
              </w:rPr>
              <w:t>EACH</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w:t>
            </w:r>
          </w:p>
        </w:tc>
        <w:tc>
          <w:tcPr>
            <w:tcW w:w="4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470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28,657,936*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6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20" w:type="dxa"/>
            <w:vAlign w:val="bottom"/>
            <w:vMerge w:val="continue"/>
          </w:tcPr>
          <w:p>
            <w:pPr>
              <w:spacing w:after="0"/>
              <w:rPr>
                <w:sz w:val="17"/>
                <w:szCs w:val="17"/>
                <w:color w:val="auto"/>
              </w:rPr>
            </w:pPr>
          </w:p>
        </w:tc>
        <w:tc>
          <w:tcPr>
            <w:tcW w:w="47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6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WITH</w:t>
            </w:r>
          </w:p>
        </w:tc>
        <w:tc>
          <w:tcPr>
            <w:tcW w:w="62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Does not include 10,000,000 Shares for which the</w:t>
            </w: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w w:val="97"/>
              </w:rPr>
              <w:t>reporting person has voting rights only.</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3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38,657,936</w:t>
            </w:r>
          </w:p>
        </w:tc>
      </w:tr>
    </w:tbl>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53"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17.4%</w:t>
      </w:r>
    </w:p>
    <w:p>
      <w:pPr>
        <w:spacing w:after="0" w:line="169"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 -------- ---------------------------------------------------------------------- 14 TYPE OF REPORTING PERSON CO</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sectPr>
      </w:pPr>
    </w:p>
    <w:bookmarkStart w:id="3" w:name="page4"/>
    <w:bookmarkEnd w:id="3"/>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spacing w:after="0"/>
        <w:tabs>
          <w:tab w:leader="none" w:pos="4000" w:val="left"/>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7 Pages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219"/>
          </w:cols>
          <w:pgMar w:left="240" w:top="144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OPTION DELIVERY, LLC</w:t>
      </w:r>
    </w:p>
    <w:p>
      <w:pPr>
        <w:spacing w:after="0" w:line="91" w:lineRule="exact"/>
        <w:rPr>
          <w:sz w:val="20"/>
          <w:szCs w:val="20"/>
          <w:color w:val="auto"/>
        </w:rPr>
      </w:pPr>
    </w:p>
    <w:p>
      <w:pPr>
        <w:sectPr>
          <w:pgSz w:w="11900" w:h="16838" w:orient="portrait"/>
          <w:cols w:equalWidth="0" w:num="2">
            <w:col w:w="120" w:space="620"/>
            <w:col w:w="9479"/>
          </w:cols>
          <w:pgMar w:left="240" w:top="1440" w:right="1440" w:bottom="1440" w:gutter="0" w:footer="0" w:header="0"/>
          <w:type w:val="continuous"/>
        </w:sectPr>
      </w:pPr>
    </w:p>
    <w:p>
      <w:pPr>
        <w:ind w:left="1280" w:hanging="535"/>
        <w:spacing w:after="0"/>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1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2</w:t>
            </w:r>
          </w:p>
        </w:tc>
        <w:tc>
          <w:tcPr>
            <w:tcW w:w="618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(a)</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35"/>
        </w:trPr>
        <w:tc>
          <w:tcPr>
            <w:tcW w:w="4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(b)</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720" w:val="left"/>
          <w:tab w:leader="none" w:pos="8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169"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53" w:lineRule="exact"/>
        <w:rPr>
          <w:sz w:val="20"/>
          <w:szCs w:val="20"/>
          <w:color w:val="auto"/>
        </w:rPr>
      </w:pPr>
    </w:p>
    <w:p>
      <w:pPr>
        <w:spacing w:after="0"/>
        <w:tabs>
          <w:tab w:leader="none" w:pos="72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NUMBER OF</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8</w:t>
            </w:r>
          </w:p>
        </w:tc>
        <w:tc>
          <w:tcPr>
            <w:tcW w:w="3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2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15,273,823</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700" w:type="dxa"/>
            <w:vAlign w:val="bottom"/>
            <w:vMerge w:val="continue"/>
          </w:tcPr>
          <w:p>
            <w:pPr>
              <w:spacing w:after="0"/>
              <w:rPr>
                <w:sz w:val="17"/>
                <w:szCs w:val="17"/>
                <w:color w:val="auto"/>
              </w:rPr>
            </w:pPr>
          </w:p>
        </w:tc>
        <w:tc>
          <w:tcPr>
            <w:tcW w:w="358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BY</w:t>
            </w:r>
          </w:p>
        </w:tc>
        <w:tc>
          <w:tcPr>
            <w:tcW w:w="7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9</w:t>
            </w:r>
          </w:p>
        </w:tc>
        <w:tc>
          <w:tcPr>
            <w:tcW w:w="3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2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700" w:type="dxa"/>
            <w:vAlign w:val="bottom"/>
            <w:vMerge w:val="continue"/>
          </w:tcPr>
          <w:p>
            <w:pPr>
              <w:spacing w:after="0"/>
              <w:rPr>
                <w:sz w:val="17"/>
                <w:szCs w:val="17"/>
                <w:color w:val="auto"/>
              </w:rPr>
            </w:pPr>
          </w:p>
        </w:tc>
        <w:tc>
          <w:tcPr>
            <w:tcW w:w="358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REPORTING</w:t>
            </w:r>
          </w:p>
        </w:tc>
        <w:tc>
          <w:tcPr>
            <w:tcW w:w="7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10</w:t>
            </w:r>
          </w:p>
        </w:tc>
        <w:tc>
          <w:tcPr>
            <w:tcW w:w="3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2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15,273,823</w:t>
            </w: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700" w:type="dxa"/>
            <w:vAlign w:val="bottom"/>
            <w:vMerge w:val="continue"/>
          </w:tcPr>
          <w:p>
            <w:pPr>
              <w:spacing w:after="0"/>
              <w:rPr>
                <w:sz w:val="24"/>
                <w:szCs w:val="24"/>
                <w:color w:val="auto"/>
              </w:rPr>
            </w:pPr>
          </w:p>
        </w:tc>
        <w:tc>
          <w:tcPr>
            <w:tcW w:w="358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96"/>
        </w:trPr>
        <w:tc>
          <w:tcPr>
            <w:tcW w:w="44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15,273,823</w:t>
            </w:r>
          </w:p>
        </w:tc>
      </w:tr>
    </w:tbl>
    <w:p>
      <w:pPr>
        <w:spacing w:after="0" w:line="7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8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53" w:lineRule="exact"/>
        <w:rPr>
          <w:sz w:val="20"/>
          <w:szCs w:val="20"/>
          <w:color w:val="auto"/>
        </w:rPr>
      </w:pPr>
    </w:p>
    <w:p>
      <w:pPr>
        <w:spacing w:after="0"/>
        <w:tabs>
          <w:tab w:leader="none" w:pos="840" w:val="left"/>
          <w:tab w:leader="none" w:pos="7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6.9%</w:t>
      </w:r>
    </w:p>
    <w:p>
      <w:pPr>
        <w:spacing w:after="0" w:line="169"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 ------- ----------------------------------------------------------------------- 14 TYPE OF REPORTING PERSON CO</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40"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7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4 TO SCHEDULE 13D</w:t>
      </w:r>
    </w:p>
    <w:p>
      <w:pPr>
        <w:spacing w:after="0" w:line="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RELATING TO ORDINARY SHARES</w:t>
      </w:r>
    </w:p>
    <w:p>
      <w:pPr>
        <w:jc w:val="center"/>
        <w:ind w:right="1659"/>
        <w:spacing w:after="0"/>
        <w:rPr>
          <w:sz w:val="20"/>
          <w:szCs w:val="20"/>
          <w:color w:val="auto"/>
        </w:rPr>
      </w:pPr>
      <w:r>
        <w:rPr>
          <w:rFonts w:ascii="Courier New" w:cs="Courier New" w:eastAsia="Courier New" w:hAnsi="Courier New"/>
          <w:sz w:val="18"/>
          <w:szCs w:val="18"/>
          <w:color w:val="auto"/>
        </w:rPr>
        <w:t>OF AMDOCS LIMITED</w:t>
      </w:r>
    </w:p>
    <w:p>
      <w:pPr>
        <w:spacing w:after="0" w:line="372"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This Amendment No. 4 to the Schedule 13D filed on February 22, 2000 (the "Original 13D"), by SBC Communications Inc. ("SBC") and SBC International, Inc. ("SBCI") is being filed to report the disposition of ordinary shares of Amdocs Limited (the "Company").</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Since the filing of Amendment No. 3 on June 21, 2001, SBC has disposed of 2,778,000 Shares through open market sales.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jc w:val="both"/>
        <w:ind w:left="540" w:right="1779" w:hanging="532"/>
        <w:spacing w:after="0" w:line="25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beneficially owns 38,657,936 Shares representing 17.4% of the outstanding ordinary Shares class. SBCO beneficially owns 15,273,823 Shares representing 6.9% of the outstanding ordinary Shares class. As of June 20, 2001, the capital structure of Amdocs Limited consists of 222,486,000 Shares (according to Form 6-K filed by Amdocs Limited for the period ending June 30, 2001). SBC possesses ultimate beneficial ownership of the reported Shares by virtue of its ownership of SBCI and SBCO.</w:t>
      </w:r>
    </w:p>
    <w:p>
      <w:pPr>
        <w:spacing w:after="0" w:line="9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 ownership interest 1,2:</w:t>
      </w:r>
    </w:p>
    <w:tbl>
      <w:tblPr>
        <w:tblLayout w:type="fixed"/>
        <w:tblInd w:w="640" w:type="dxa"/>
        <w:tblCellMar>
          <w:top w:w="0" w:type="dxa"/>
          <w:left w:w="0" w:type="dxa"/>
          <w:bottom w:w="0" w:type="dxa"/>
          <w:right w:w="0" w:type="dxa"/>
        </w:tblCellMar>
      </w:tblPr>
      <w:tr>
        <w:trPr>
          <w:trHeight w:val="201"/>
        </w:trPr>
        <w:tc>
          <w:tcPr>
            <w:tcW w:w="1100" w:type="dxa"/>
            <w:vAlign w:val="bottom"/>
            <w:gridSpan w:val="2"/>
          </w:tcPr>
          <w:p>
            <w:pPr>
              <w:spacing w:after="0" w:line="201" w:lineRule="exact"/>
              <w:rPr>
                <w:sz w:val="20"/>
                <w:szCs w:val="20"/>
                <w:color w:val="auto"/>
              </w:rPr>
            </w:pPr>
            <w:r>
              <w:rPr>
                <w:rFonts w:ascii="Courier New" w:cs="Courier New" w:eastAsia="Courier New" w:hAnsi="Courier New"/>
                <w:sz w:val="18"/>
                <w:szCs w:val="18"/>
                <w:color w:val="auto"/>
                <w:w w:val="99"/>
              </w:rPr>
              <w:t>Percent of</w:t>
            </w:r>
          </w:p>
        </w:tc>
        <w:tc>
          <w:tcPr>
            <w:tcW w:w="4700" w:type="dxa"/>
            <w:vAlign w:val="bottom"/>
            <w:gridSpan w:val="3"/>
          </w:tcPr>
          <w:p>
            <w:pPr>
              <w:jc w:val="right"/>
              <w:spacing w:after="0" w:line="201" w:lineRule="exact"/>
              <w:rPr>
                <w:sz w:val="20"/>
                <w:szCs w:val="20"/>
                <w:color w:val="auto"/>
              </w:rPr>
            </w:pPr>
            <w:r>
              <w:rPr>
                <w:rFonts w:ascii="Courier New" w:cs="Courier New" w:eastAsia="Courier New" w:hAnsi="Courier New"/>
                <w:sz w:val="13"/>
                <w:szCs w:val="13"/>
                <w:color w:val="auto"/>
                <w:w w:val="71"/>
              </w:rPr>
              <w:t>class...................................................</w:t>
            </w:r>
            <w:r>
              <w:rPr>
                <w:rFonts w:ascii="Courier New" w:cs="Courier New" w:eastAsia="Courier New" w:hAnsi="Courier New"/>
                <w:sz w:val="23"/>
                <w:szCs w:val="23"/>
                <w:color w:val="auto"/>
                <w:w w:val="71"/>
                <w:vertAlign w:val="subscript"/>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17.4%</w:t>
            </w: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4700" w:type="dxa"/>
            <w:vAlign w:val="bottom"/>
            <w:gridSpan w:val="3"/>
          </w:tcPr>
          <w:p>
            <w:pPr>
              <w:jc w:val="right"/>
              <w:ind w:right="1492"/>
              <w:spacing w:after="0" w:line="203" w:lineRule="exact"/>
              <w:rPr>
                <w:sz w:val="20"/>
                <w:szCs w:val="20"/>
                <w:color w:val="auto"/>
              </w:rPr>
            </w:pPr>
            <w:r>
              <w:rPr>
                <w:rFonts w:ascii="Courier New" w:cs="Courier New" w:eastAsia="Courier New" w:hAnsi="Courier New"/>
                <w:sz w:val="18"/>
                <w:szCs w:val="18"/>
                <w:color w:val="auto"/>
                <w:w w:val="98"/>
              </w:rPr>
              <w:t>to vote or to direct the vote</w:t>
            </w:r>
          </w:p>
        </w:tc>
        <w:tc>
          <w:tcPr>
            <w:tcW w:w="1100" w:type="dxa"/>
            <w:vAlign w:val="bottom"/>
            <w:vMerge w:val="continue"/>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Shared power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30,654,138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4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1"/>
              </w:rPr>
              <w:t>to 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96"/>
        </w:trPr>
        <w:tc>
          <w:tcPr>
            <w:tcW w:w="1320" w:type="dxa"/>
            <w:vAlign w:val="bottom"/>
            <w:gridSpan w:val="3"/>
          </w:tcPr>
          <w:p>
            <w:pPr>
              <w:spacing w:after="0"/>
              <w:rPr>
                <w:sz w:val="20"/>
                <w:szCs w:val="20"/>
                <w:color w:val="auto"/>
              </w:rPr>
            </w:pPr>
            <w:r>
              <w:rPr>
                <w:rFonts w:ascii="Courier New" w:cs="Courier New" w:eastAsia="Courier New" w:hAnsi="Courier New"/>
                <w:sz w:val="18"/>
                <w:szCs w:val="18"/>
                <w:color w:val="auto"/>
              </w:rPr>
              <w:t>Shared power</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8"/>
              </w:rPr>
              <w:t>dispose or direct the disposition of...</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28,657,936</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5" w:name="page6"/>
    <w:bookmarkEnd w:id="5"/>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96"/>
        </w:trPr>
        <w:tc>
          <w:tcPr>
            <w:tcW w:w="13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6 of 7 Pages</w:t>
            </w:r>
          </w:p>
        </w:tc>
        <w:tc>
          <w:tcPr>
            <w:tcW w:w="0" w:type="dxa"/>
            <w:vAlign w:val="bottom"/>
          </w:tcPr>
          <w:p>
            <w:pPr>
              <w:spacing w:after="0"/>
              <w:rPr>
                <w:sz w:val="1"/>
                <w:szCs w:val="1"/>
                <w:color w:val="auto"/>
              </w:rPr>
            </w:pPr>
          </w:p>
        </w:tc>
      </w:tr>
      <w:tr>
        <w:trPr>
          <w:trHeight w:val="311"/>
        </w:trPr>
        <w:tc>
          <w:tcPr>
            <w:tcW w:w="7120" w:type="dxa"/>
            <w:vAlign w:val="bottom"/>
            <w:gridSpan w:val="3"/>
          </w:tcPr>
          <w:p>
            <w:pPr>
              <w:spacing w:after="0" w:line="312" w:lineRule="exact"/>
              <w:rPr>
                <w:sz w:val="20"/>
                <w:szCs w:val="20"/>
                <w:color w:val="auto"/>
              </w:rPr>
            </w:pPr>
            <w:r>
              <w:rPr>
                <w:rFonts w:ascii="Courier New" w:cs="Courier New" w:eastAsia="Courier New" w:hAnsi="Courier New"/>
                <w:sz w:val="34"/>
                <w:szCs w:val="34"/>
                <w:color w:val="auto"/>
                <w:w w:val="70"/>
                <w:vertAlign w:val="superscript"/>
              </w:rPr>
              <w:t>SBCO beneficial ownership</w:t>
            </w:r>
            <w:r>
              <w:rPr>
                <w:rFonts w:ascii="Courier New" w:cs="Courier New" w:eastAsia="Courier New" w:hAnsi="Courier New"/>
                <w:sz w:val="17"/>
                <w:szCs w:val="17"/>
                <w:color w:val="auto"/>
                <w:w w:val="70"/>
              </w:rPr>
              <w:t>....................................................</w:t>
            </w:r>
            <w:r>
              <w:rPr>
                <w:rFonts w:ascii="Courier New" w:cs="Courier New" w:eastAsia="Courier New" w:hAnsi="Courier New"/>
                <w:sz w:val="34"/>
                <w:szCs w:val="34"/>
                <w:color w:val="auto"/>
                <w:w w:val="70"/>
                <w:vertAlign w:val="superscript"/>
              </w:rPr>
              <w:t>interest3:</w:t>
            </w:r>
          </w:p>
        </w:tc>
        <w:tc>
          <w:tcPr>
            <w:tcW w:w="9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6.9%</w:t>
            </w:r>
          </w:p>
        </w:tc>
        <w:tc>
          <w:tcPr>
            <w:tcW w:w="0" w:type="dxa"/>
            <w:vAlign w:val="bottom"/>
          </w:tcPr>
          <w:p>
            <w:pPr>
              <w:spacing w:after="0"/>
              <w:rPr>
                <w:sz w:val="1"/>
                <w:szCs w:val="1"/>
                <w:color w:val="auto"/>
              </w:rPr>
            </w:pP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4700" w:type="dxa"/>
            <w:vAlign w:val="bottom"/>
          </w:tcPr>
          <w:p>
            <w:pPr>
              <w:ind w:left="60"/>
              <w:spacing w:after="0"/>
              <w:rPr>
                <w:sz w:val="20"/>
                <w:szCs w:val="20"/>
                <w:color w:val="auto"/>
              </w:rPr>
            </w:pPr>
            <w:r>
              <w:rPr>
                <w:rFonts w:ascii="Courier New" w:cs="Courier New" w:eastAsia="Courier New" w:hAnsi="Courier New"/>
                <w:sz w:val="23"/>
                <w:szCs w:val="23"/>
                <w:color w:val="auto"/>
                <w:w w:val="71"/>
                <w:vertAlign w:val="superscript"/>
              </w:rPr>
              <w:t>class</w:t>
            </w:r>
            <w:r>
              <w:rPr>
                <w:rFonts w:ascii="Courier New" w:cs="Courier New" w:eastAsia="Courier New" w:hAnsi="Courier New"/>
                <w:sz w:val="16"/>
                <w:szCs w:val="16"/>
                <w:color w:val="auto"/>
                <w:w w:val="71"/>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 or to direct the vote</w:t>
            </w:r>
          </w:p>
        </w:tc>
        <w:tc>
          <w:tcPr>
            <w:tcW w:w="1100" w:type="dxa"/>
            <w:vAlign w:val="bottom"/>
            <w:vMerge w:val="continue"/>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Shared power to 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15,273,823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0"/>
              </w:rPr>
              <w:t>to 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96"/>
        </w:trPr>
        <w:tc>
          <w:tcPr>
            <w:tcW w:w="60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Shared power to dispose or direct the disposition of...</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15,273,823</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060" w:right="2319" w:hanging="210"/>
        <w:spacing w:after="0" w:line="250" w:lineRule="auto"/>
        <w:rPr>
          <w:sz w:val="20"/>
          <w:szCs w:val="20"/>
          <w:color w:val="auto"/>
        </w:rPr>
      </w:pPr>
      <w:r>
        <w:rPr>
          <w:rFonts w:ascii="Courier New" w:cs="Courier New" w:eastAsia="Courier New" w:hAnsi="Courier New"/>
          <w:sz w:val="18"/>
          <w:szCs w:val="18"/>
          <w:color w:val="auto"/>
        </w:rPr>
        <w:t>1 SBC and SBCI have shared voting power only over 10,000,000 Shares pursuant to an irrevocable proxy granted by Amdocs International Limited to SBCI (proxy expires on June 11, 2002).</w:t>
      </w:r>
    </w:p>
    <w:p>
      <w:pPr>
        <w:spacing w:after="0" w:line="3" w:lineRule="exact"/>
        <w:rPr>
          <w:sz w:val="20"/>
          <w:szCs w:val="20"/>
          <w:color w:val="auto"/>
        </w:rPr>
      </w:pPr>
    </w:p>
    <w:p>
      <w:pPr>
        <w:ind w:left="1060" w:right="1779" w:hanging="210"/>
        <w:spacing w:after="0" w:line="238" w:lineRule="auto"/>
        <w:rPr>
          <w:sz w:val="20"/>
          <w:szCs w:val="20"/>
          <w:color w:val="auto"/>
        </w:rPr>
      </w:pPr>
      <w:r>
        <w:rPr>
          <w:rFonts w:ascii="Courier New" w:cs="Courier New" w:eastAsia="Courier New" w:hAnsi="Courier New"/>
          <w:sz w:val="18"/>
          <w:szCs w:val="18"/>
          <w:color w:val="auto"/>
        </w:rPr>
        <w:t>2 Does not include 8,003,798 Shares which are non-voting so long as they are directly or indirectly owned by SBC. Each non-voting Share will convert into one Share with voting rights upon its sale.</w:t>
      </w:r>
    </w:p>
    <w:p>
      <w:pPr>
        <w:spacing w:after="0" w:line="1" w:lineRule="exact"/>
        <w:rPr>
          <w:sz w:val="20"/>
          <w:szCs w:val="20"/>
          <w:color w:val="auto"/>
        </w:rPr>
      </w:pPr>
    </w:p>
    <w:p>
      <w:pPr>
        <w:ind w:left="1060" w:right="1879" w:hanging="210"/>
        <w:spacing w:after="0" w:line="309" w:lineRule="auto"/>
        <w:rPr>
          <w:sz w:val="20"/>
          <w:szCs w:val="20"/>
          <w:color w:val="auto"/>
        </w:rPr>
      </w:pPr>
      <w:r>
        <w:rPr>
          <w:rFonts w:ascii="Courier New" w:cs="Courier New" w:eastAsia="Courier New" w:hAnsi="Courier New"/>
          <w:sz w:val="18"/>
          <w:szCs w:val="18"/>
          <w:color w:val="auto"/>
        </w:rPr>
        <w:t>3 Each of SBC and SBCI has ultimate control over these Shares by virtue of their ownership of SBCO.</w:t>
      </w:r>
    </w:p>
    <w:p>
      <w:pPr>
        <w:spacing w:after="0" w:line="51"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sixty days, SBCI and SBCO disposed of Shares as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52" w:lineRule="exact"/>
        <w:rPr>
          <w:sz w:val="20"/>
          <w:szCs w:val="20"/>
          <w:color w:val="auto"/>
        </w:rPr>
      </w:pPr>
    </w:p>
    <w:p>
      <w:pPr>
        <w:ind w:left="220"/>
        <w:spacing w:after="0"/>
        <w:tabs>
          <w:tab w:leader="none" w:pos="1880" w:val="left"/>
          <w:tab w:leader="none" w:pos="3560" w:val="left"/>
          <w:tab w:leader="none" w:pos="4940" w:val="left"/>
          <w:tab w:leader="none" w:pos="6300" w:val="left"/>
        </w:tabs>
        <w:rPr>
          <w:sz w:val="20"/>
          <w:szCs w:val="20"/>
          <w:color w:val="auto"/>
        </w:rPr>
      </w:pPr>
      <w:r>
        <w:rPr>
          <w:rFonts w:ascii="Courier New" w:cs="Courier New" w:eastAsia="Courier New" w:hAnsi="Courier New"/>
          <w:sz w:val="18"/>
          <w:szCs w:val="18"/>
          <w:color w:val="auto"/>
        </w:rPr>
        <w:t>Transaction</w:t>
      </w:r>
      <w:r>
        <w:rPr>
          <w:sz w:val="20"/>
          <w:szCs w:val="20"/>
          <w:color w:val="auto"/>
        </w:rPr>
        <w:tab/>
      </w:r>
      <w:r>
        <w:rPr>
          <w:rFonts w:ascii="Courier New" w:cs="Courier New" w:eastAsia="Courier New" w:hAnsi="Courier New"/>
          <w:sz w:val="18"/>
          <w:szCs w:val="18"/>
          <w:color w:val="auto"/>
        </w:rPr>
        <w:t>Type of</w:t>
      </w:r>
      <w:r>
        <w:rPr>
          <w:sz w:val="20"/>
          <w:szCs w:val="20"/>
          <w:color w:val="auto"/>
        </w:rPr>
        <w:tab/>
      </w:r>
      <w:r>
        <w:rPr>
          <w:rFonts w:ascii="Courier New" w:cs="Courier New" w:eastAsia="Courier New" w:hAnsi="Courier New"/>
          <w:sz w:val="18"/>
          <w:szCs w:val="18"/>
          <w:color w:val="auto"/>
        </w:rPr>
        <w:t>Selling</w:t>
      </w:r>
      <w:r>
        <w:rPr>
          <w:sz w:val="20"/>
          <w:szCs w:val="20"/>
          <w:color w:val="auto"/>
        </w:rPr>
        <w:tab/>
      </w: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Price Per Share</w:t>
      </w:r>
    </w:p>
    <w:p>
      <w:pPr>
        <w:ind w:left="540"/>
        <w:spacing w:after="0"/>
        <w:tabs>
          <w:tab w:leader="none" w:pos="1680" w:val="left"/>
          <w:tab w:leader="none" w:pos="3560" w:val="left"/>
          <w:tab w:leader="none" w:pos="5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Transaction</w:t>
      </w:r>
      <w:r>
        <w:rPr>
          <w:sz w:val="20"/>
          <w:szCs w:val="20"/>
          <w:color w:val="auto"/>
        </w:rPr>
        <w:tab/>
      </w: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Shares</w:t>
      </w:r>
    </w:p>
    <w:p>
      <w:pPr>
        <w:spacing w:after="0"/>
        <w:rPr>
          <w:sz w:val="20"/>
          <w:szCs w:val="20"/>
          <w:color w:val="auto"/>
        </w:rPr>
      </w:pPr>
      <w:r>
        <w:rPr>
          <w:rFonts w:ascii="Courier New" w:cs="Courier New" w:eastAsia="Courier New" w:hAnsi="Courier New"/>
          <w:sz w:val="16"/>
          <w:szCs w:val="16"/>
          <w:color w:val="auto"/>
        </w:rPr>
        <w:t>- --------------------- ----------------- ----------------- ---------------------</w:t>
      </w:r>
    </w:p>
    <w:tbl>
      <w:tblPr>
        <w:tblLayout w:type="fixed"/>
        <w:tblInd w:w="320" w:type="dxa"/>
        <w:tblCellMar>
          <w:top w:w="0" w:type="dxa"/>
          <w:left w:w="0" w:type="dxa"/>
          <w:bottom w:w="0" w:type="dxa"/>
          <w:right w:w="0" w:type="dxa"/>
        </w:tblCellMar>
      </w:tblPr>
      <w:tr>
        <w:trPr>
          <w:trHeight w:val="192"/>
        </w:trPr>
        <w:tc>
          <w:tcPr>
            <w:tcW w:w="112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w w:val="94"/>
              </w:rPr>
              <w:t>11/19/01</w:t>
            </w:r>
          </w:p>
        </w:tc>
        <w:tc>
          <w:tcPr>
            <w:tcW w:w="1840" w:type="dxa"/>
            <w:vAlign w:val="bottom"/>
          </w:tcPr>
          <w:p>
            <w:pPr>
              <w:jc w:val="center"/>
              <w:ind w:right="72"/>
              <w:spacing w:after="0" w:line="192" w:lineRule="exact"/>
              <w:rPr>
                <w:sz w:val="20"/>
                <w:szCs w:val="20"/>
                <w:color w:val="auto"/>
              </w:rPr>
            </w:pPr>
            <w:r>
              <w:rPr>
                <w:rFonts w:ascii="Courier New" w:cs="Courier New" w:eastAsia="Courier New" w:hAnsi="Courier New"/>
                <w:sz w:val="18"/>
                <w:szCs w:val="18"/>
                <w:color w:val="auto"/>
                <w:w w:val="97"/>
              </w:rPr>
              <w:t>Open Market</w:t>
            </w:r>
          </w:p>
        </w:tc>
        <w:tc>
          <w:tcPr>
            <w:tcW w:w="1360" w:type="dxa"/>
            <w:vAlign w:val="bottom"/>
          </w:tcPr>
          <w:p>
            <w:pPr>
              <w:ind w:left="420"/>
              <w:spacing w:after="0" w:line="192" w:lineRule="exact"/>
              <w:rPr>
                <w:sz w:val="20"/>
                <w:szCs w:val="20"/>
                <w:color w:val="auto"/>
              </w:rPr>
            </w:pPr>
            <w:r>
              <w:rPr>
                <w:rFonts w:ascii="Courier New" w:cs="Courier New" w:eastAsia="Courier New" w:hAnsi="Courier New"/>
                <w:sz w:val="18"/>
                <w:szCs w:val="18"/>
                <w:color w:val="auto"/>
              </w:rPr>
              <w:t>SBCI</w:t>
            </w:r>
          </w:p>
        </w:tc>
        <w:tc>
          <w:tcPr>
            <w:tcW w:w="1740" w:type="dxa"/>
            <w:vAlign w:val="bottom"/>
          </w:tcPr>
          <w:p>
            <w:pPr>
              <w:jc w:val="right"/>
              <w:ind w:right="392"/>
              <w:spacing w:after="0" w:line="192" w:lineRule="exact"/>
              <w:rPr>
                <w:sz w:val="20"/>
                <w:szCs w:val="20"/>
                <w:color w:val="auto"/>
              </w:rPr>
            </w:pPr>
            <w:r>
              <w:rPr>
                <w:rFonts w:ascii="Courier New" w:cs="Courier New" w:eastAsia="Courier New" w:hAnsi="Courier New"/>
                <w:sz w:val="18"/>
                <w:szCs w:val="18"/>
                <w:color w:val="auto"/>
              </w:rPr>
              <w:t>250,000</w:t>
            </w:r>
          </w:p>
        </w:tc>
        <w:tc>
          <w:tcPr>
            <w:tcW w:w="12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$33.631</w:t>
            </w:r>
          </w:p>
        </w:tc>
      </w:tr>
      <w:tr>
        <w:trPr>
          <w:trHeight w:val="296"/>
        </w:trPr>
        <w:tc>
          <w:tcPr>
            <w:tcW w:w="1120" w:type="dxa"/>
            <w:vAlign w:val="bottom"/>
          </w:tcPr>
          <w:p>
            <w:pPr>
              <w:spacing w:after="0"/>
              <w:rPr>
                <w:sz w:val="24"/>
                <w:szCs w:val="24"/>
                <w:color w:val="auto"/>
              </w:rPr>
            </w:pP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9"/>
              </w:rPr>
              <w:t>Sales</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11/20/01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SBCI</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350,000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$33.543</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11/26/01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400,000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$33.591</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11/27/01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575,000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$34.663</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12/03/01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$31.985</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12/04/01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500,000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$32.238</w:t>
            </w:r>
          </w:p>
        </w:tc>
      </w:tr>
      <w:tr>
        <w:trPr>
          <w:trHeight w:val="405"/>
        </w:trPr>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12/05/01</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SBCO</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600,000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$34.433</w:t>
            </w:r>
          </w:p>
        </w:tc>
      </w:tr>
    </w:tbl>
    <w:p>
      <w:pPr>
        <w:spacing w:after="0" w:line="109"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860" w:right="2099" w:hanging="842"/>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1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In June 1998, SBC granted Amdocs phantom units convertible on a one-for-one basis into Shares to officers of SBC including James Kahan, a director of the Company, subject to vesting. As of December 5, 2001, 94,644 Amdocs phantom units remain undistributed, all of which are vested but deferred.</w:t>
      </w:r>
    </w:p>
    <w:p>
      <w:pPr>
        <w:sectPr>
          <w:pgSz w:w="11900" w:h="16838" w:orient="portrait"/>
          <w:cols w:equalWidth="0" w:num="1">
            <w:col w:w="10219"/>
          </w:cols>
          <w:pgMar w:left="240" w:top="691"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Page 7 of 7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S. Kahan</w:t>
      </w:r>
    </w:p>
    <w:p>
      <w:pPr>
        <w:ind w:left="420"/>
        <w:spacing w:after="0"/>
        <w:rPr>
          <w:sz w:val="20"/>
          <w:szCs w:val="20"/>
          <w:color w:val="auto"/>
        </w:rPr>
      </w:pPr>
      <w:r>
        <w:rPr>
          <w:rFonts w:ascii="Courier New" w:cs="Courier New" w:eastAsia="Courier New" w:hAnsi="Courier New"/>
          <w:sz w:val="16"/>
          <w:szCs w:val="16"/>
          <w:color w:val="auto"/>
        </w:rPr>
        <w:t>Senior Executive Vice President-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2000" w:space="720"/>
            <w:col w:w="320" w:space="320"/>
            <w:col w:w="5999"/>
          </w:cols>
          <w:pgMar w:left="240" w:top="691" w:right="1440" w:bottom="1440" w:gutter="0" w:footer="0" w:header="0"/>
          <w:type w:val="continuous"/>
        </w:sectPr>
      </w:pPr>
    </w:p>
    <w:p>
      <w:pPr>
        <w:spacing w:after="0" w:line="172"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6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S. Kahan</w:t>
      </w:r>
    </w:p>
    <w:p>
      <w:pPr>
        <w:ind w:left="100"/>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4">
            <w:col w:w="640" w:space="220"/>
            <w:col w:w="2000" w:space="720"/>
            <w:col w:w="320" w:space="320"/>
            <w:col w:w="5999"/>
          </w:cols>
          <w:pgMar w:left="240" w:top="691" w:right="1440" w:bottom="1440" w:gutter="0" w:footer="0" w:header="0"/>
          <w:type w:val="continuous"/>
        </w:sectPr>
      </w:pPr>
    </w:p>
    <w:p>
      <w:pPr>
        <w:spacing w:after="0" w:line="19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SBC Hedging Management, LLC</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691"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Hal E. Rainbolt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Hal E. Rainbolt</w:t>
      </w:r>
    </w:p>
    <w:p>
      <w:pPr>
        <w:ind w:left="860"/>
        <w:spacing w:after="0"/>
        <w:rPr>
          <w:sz w:val="20"/>
          <w:szCs w:val="20"/>
          <w:color w:val="auto"/>
        </w:rPr>
      </w:pPr>
      <w:r>
        <w:rPr>
          <w:rFonts w:ascii="Courier New" w:cs="Courier New" w:eastAsia="Courier New" w:hAnsi="Courier New"/>
          <w:sz w:val="16"/>
          <w:szCs w:val="16"/>
          <w:color w:val="auto"/>
        </w:rPr>
        <w:t>Director, SBC Hedging Management, LLC</w:t>
      </w:r>
    </w:p>
    <w:sectPr>
      <w:pgSz w:w="11900" w:h="16838" w:orient="portrait"/>
      <w:cols w:equalWidth="0" w:num="3">
        <w:col w:w="640" w:space="220"/>
        <w:col w:w="2000" w:space="720"/>
        <w:col w:w="663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210"/>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lvl w:ilvl="1">
      <w:lvlJc w:val="left"/>
      <w:lvlText w:val="S.%2."/>
      <w:numFmt w:val="upperLetter"/>
      <w:start w:val="19"/>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3"/>
    </w:lvl>
  </w:abstractNum>
  <w:abstractNum w:abstractNumId="21">
    <w:nsid w:val="721DA31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2019-12-14T21:20:23Z</dcterms:created>
  <dcterms:modified xsi:type="dcterms:W3CDTF">2019-12-14T21:20:23Z</dcterms:modified>
</cp:coreProperties>
</file>