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12/31/2012</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Capital Management LLC EIN #75-3019302</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9,902,472**</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3,900**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9,902,472**</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3,900**</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9,906,372**</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AMDOCS LIMITED ("AMDOCS")</w:t>
      </w:r>
    </w:p>
    <w:p>
      <w:pPr>
        <w:spacing w:after="0" w:line="206" w:lineRule="exact"/>
        <w:rPr>
          <w:rFonts w:ascii="Courier New" w:cs="Courier New" w:eastAsia="Courier New" w:hAnsi="Courier New"/>
          <w:sz w:val="18"/>
          <w:szCs w:val="18"/>
          <w:color w:val="auto"/>
        </w:rPr>
      </w:pPr>
    </w:p>
    <w:p>
      <w:pPr>
        <w:ind w:right="461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Address of Issuer's Principal Executive Offices: 1390 Timberlake Manor Parkway Chesterfield, MO 63017 Item 2.</w:t>
      </w:r>
    </w:p>
    <w:p>
      <w:pPr>
        <w:spacing w:after="0" w:line="10"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9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 Denver, Colorado 80206 Citizenship: Delaware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5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Janus Capital has a direct 95.67% ownership stake in INTECH Investment Management ("INTECH") and a direct 77.8% ownership stake in Perkins Investment Management LLC ("Perkins").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4"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9,902,472 shares or 6.1%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3,900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INTECH is a direct subsidiary of Janus Capital (Janus Capital has a direct 95.67% ownership stake) and is a registered investment adviser furnishing investment advice to various investment companies registered under Section 8 of the Investment Company Act of 1940 and to individual and institutional clients.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By /s/ David R. Kowalski 2/14/2013 David R. Kowalski, Date Senior Vice President and CCO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INTECH INVESTMENT MANAGEMENT LLC</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By /s/ David R. Kowalski 2/14/2013 David R. Kowalski Date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2019-12-06T20:40:08Z</dcterms:created>
  <dcterms:modified xsi:type="dcterms:W3CDTF">2019-12-06T20:40:08Z</dcterms:modified>
</cp:coreProperties>
</file>