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2010</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340" w:val="left"/>
          <w:tab w:leader="none" w:pos="60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tabs>
          <w:tab w:leader="none" w:pos="910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tab/>
        <w:t>o</w:t>
      </w:r>
    </w:p>
    <w:p>
      <w:pPr>
        <w:spacing w:after="0" w:line="129" w:lineRule="exact"/>
        <w:rPr>
          <w:sz w:val="24"/>
          <w:szCs w:val="24"/>
          <w:color w:val="auto"/>
        </w:rPr>
      </w:pPr>
    </w:p>
    <w:p>
      <w:pPr>
        <w:spacing w:after="0"/>
        <w:tabs>
          <w:tab w:leader="none" w:pos="910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tab/>
        <w:t>o</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5400" w:val="left"/>
          <w:tab w:leader="none" w:pos="594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285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50"/>
              <w:spacing w:after="0"/>
              <w:rPr>
                <w:sz w:val="20"/>
                <w:szCs w:val="20"/>
                <w:color w:val="auto"/>
              </w:rPr>
            </w:pPr>
            <w:r>
              <w:rPr>
                <w:rFonts w:ascii="Arial" w:cs="Arial" w:eastAsia="Arial" w:hAnsi="Arial"/>
                <w:sz w:val="18"/>
                <w:szCs w:val="18"/>
                <w:color w:val="auto"/>
                <w:w w:val="94"/>
              </w:rPr>
              <w:t>FOR THE QUARTER ENDED MARCH 31, 2010</w:t>
            </w:r>
          </w:p>
        </w:tc>
        <w:tc>
          <w:tcPr>
            <w:tcW w:w="19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418"/>
        </w:trPr>
        <w:tc>
          <w:tcPr>
            <w:tcW w:w="934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60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40" w:type="dxa"/>
            <w:vAlign w:val="bottom"/>
            <w:gridSpan w:val="2"/>
          </w:tcPr>
          <w:p>
            <w:pPr>
              <w:ind w:left="42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8"/>
                <w:szCs w:val="18"/>
                <w:color w:val="auto"/>
              </w:rPr>
            </w:pP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Balance Sheets</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Income</w:t>
            </w: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 of Changes in Shareholders’ Equity</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Cash Flows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Notes to Unaudited Consolidated Financial Statements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600" w:type="dxa"/>
            <w:vAlign w:val="bottom"/>
          </w:tcPr>
          <w:p>
            <w:pPr>
              <w:ind w:left="20"/>
              <w:spacing w:after="0"/>
              <w:rPr>
                <w:sz w:val="20"/>
                <w:szCs w:val="20"/>
                <w:color w:val="auto"/>
              </w:rPr>
            </w:pPr>
            <w:r>
              <w:rPr>
                <w:rFonts w:ascii="Arial" w:cs="Arial" w:eastAsia="Arial" w:hAnsi="Arial"/>
                <w:sz w:val="18"/>
                <w:szCs w:val="18"/>
                <w:color w:val="auto"/>
              </w:rPr>
              <w:t>Operating and Financial Review and Prospects</w:t>
            </w:r>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600" w:type="dxa"/>
            <w:vAlign w:val="bottom"/>
          </w:tcPr>
          <w:p>
            <w:pPr>
              <w:ind w:left="20"/>
              <w:spacing w:after="0"/>
              <w:rPr>
                <w:sz w:val="20"/>
                <w:szCs w:val="20"/>
                <w:color w:val="auto"/>
              </w:rPr>
            </w:pPr>
            <w:r>
              <w:rPr>
                <w:rFonts w:ascii="Arial" w:cs="Arial" w:eastAsia="Arial" w:hAnsi="Arial"/>
                <w:sz w:val="18"/>
                <w:szCs w:val="18"/>
                <w:color w:val="auto"/>
              </w:rPr>
              <w:t>Changes in Securities, Use of Proceeds and Issuer Purchases of Equity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600" w:type="dxa"/>
            <w:vAlign w:val="bottom"/>
          </w:tcPr>
          <w:p>
            <w:pPr>
              <w:ind w:left="20"/>
              <w:spacing w:after="0"/>
              <w:rPr>
                <w:sz w:val="20"/>
                <w:szCs w:val="20"/>
                <w:color w:val="auto"/>
              </w:rPr>
            </w:pPr>
            <w:r>
              <w:rPr>
                <w:rFonts w:ascii="Arial" w:cs="Arial" w:eastAsia="Arial" w:hAnsi="Arial"/>
                <w:sz w:val="18"/>
                <w:szCs w:val="18"/>
                <w:color w:val="auto"/>
              </w:rPr>
              <w:t>Reports on Form 6-K</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571,965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444,279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484,764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454,965</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Deferred income taxes and taxes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118,794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117,848</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126,704</w:t>
            </w:r>
          </w:p>
        </w:tc>
      </w:tr>
      <w:tr>
        <w:trPr>
          <w:trHeight w:val="223"/>
        </w:trPr>
        <w:tc>
          <w:tcPr>
            <w:tcW w:w="89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2,055,374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1,872,558</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279,659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138,985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137,662</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1,630,028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1,539,424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227,337</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294,629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271,777</w:t>
            </w:r>
          </w:p>
        </w:tc>
      </w:tr>
      <w:tr>
        <w:trPr>
          <w:trHeight w:val="223"/>
        </w:trPr>
        <w:tc>
          <w:tcPr>
            <w:tcW w:w="89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4,626,933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92,418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86,189</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203,530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174,341</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personnel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154,841</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189,489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186,158</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w:t>
            </w:r>
          </w:p>
        </w:tc>
      </w:tr>
      <w:tr>
        <w:trPr>
          <w:trHeight w:val="223"/>
        </w:trPr>
        <w:tc>
          <w:tcPr>
            <w:tcW w:w="89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610,867</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273,110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231,387</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1,223,538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1,115,364</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920" w:type="dxa"/>
            <w:vAlign w:val="bottom"/>
          </w:tcPr>
          <w:p>
            <w:pPr>
              <w:ind w:left="220"/>
              <w:spacing w:after="0" w:line="201" w:lineRule="exact"/>
              <w:rPr>
                <w:sz w:val="20"/>
                <w:szCs w:val="20"/>
                <w:color w:val="auto"/>
              </w:rPr>
            </w:pPr>
            <w:r>
              <w:rPr>
                <w:rFonts w:ascii="Arial" w:cs="Arial" w:eastAsia="Arial" w:hAnsi="Arial"/>
                <w:sz w:val="18"/>
                <w:szCs w:val="18"/>
                <w:color w:val="auto"/>
                <w:w w:val="98"/>
              </w:rPr>
              <w:t>Ordinary Shares — Authorized 700,000 shares; £0.01 par value; 243,806 and 242,466 issued and 206,419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20" w:type="dxa"/>
            <w:vAlign w:val="bottom"/>
          </w:tcPr>
          <w:p>
            <w:pPr>
              <w:ind w:left="420"/>
              <w:spacing w:after="0"/>
              <w:rPr>
                <w:sz w:val="20"/>
                <w:szCs w:val="20"/>
                <w:color w:val="auto"/>
              </w:rPr>
            </w:pPr>
            <w:r>
              <w:rPr>
                <w:rFonts w:ascii="Arial" w:cs="Arial" w:eastAsia="Arial" w:hAnsi="Arial"/>
                <w:sz w:val="18"/>
                <w:szCs w:val="18"/>
                <w:color w:val="auto"/>
              </w:rPr>
              <w:t>205,079 outstanding,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3,930</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2,372,964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2,334,090</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Treasury stock, at cost —37,387 Ordinary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(919,874)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(919,874)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w:t>
            </w: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1,943,467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1,786,564</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3,403,395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3,213,053</w:t>
            </w:r>
          </w:p>
        </w:tc>
      </w:tr>
      <w:tr>
        <w:trPr>
          <w:trHeight w:val="223"/>
        </w:trPr>
        <w:tc>
          <w:tcPr>
            <w:tcW w:w="892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4,626,933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25,949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718,020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673,881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1,418,681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1,383,119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743,969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711,084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475,440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455,997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51,190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52,750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101,296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84,308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21,439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21,501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640,842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615,125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1,266,504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103,127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95,959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 and other,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22,761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90,196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11,816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21,897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154,877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(1)</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 (1)</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206,025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203,827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205,724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 (1)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207,691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210,645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basic and diluted weighted average number of shares outstanding for the three and six months ended March 31, 2009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had no impact on basic and diluted earnings per share for the three and six months ended March 31, 2009.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2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Treasury</w:t>
            </w:r>
          </w:p>
        </w:tc>
        <w:tc>
          <w:tcPr>
            <w:tcW w:w="14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3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2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280" w:type="dxa"/>
            <w:vAlign w:val="bottom"/>
            <w:gridSpan w:val="2"/>
          </w:tcPr>
          <w:p>
            <w:pPr>
              <w:jc w:val="center"/>
              <w:ind w:right="680"/>
              <w:spacing w:after="0" w:line="142" w:lineRule="exact"/>
              <w:rPr>
                <w:sz w:val="20"/>
                <w:szCs w:val="20"/>
                <w:color w:val="auto"/>
              </w:rPr>
            </w:pPr>
            <w:r>
              <w:rPr>
                <w:rFonts w:ascii="Arial" w:cs="Arial" w:eastAsia="Arial" w:hAnsi="Arial"/>
                <w:sz w:val="14"/>
                <w:szCs w:val="14"/>
                <w:b w:val="1"/>
                <w:bCs w:val="1"/>
                <w:color w:val="auto"/>
                <w:w w:val="89"/>
              </w:rPr>
              <w:t>Income</w:t>
            </w:r>
          </w:p>
        </w:tc>
        <w:tc>
          <w:tcPr>
            <w:tcW w:w="13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3"/>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205,079</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$ 2,334,090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 (919,874)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8,343</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$ 1,786,564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$ 3,213,053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156,903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Unrealized loss on foreign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currency hedging</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contracts, net of $(1,294)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tax</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(7,956)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short-term</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interest-bearing</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$17 tax</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17,303</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418"/>
        </w:trPr>
        <w:tc>
          <w:tcPr>
            <w:tcW w:w="2760" w:type="dxa"/>
            <w:vAlign w:val="bottom"/>
            <w:gridSpan w:val="2"/>
          </w:tcPr>
          <w:p>
            <w:pPr>
              <w:spacing w:after="0"/>
              <w:rPr>
                <w:sz w:val="20"/>
                <w:szCs w:val="20"/>
                <w:color w:val="auto"/>
              </w:rPr>
            </w:pPr>
            <w:r>
              <w:rPr>
                <w:rFonts w:ascii="Arial" w:cs="Arial" w:eastAsia="Arial" w:hAnsi="Arial"/>
                <w:sz w:val="18"/>
                <w:szCs w:val="18"/>
                <w:color w:val="auto"/>
              </w:rPr>
              <w:t>Issuance of restricted stock, net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of forfeitures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related to employees</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21,571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Balance as of March 31, 2010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206,419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$ 2,372,964</w:t>
            </w:r>
          </w:p>
        </w:tc>
        <w:tc>
          <w:tcPr>
            <w:tcW w:w="4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(919,874</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$ 1,943,467</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$ 3,403,395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2010 and September 30, 2009, accumulated other comprehensive income is comprised of unrealized gain on derivatives, net of tax, of</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$4,980 and $12,936, respectively, and unrealized loss on cash equivalents and short-term interest-bearing investments, net of tax, of $(3,918) and $(6,417), respectively, and unrealized gain on defined benefit plan, net of tax, of $1,824.</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0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Six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156,903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97,524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on investment in a subsidiary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from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28,485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34,846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(44,027)</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358,075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for purchase of equipment ,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(40,074)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747,201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(871,945)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(149,685)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(61,855)</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(314,503)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(162,678)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 under long-term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under capital lease and short-term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60,772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728,762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718,850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789,534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1,296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180" w:firstLine="215"/>
        <w:spacing w:after="0" w:line="255" w:lineRule="auto"/>
        <w:rPr>
          <w:sz w:val="20"/>
          <w:szCs w:val="20"/>
          <w:color w:val="auto"/>
        </w:rPr>
      </w:pPr>
      <w:r>
        <w:rPr>
          <w:rFonts w:ascii="Arial" w:cs="Arial" w:eastAsia="Arial" w:hAnsi="Arial"/>
          <w:sz w:val="18"/>
          <w:szCs w:val="18"/>
          <w:color w:val="auto"/>
        </w:rPr>
        <w:t>Amdocs Limited (“Amdocs” or the “Company”) is a leading provider of software and services for communications, media and entertainment industry service providers. The Company and its subsidiaries operate in one segment, providing integrated products and services primarily to leading wireless, wireline, cable and satellite service providers throughout the world. The Company designs, develops, markets, supports, implements and operates customer experience systems, including revenue management, customer management, service and resource management (OSS), personalized portal and value-added services and portfolio management, as well as consulting and managed services for its customers. Amdocs also offers a full range of directory sales and publishing systems.</w:t>
      </w:r>
    </w:p>
    <w:p>
      <w:pPr>
        <w:spacing w:after="0" w:line="85"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is a Guernsey company, which directly or indirectly holds numerous wholly-owned subsidiaries around the world. The majority of the Company’s customers are in North America, Europe, Latin America and the Asia-Pacific region. The Company’s main production and operating facilities are located in Canada, Cyprus, India, Ireland, Israel, and the United States.</w:t>
      </w:r>
    </w:p>
    <w:p>
      <w:pPr>
        <w:spacing w:after="0" w:line="73"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U.S.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2009, set forth in the Company’s Annual Report on Form 20-F filed on December 7, 2009 with the U.S. Securities and Exchange Commission, or the SEC. Subsequent events were evaluated through the date these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June 2009, the Financial Accounting Standards Board, or FASB, issued authoritative guidance on the consolidation of variable interest entities, which is effective for the Company beginning October 1, 2010. The new guidance requires revised evaluations of whether entities represent variable interest entities, ongoing assessments of control over such entities, and additional disclosures for variable interests. Based on its current operations, the Company believes that the adoption of this new guidance will not have a material impact on its financial statements.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In January 2010, the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the Company beginning January 1, 2010, except for the disclosure on the roll forward activities for Level 3 fair value measurements, which will become effective for the Company beginning October 1, 2011. The adoption of this new guidance did not have a material impact on the Company’s financial statements.</w:t>
      </w:r>
    </w:p>
    <w:p>
      <w:pPr>
        <w:spacing w:after="0" w:line="59"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The Company elected to early adopt the pronouncements at the beginning of its first quarter of fiscal 2010 on a prospective basis for applicable transactions originating or materially modified after October 1, 2009. If VSOE of fair value or third-party evidence of selling price is unavailable,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made through consultation with and approval by management. This guidance does not generally change the units of accounting in the Company’s revenue arrangements or the methodology by which transaction consideration is allocated to the various units of accounting due to the fact that, for the majority of the Company’s existing multiple deliverables arrangements, the Company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the Company’s results of operations or financial position for that fiscal year. In addition, the adoption of the new guidance did not have a material impact on the Company’s results of operations or financial position in the three and six months ended March 31, 2010.</w:t>
      </w:r>
    </w:p>
    <w:p>
      <w:pPr>
        <w:spacing w:after="0" w:line="28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Effective October 1, 2009, the Company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had no impact on basic and diluted EPS for the three and six months ended March 31, 2009.</w:t>
      </w:r>
    </w:p>
    <w:p>
      <w:pPr>
        <w:spacing w:after="0" w:line="63"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Effective October 1, 2009, the Company adopted the fair value measurements guidance for non-financial assets and non-financial liabilities, except those that are recognized or disclosed in the financial statements at fair value on a recurring basis (at least annually). The adoption of this guidance did not have a material impact on the Company’s results of operations or financial position.</w:t>
      </w:r>
    </w:p>
    <w:p>
      <w:pPr>
        <w:spacing w:after="0" w:line="73"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Effective October 1, 2009, the Company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the Company’s results of operations or financial position will vary depending on each specific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combination. This guidance did not have a material impact on the Company’s results of operations or financial position in the three and six months ended March 31, 2010.</w:t>
      </w:r>
    </w:p>
    <w:p>
      <w:pPr>
        <w:spacing w:after="0" w:line="62"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Effective October 1, 2009, the Company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guidance had no impact on the Company’s consolidated results of operations or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following tables presents the Company’s assets and liabilities measured at fair value on a recurring basis as of March 31, 2010 and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March 31, 2010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$ 422,141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422,208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92,906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140,897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28,084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63,834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852,349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363,337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1,215,686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$ 852,349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371,259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1,223,608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September 30, 2009</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$ 465,249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272,405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93,211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83,949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16,645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32,392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274,092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1,019,746</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$ 745,654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287,974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1,033,628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79"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exchange and option contracts valued primarily based on observable inputs including forward rates and yield curves.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financial instruments of the Company consist mainly of cash and cash equivalents, short-term interest-bearing investments, accounts receivable, accounts payable, foreign currency forward exchange contracts and options. The fair value of the financial instruments included in the accounts of the Company does not significantly vary from their carrying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3"/>
              </w:rPr>
              <w:t>As of March 31, 2010</w:t>
            </w: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422,141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422,141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421,988</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422,208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92,076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140,036</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140,897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28,005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64,669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63,834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12,114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1,924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25,612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3,623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13,129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1,219,770</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1,215,686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are classified as short-term interest-bearing investments on the Company’s balance sheet, except for $643,721 of securities with original maturities of 90 days or less which are included in cash and cash equivalents as of March 31,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As of September 30, 2009</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465,249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271,483</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83,212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15,610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32,924</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38,339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1,026,346</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1,019,746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short-term interest-bearing investments on the Company’s balance sheet, except for $575,467 of securities with original maturities of 90 days or less which are included in cash and cash equivalents as of September 30,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086" w:gutter="0" w:footer="0" w:header="0"/>
        </w:sectPr>
      </w:pPr>
    </w:p>
    <w:bookmarkStart w:id="10" w:name="page11"/>
    <w:bookmarkEnd w:id="10"/>
    <w:p>
      <w:pPr>
        <w:ind w:right="180" w:firstLine="215"/>
        <w:spacing w:after="0" w:line="257" w:lineRule="auto"/>
        <w:rPr>
          <w:sz w:val="20"/>
          <w:szCs w:val="20"/>
          <w:color w:val="auto"/>
        </w:rPr>
      </w:pPr>
      <w:r>
        <w:rPr>
          <w:rFonts w:ascii="Arial" w:cs="Arial" w:eastAsia="Arial" w:hAnsi="Arial"/>
          <w:sz w:val="18"/>
          <w:szCs w:val="18"/>
          <w:color w:val="auto"/>
        </w:rPr>
        <w:t>As of March 31, 2010,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the Company recognized through earnings a credit loss of $211 and $491 in the three and six months ended March 31, 2010, respectively. As of March 31, 2010, unrealized losses of $2,328 related to other-than-temporarily impaired securities are included in accumulated other comprehensive income.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March 31,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vMerge w:val="restart"/>
          </w:tcPr>
          <w:p>
            <w:pPr>
              <w:ind w:left="200"/>
              <w:spacing w:after="0"/>
              <w:rPr>
                <w:sz w:val="20"/>
                <w:szCs w:val="20"/>
                <w:color w:val="auto"/>
              </w:rPr>
            </w:pPr>
            <w:r>
              <w:rPr>
                <w:rFonts w:ascii="Arial" w:cs="Arial" w:eastAsia="Arial" w:hAnsi="Arial"/>
                <w:sz w:val="18"/>
                <w:szCs w:val="18"/>
                <w:color w:val="auto"/>
              </w:rPr>
              <w:t>As of March 31, 2010, the Company’s available-for-sale securities had the following maturity dates: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850,294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two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187,159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three years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122,463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four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$ 1,215,686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$11,953 as of March 31, 2010.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March 31, 2010. Notional values are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translated and calculated based on forward rates as of March 31, 2010 for forward contracts, and based on spot rates as of March 31, 2010 for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8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4"/>
        </w:trPr>
        <w:tc>
          <w:tcPr>
            <w:tcW w:w="9980" w:type="dxa"/>
            <w:vAlign w:val="bottom"/>
            <w:vMerge w:val="continue"/>
          </w:tcPr>
          <w:p>
            <w:pPr>
              <w:spacing w:after="0"/>
              <w:rPr>
                <w:sz w:val="19"/>
                <w:szCs w:val="19"/>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$721,685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16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consolidated financial statements. The fair value of the open foreign currency exchange contracts recorded by the Company on its consolidated balance sheets as of March 31, 2010 and September 30, 2009,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10,279</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7,922</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March 31, 2010 are expected to mature within the next 12 months).</w:t>
      </w:r>
    </w:p>
    <w:p>
      <w:pPr>
        <w:spacing w:after="0" w:line="50"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expense and other, net.</w:t>
      </w:r>
    </w:p>
    <w:p>
      <w:pPr>
        <w:spacing w:after="0" w:line="70"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three months ended March 31, 2010 and 2009, respectively, which partially offset the foreign currency impact from the underlying exposures, is summarized as follows:</w:t>
      </w:r>
    </w:p>
    <w:p>
      <w:pPr>
        <w:spacing w:after="0" w:line="16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GAINS (LOSSES) RECLASSIFIED FROM</w:t>
      </w:r>
    </w:p>
    <w:p>
      <w:pPr>
        <w:jc w:val="center"/>
        <w:ind w:left="7080"/>
        <w:spacing w:after="0" w:line="226" w:lineRule="auto"/>
        <w:rPr>
          <w:sz w:val="20"/>
          <w:szCs w:val="20"/>
          <w:color w:val="auto"/>
        </w:rPr>
      </w:pPr>
      <w:r>
        <w:rPr>
          <w:rFonts w:ascii="Arial" w:cs="Arial" w:eastAsia="Arial" w:hAnsi="Arial"/>
          <w:sz w:val="14"/>
          <w:szCs w:val="14"/>
          <w:b w:val="1"/>
          <w:bCs w:val="1"/>
          <w:color w:val="auto"/>
        </w:rPr>
        <w:t>OTHER COMPREHENSIVE INCOME (EFFECTIVE PORTION)</w:t>
      </w:r>
    </w:p>
    <w:p>
      <w:pPr>
        <w:jc w:val="center"/>
        <w:ind w:left="7080"/>
        <w:spacing w:after="0" w:line="232"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1620"/>
              <w:spacing w:after="0" w:line="142" w:lineRule="exact"/>
              <w:rPr>
                <w:sz w:val="20"/>
                <w:szCs w:val="20"/>
                <w:color w:val="auto"/>
              </w:rPr>
            </w:pPr>
            <w:r>
              <w:rPr>
                <w:rFonts w:ascii="Arial" w:cs="Arial" w:eastAsia="Arial" w:hAnsi="Arial"/>
                <w:sz w:val="14"/>
                <w:szCs w:val="14"/>
                <w:color w:val="auto"/>
                <w:w w:val="98"/>
              </w:rPr>
              <w:t>March 31, 2010</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98"/>
              </w:rPr>
              <w:t>March 31, 2009</w:t>
            </w:r>
          </w:p>
        </w:tc>
        <w:tc>
          <w:tcPr>
            <w:tcW w:w="1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600" w:type="dxa"/>
            <w:vAlign w:val="bottom"/>
            <w:gridSpan w:val="3"/>
          </w:tcPr>
          <w:p>
            <w:pPr>
              <w:jc w:val="right"/>
              <w:ind w:right="1320"/>
              <w:spacing w:after="0"/>
              <w:rPr>
                <w:sz w:val="20"/>
                <w:szCs w:val="20"/>
                <w:color w:val="auto"/>
              </w:rPr>
            </w:pPr>
            <w:r>
              <w:rPr>
                <w:rFonts w:ascii="Arial" w:cs="Arial" w:eastAsia="Arial" w:hAnsi="Arial"/>
                <w:sz w:val="18"/>
                <w:szCs w:val="18"/>
                <w:color w:val="auto"/>
              </w:rPr>
              <w:t>(1,049)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3,058</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(9,707)</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(2,079)</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six months ended March 31, 2010, which partially offset the foreign currency impact from the underlying exposures, is summarized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GAINS (LOSSES) RECLASSIFIED FROM</w:t>
            </w:r>
          </w:p>
        </w:tc>
      </w:tr>
      <w:tr>
        <w:trPr>
          <w:trHeight w:val="149"/>
        </w:trPr>
        <w:tc>
          <w:tcPr>
            <w:tcW w:w="4940" w:type="dxa"/>
            <w:vAlign w:val="bottom"/>
          </w:tcPr>
          <w:p>
            <w:pPr>
              <w:spacing w:after="0"/>
              <w:rPr>
                <w:sz w:val="12"/>
                <w:szCs w:val="12"/>
                <w:color w:val="auto"/>
              </w:rPr>
            </w:pPr>
          </w:p>
        </w:tc>
        <w:tc>
          <w:tcPr>
            <w:tcW w:w="6480" w:type="dxa"/>
            <w:vAlign w:val="bottom"/>
            <w:gridSpan w:val="7"/>
          </w:tcPr>
          <w:p>
            <w:pPr>
              <w:jc w:val="center"/>
              <w:ind w:left="2139"/>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r>
      <w:tr>
        <w:trPr>
          <w:trHeight w:val="153"/>
        </w:trPr>
        <w:tc>
          <w:tcPr>
            <w:tcW w:w="49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3"/>
          </w:tcPr>
          <w:p>
            <w:pPr>
              <w:jc w:val="center"/>
              <w:ind w:right="1540"/>
              <w:spacing w:after="0" w:line="153" w:lineRule="exact"/>
              <w:rPr>
                <w:sz w:val="20"/>
                <w:szCs w:val="20"/>
                <w:color w:val="auto"/>
              </w:rPr>
            </w:pPr>
            <w:r>
              <w:rPr>
                <w:rFonts w:ascii="Arial" w:cs="Arial" w:eastAsia="Arial" w:hAnsi="Arial"/>
                <w:sz w:val="14"/>
                <w:szCs w:val="14"/>
                <w:b w:val="1"/>
                <w:bCs w:val="1"/>
                <w:color w:val="auto"/>
                <w:w w:val="91"/>
              </w:rPr>
              <w:t>Six months ended</w:t>
            </w:r>
          </w:p>
        </w:tc>
      </w:tr>
      <w:tr>
        <w:trPr>
          <w:trHeight w:val="167"/>
        </w:trPr>
        <w:tc>
          <w:tcPr>
            <w:tcW w:w="4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3"/>
          </w:tcPr>
          <w:p>
            <w:pPr>
              <w:jc w:val="center"/>
              <w:ind w:right="1520"/>
              <w:spacing w:after="0"/>
              <w:rPr>
                <w:sz w:val="20"/>
                <w:szCs w:val="20"/>
                <w:color w:val="auto"/>
              </w:rPr>
            </w:pPr>
            <w:r>
              <w:rPr>
                <w:rFonts w:ascii="Arial" w:cs="Arial" w:eastAsia="Arial" w:hAnsi="Arial"/>
                <w:sz w:val="14"/>
                <w:szCs w:val="14"/>
                <w:color w:val="auto"/>
                <w:w w:val="94"/>
              </w:rPr>
              <w:t>March 31, 2010</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Revenue</w:t>
            </w:r>
          </w:p>
        </w:tc>
        <w:tc>
          <w:tcPr>
            <w:tcW w:w="3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1220"/>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1,440</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291" w:lineRule="auto"/>
        <w:rPr>
          <w:sz w:val="20"/>
          <w:szCs w:val="20"/>
          <w:color w:val="auto"/>
        </w:rPr>
      </w:pPr>
      <w:r>
        <w:rPr>
          <w:rFonts w:ascii="Arial" w:cs="Arial" w:eastAsia="Arial" w:hAnsi="Arial"/>
          <w:sz w:val="16"/>
          <w:szCs w:val="16"/>
          <w:color w:val="auto"/>
        </w:rPr>
        <w:t>An aggregate gain of $2,848 and loss of $9,968, net of taxes, was reclassified from other comprehensive income in the three months ended March 31, 2010 and 2009, respectively. An aggregate gain of $4,134, net of taxes, was reclassified from other comprehensive income in the six months ended March 31,</w:t>
      </w:r>
    </w:p>
    <w:p>
      <w:pPr>
        <w:ind w:right="320"/>
        <w:spacing w:after="0" w:line="261" w:lineRule="auto"/>
        <w:rPr>
          <w:sz w:val="20"/>
          <w:szCs w:val="20"/>
          <w:color w:val="auto"/>
        </w:rPr>
      </w:pPr>
      <w:r>
        <w:rPr>
          <w:rFonts w:ascii="Arial" w:cs="Arial" w:eastAsia="Arial" w:hAnsi="Arial"/>
          <w:sz w:val="18"/>
          <w:szCs w:val="18"/>
          <w:color w:val="auto"/>
        </w:rPr>
        <w:t>2010. The ineffective portion of the change in fair value of a cash flow hedge, including the time value portion excluded from effectiveness testing for the three and six months ended March 31, 2010 and for the three months ended March 31, 2009, was not material.</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As of March 31, 2010, amounts related to derivatives designated as cash flow hedges and recorded in accumulated other comprehensive income totaled</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$4,980 which will be reclassified into earnings within the next 12 months and will partially offset the foreign currency impact from the underlying exposures. The amount ultimately realized in earnings will likely differ due to future changes in foreign exchange rates. Losses from cash flow hedges recognized in other comprehensive income during the six months ended March 31, 2010 were $4,469, or $3,822, net of taxes.</w:t>
      </w:r>
    </w:p>
    <w:p>
      <w:pPr>
        <w:spacing w:after="0" w:line="82"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related to the changes in net unrealized gains on cash flow hedges, net of tax,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as of October 1, 2009</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12,936</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 $(647)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(3,822)</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 $(647)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(4,134)</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as of March 31, 2010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These instruments are generally short-term in nature, with typical maturities of less than one year, and are subject to fluctuations in foreign exchange rates.</w:t>
      </w:r>
    </w:p>
    <w:p>
      <w:pPr>
        <w:spacing w:after="0" w:line="140" w:lineRule="exact"/>
        <w:rPr>
          <w:sz w:val="20"/>
          <w:szCs w:val="20"/>
          <w:color w:val="auto"/>
        </w:rPr>
      </w:pPr>
    </w:p>
    <w:p>
      <w:pPr>
        <w:ind w:right="220" w:firstLine="222"/>
        <w:spacing w:after="0" w:line="308" w:lineRule="auto"/>
        <w:rPr>
          <w:sz w:val="20"/>
          <w:szCs w:val="20"/>
          <w:color w:val="auto"/>
        </w:rPr>
      </w:pPr>
      <w:r>
        <w:rPr>
          <w:rFonts w:ascii="Arial" w:cs="Arial" w:eastAsia="Arial" w:hAnsi="Arial"/>
          <w:sz w:val="17"/>
          <w:szCs w:val="17"/>
          <w:color w:val="auto"/>
        </w:rPr>
        <w:t>The effect of the Company’s non-designated as hedging instruments in the consolidated statement of income for the three months ended March 31, 2010 and 2009, respectively, which partially offset the foreign currency impact from the underlying exposures, is summarized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3" w:name="page14"/>
    <w:bookmarkEnd w:id="13"/>
    <w:p>
      <w:pPr>
        <w:jc w:val="center"/>
        <w:ind w:left="8280"/>
        <w:spacing w:after="0"/>
        <w:rPr>
          <w:sz w:val="20"/>
          <w:szCs w:val="20"/>
          <w:color w:val="auto"/>
        </w:rPr>
      </w:pPr>
      <w:r>
        <w:rPr>
          <w:rFonts w:ascii="Arial" w:cs="Arial" w:eastAsia="Arial" w:hAnsi="Arial"/>
          <w:sz w:val="14"/>
          <w:szCs w:val="14"/>
          <w:b w:val="1"/>
          <w:bCs w:val="1"/>
          <w:color w:val="auto"/>
        </w:rPr>
        <w:t>GAINS (LOSSES) RECOGNIZED IN INCOME</w:t>
      </w:r>
    </w:p>
    <w:p>
      <w:pPr>
        <w:jc w:val="center"/>
        <w:ind w:left="824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color w:val="auto"/>
                <w:w w:val="92"/>
              </w:rPr>
              <w:t>March 31, 2010</w:t>
            </w: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March 31, 2009</w:t>
            </w:r>
          </w:p>
        </w:tc>
        <w:tc>
          <w:tcPr>
            <w:tcW w:w="1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ind w:right="179"/>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(523)</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effect of the Company’s non-designated as hedging instruments in the consolidated statement of income for the six months ended March 31, 2010, which partially offset the foreign currency impact from the underlying exposure,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8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rPr>
              <w:t>GAINS (LOSSES) RECOGNIZED IN INCOME</w:t>
            </w:r>
          </w:p>
        </w:tc>
        <w:tc>
          <w:tcPr>
            <w:tcW w:w="0" w:type="dxa"/>
            <w:vAlign w:val="bottom"/>
          </w:tcPr>
          <w:p>
            <w:pPr>
              <w:spacing w:after="0"/>
              <w:rPr>
                <w:sz w:val="1"/>
                <w:szCs w:val="1"/>
                <w:color w:val="auto"/>
              </w:rPr>
            </w:pPr>
          </w:p>
        </w:tc>
      </w:tr>
      <w:tr>
        <w:trPr>
          <w:trHeight w:val="153"/>
        </w:trPr>
        <w:tc>
          <w:tcPr>
            <w:tcW w:w="8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6"/>
          </w:tcPr>
          <w:p>
            <w:pPr>
              <w:jc w:val="center"/>
              <w:ind w:right="162"/>
              <w:spacing w:after="0" w:line="153" w:lineRule="exact"/>
              <w:rPr>
                <w:sz w:val="20"/>
                <w:szCs w:val="20"/>
                <w:color w:val="auto"/>
              </w:rPr>
            </w:pPr>
            <w:r>
              <w:rPr>
                <w:rFonts w:ascii="Arial" w:cs="Arial" w:eastAsia="Arial" w:hAnsi="Arial"/>
                <w:sz w:val="14"/>
                <w:szCs w:val="14"/>
                <w:b w:val="1"/>
                <w:bCs w:val="1"/>
                <w:color w:val="auto"/>
                <w:w w:val="91"/>
              </w:rPr>
              <w:t>Six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right="182"/>
              <w:spacing w:after="0"/>
              <w:rPr>
                <w:sz w:val="20"/>
                <w:szCs w:val="20"/>
                <w:color w:val="auto"/>
              </w:rPr>
            </w:pPr>
            <w:r>
              <w:rPr>
                <w:rFonts w:ascii="Arial" w:cs="Arial" w:eastAsia="Arial" w:hAnsi="Arial"/>
                <w:sz w:val="14"/>
                <w:szCs w:val="14"/>
                <w:color w:val="auto"/>
                <w:w w:val="94"/>
              </w:rPr>
              <w:t>March 31, 2010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20"/>
              <w:spacing w:after="0"/>
              <w:rPr>
                <w:sz w:val="20"/>
                <w:szCs w:val="20"/>
                <w:color w:val="auto"/>
              </w:rPr>
            </w:pPr>
            <w:r>
              <w:rPr>
                <w:rFonts w:ascii="Arial" w:cs="Arial" w:eastAsia="Arial" w:hAnsi="Arial"/>
                <w:sz w:val="18"/>
                <w:szCs w:val="18"/>
                <w:color w:val="auto"/>
              </w:rPr>
              <w:t>Revenue</w:t>
            </w:r>
          </w:p>
        </w:tc>
        <w:tc>
          <w:tcPr>
            <w:tcW w:w="1400" w:type="dxa"/>
            <w:vAlign w:val="bottom"/>
            <w:gridSpan w:val="4"/>
          </w:tcPr>
          <w:p>
            <w:pPr>
              <w:jc w:val="right"/>
              <w:ind w:right="30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02"/>
              <w:spacing w:after="0"/>
              <w:rPr>
                <w:sz w:val="20"/>
                <w:szCs w:val="20"/>
                <w:color w:val="auto"/>
              </w:rPr>
            </w:pPr>
            <w:r>
              <w:rPr>
                <w:rFonts w:ascii="Arial" w:cs="Arial" w:eastAsia="Arial" w:hAnsi="Arial"/>
                <w:sz w:val="18"/>
                <w:szCs w:val="18"/>
                <w:color w:val="auto"/>
                <w:w w:val="98"/>
              </w:rPr>
              <w:t>(1,094)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20"/>
              <w:spacing w:after="0"/>
              <w:rPr>
                <w:sz w:val="20"/>
                <w:szCs w:val="20"/>
                <w:color w:val="auto"/>
              </w:rPr>
            </w:pPr>
            <w:r>
              <w:rPr>
                <w:rFonts w:ascii="Arial" w:cs="Arial" w:eastAsia="Arial" w:hAnsi="Arial"/>
                <w:sz w:val="18"/>
                <w:szCs w:val="18"/>
                <w:color w:val="auto"/>
              </w:rPr>
              <w:t>Interest expense and other, net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(494)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$ 459,494</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443,094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420" w:type="dxa"/>
            <w:vAlign w:val="bottom"/>
            <w:gridSpan w:val="5"/>
          </w:tcPr>
          <w:p>
            <w:pPr>
              <w:jc w:val="right"/>
              <w:ind w:right="20"/>
              <w:spacing w:after="0"/>
              <w:rPr>
                <w:sz w:val="20"/>
                <w:szCs w:val="20"/>
                <w:color w:val="auto"/>
              </w:rPr>
            </w:pPr>
            <w:r>
              <w:rPr>
                <w:rFonts w:ascii="Arial" w:cs="Arial" w:eastAsia="Arial" w:hAnsi="Arial"/>
                <w:sz w:val="18"/>
                <w:szCs w:val="18"/>
                <w:color w:val="auto"/>
              </w:rPr>
              <w:t>38,807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21,749</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5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(13,537)</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$ 484,764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68,550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80,630</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4"/>
              </w:rPr>
              <w:t>$ 156,903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$ 154,877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foreign currency hedging contracts, net of tax</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(9,249)</w:t>
            </w:r>
          </w:p>
        </w:tc>
        <w:tc>
          <w:tcPr>
            <w:tcW w:w="13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(7,956)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1"/>
              </w:rPr>
              <w:t>Unrealized gain (loss) on short-term interest-bearing investments, net of tax</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2,170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1,021</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2,499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2,040</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69,958</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74,442</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$ 151,446</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$ 141,350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2"/>
              </w:rPr>
              <w:t>Three months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0"/>
              </w:rPr>
              <w:t>Six months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3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26,782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Deferred</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12,758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(4,885)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13,620</w:t>
            </w:r>
          </w:p>
        </w:tc>
      </w:tr>
      <w:tr>
        <w:trPr>
          <w:trHeight w:val="27"/>
        </w:trPr>
        <w:tc>
          <w:tcPr>
            <w:tcW w:w="3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11,816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21,897</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18,823</w:t>
            </w:r>
          </w:p>
        </w:tc>
      </w:tr>
      <w:tr>
        <w:trPr>
          <w:trHeight w:val="20"/>
        </w:trPr>
        <w:tc>
          <w:tcPr>
            <w:tcW w:w="3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5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2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Foreign taxes</w:t>
            </w:r>
          </w:p>
        </w:tc>
        <w:tc>
          <w:tcPr>
            <w:tcW w:w="3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15</w:t>
            </w:r>
          </w:p>
        </w:tc>
        <w:tc>
          <w:tcPr>
            <w:tcW w:w="1520" w:type="dxa"/>
            <w:vAlign w:val="bottom"/>
            <w:gridSpan w:val="5"/>
          </w:tcPr>
          <w:p>
            <w:pPr>
              <w:jc w:val="right"/>
              <w:ind w:right="340"/>
              <w:spacing w:after="0"/>
              <w:rPr>
                <w:sz w:val="20"/>
                <w:szCs w:val="20"/>
                <w:color w:val="auto"/>
              </w:rPr>
            </w:pPr>
            <w:r>
              <w:rPr>
                <w:rFonts w:ascii="Arial" w:cs="Arial" w:eastAsia="Arial" w:hAnsi="Arial"/>
                <w:sz w:val="18"/>
                <w:szCs w:val="18"/>
                <w:color w:val="auto"/>
              </w:rPr>
              <w:t>11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w:t>
            </w:r>
          </w:p>
        </w:tc>
        <w:tc>
          <w:tcPr>
            <w:tcW w:w="15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2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ind w:right="500" w:firstLine="215"/>
        <w:spacing w:after="0" w:line="264" w:lineRule="auto"/>
        <w:rPr>
          <w:sz w:val="20"/>
          <w:szCs w:val="20"/>
          <w:color w:val="auto"/>
        </w:rPr>
      </w:pPr>
      <w:r>
        <w:rPr>
          <w:rFonts w:ascii="Arial" w:cs="Arial" w:eastAsia="Arial" w:hAnsi="Arial"/>
          <w:sz w:val="18"/>
          <w:szCs w:val="18"/>
          <w:color w:val="auto"/>
        </w:rPr>
        <w:t>As of March 31, 2010, deferred tax assets of $84,789,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$116,469 as of March 31, 2010,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March 31, 2010, the Company has accrued $15,686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1"/>
              </w:rPr>
              <w:t>2009 (1)</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2009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Numerator for basic earnings per 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68,550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80,630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156,903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154,877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6000" w:type="dxa"/>
            <w:vAlign w:val="bottom"/>
          </w:tcPr>
          <w:p>
            <w:pPr>
              <w:ind w:left="220"/>
              <w:spacing w:after="0"/>
              <w:rPr>
                <w:sz w:val="20"/>
                <w:szCs w:val="20"/>
                <w:color w:val="auto"/>
              </w:rPr>
            </w:pPr>
            <w:r>
              <w:rPr>
                <w:rFonts w:ascii="Arial" w:cs="Arial" w:eastAsia="Arial" w:hAnsi="Arial"/>
                <w:sz w:val="18"/>
                <w:szCs w:val="18"/>
                <w:color w:val="auto"/>
              </w:rPr>
              <w:t>Numerator for diluted earnings per share</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81,252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156,903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156,363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220"/>
              <w:spacing w:after="0" w:line="201" w:lineRule="exact"/>
              <w:rPr>
                <w:sz w:val="20"/>
                <w:szCs w:val="20"/>
                <w:color w:val="auto"/>
              </w:rPr>
            </w:pPr>
            <w:r>
              <w:rPr>
                <w:rFonts w:ascii="Arial" w:cs="Arial" w:eastAsia="Arial" w:hAnsi="Arial"/>
                <w:sz w:val="18"/>
                <w:szCs w:val="18"/>
                <w:color w:val="auto"/>
                <w:w w:val="98"/>
              </w:rPr>
              <w:t>Denominator for basic earnings per share — weighted average number of</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206,025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203,827</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205,724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203,701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23"/>
        </w:trPr>
        <w:tc>
          <w:tcPr>
            <w:tcW w:w="600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1,642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Denominator for diluted earnings per share — adjusted weighted average</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and assumed conversions</w:t>
            </w:r>
          </w:p>
        </w:tc>
        <w:tc>
          <w:tcPr>
            <w:tcW w:w="4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207,691</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210,645</w:t>
            </w: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207,174</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211,857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basic and diluted weighted average number of shares outstanding for the three and six months ended March 31, 2009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had no impact on basic and diluted earnings per share for the three and six months ended March 31, 2009. See note 3 to the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20" w:firstLine="225"/>
        <w:spacing w:after="0" w:line="286" w:lineRule="auto"/>
        <w:rPr>
          <w:sz w:val="20"/>
          <w:szCs w:val="20"/>
          <w:color w:val="auto"/>
        </w:rPr>
      </w:pPr>
      <w:r>
        <w:rPr>
          <w:rFonts w:ascii="Arial" w:cs="Arial" w:eastAsia="Arial" w:hAnsi="Arial"/>
          <w:sz w:val="17"/>
          <w:szCs w:val="17"/>
          <w:color w:val="auto"/>
        </w:rPr>
        <w:t>For the three and six months ended March 31, 2010, 16,304 and 16,629 shares, respectively, were attributable to antidilutive outstanding stock options. For the three and six months ended March 31, 2009, 22,466 and 22,207 shares, respectively, were attributable to antidilutive outstanding stock options. Shares attributable to antidilutive outstanding stock options were not included in the calculation of diluted earnings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November 2007, the Company entered into an unsecured $500,000 five-year revolving credit facility with a syndicate of banks, which is available for general corporate purposes, including acquisitions and repurchases of the Company’s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March 31, 2010, the Company was in compliance with financial covenants under the revolving credit facility and had no outstanding borrowings under this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1" w:lineRule="exact"/>
        <w:rPr>
          <w:sz w:val="20"/>
          <w:szCs w:val="20"/>
          <w:color w:val="auto"/>
        </w:rPr>
      </w:pPr>
    </w:p>
    <w:p>
      <w:pPr>
        <w:ind w:right="32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27.65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35.01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six-month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firstLine="215"/>
        <w:spacing w:after="0" w:line="264" w:lineRule="auto"/>
        <w:rPr>
          <w:sz w:val="20"/>
          <w:szCs w:val="20"/>
          <w:color w:val="auto"/>
        </w:rPr>
      </w:pPr>
      <w:r>
        <w:rPr>
          <w:rFonts w:ascii="Arial" w:cs="Arial" w:eastAsia="Arial" w:hAnsi="Arial"/>
          <w:sz w:val="18"/>
          <w:szCs w:val="18"/>
          <w:color w:val="auto"/>
        </w:rPr>
        <w:t>As of March 31, 2010, there was $56,808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2010 and 2009 was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March 31,</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10,661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4,590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11,234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10,718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10,517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21,571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23,934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March 31, 2010 and 2009 was $268 and $1,467, respectively, and for the six months ended March 31, 2010 and 2009 was $1,451 and $3,050, respectively.</w:t>
      </w:r>
    </w:p>
    <w:p>
      <w:pPr>
        <w:spacing w:after="0" w:line="16"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3"/>
          </w:tcPr>
          <w:p>
            <w:pPr>
              <w:jc w:val="center"/>
              <w:ind w:right="719"/>
              <w:spacing w:after="0"/>
              <w:rPr>
                <w:sz w:val="20"/>
                <w:szCs w:val="20"/>
                <w:color w:val="auto"/>
              </w:rPr>
            </w:pPr>
            <w:r>
              <w:rPr>
                <w:rFonts w:ascii="Arial" w:cs="Arial" w:eastAsia="Arial" w:hAnsi="Arial"/>
                <w:sz w:val="14"/>
                <w:szCs w:val="14"/>
                <w:b w:val="1"/>
                <w:bCs w:val="1"/>
                <w:color w:val="auto"/>
                <w:w w:val="92"/>
              </w:rPr>
              <w:t>Three months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center"/>
              <w:ind w:right="779"/>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879"/>
              <w:spacing w:after="0" w:line="149" w:lineRule="exact"/>
              <w:rPr>
                <w:sz w:val="20"/>
                <w:szCs w:val="20"/>
                <w:color w:val="auto"/>
              </w:rPr>
            </w:pPr>
            <w:r>
              <w:rPr>
                <w:rFonts w:ascii="Arial" w:cs="Arial" w:eastAsia="Arial" w:hAnsi="Arial"/>
                <w:sz w:val="14"/>
                <w:szCs w:val="14"/>
                <w:b w:val="1"/>
                <w:bCs w:val="1"/>
                <w:color w:val="auto"/>
                <w:w w:val="92"/>
              </w:rPr>
              <w:t>ended</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899"/>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5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719"/>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779"/>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960" w:type="dxa"/>
            <w:vAlign w:val="bottom"/>
          </w:tcPr>
          <w:p>
            <w:pPr>
              <w:spacing w:after="0"/>
              <w:rPr>
                <w:sz w:val="12"/>
                <w:szCs w:val="12"/>
                <w:color w:val="auto"/>
              </w:rPr>
            </w:pPr>
          </w:p>
        </w:tc>
        <w:tc>
          <w:tcPr>
            <w:tcW w:w="8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6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2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1.93%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4.41</w:t>
            </w:r>
          </w:p>
        </w:tc>
        <w:tc>
          <w:tcPr>
            <w:tcW w:w="1660" w:type="dxa"/>
            <w:vAlign w:val="bottom"/>
            <w:gridSpan w:val="3"/>
          </w:tcPr>
          <w:p>
            <w:pPr>
              <w:jc w:val="right"/>
              <w:ind w:right="239"/>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ind w:right="119"/>
              <w:spacing w:after="0"/>
              <w:rPr>
                <w:sz w:val="20"/>
                <w:szCs w:val="20"/>
                <w:color w:val="auto"/>
              </w:rPr>
            </w:pPr>
            <w:r>
              <w:rPr>
                <w:rFonts w:ascii="Arial" w:cs="Arial" w:eastAsia="Arial" w:hAnsi="Arial"/>
                <w:sz w:val="18"/>
                <w:szCs w:val="18"/>
                <w:color w:val="auto"/>
              </w:rPr>
              <w:t>4.31</w:t>
            </w:r>
          </w:p>
        </w:tc>
        <w:tc>
          <w:tcPr>
            <w:tcW w:w="1620" w:type="dxa"/>
            <w:vAlign w:val="bottom"/>
            <w:gridSpan w:val="3"/>
          </w:tcPr>
          <w:p>
            <w:pPr>
              <w:jc w:val="right"/>
              <w:ind w:right="239"/>
              <w:spacing w:after="0"/>
              <w:rPr>
                <w:sz w:val="20"/>
                <w:szCs w:val="20"/>
                <w:color w:val="auto"/>
              </w:rPr>
            </w:pPr>
            <w:r>
              <w:rPr>
                <w:rFonts w:ascii="Arial" w:cs="Arial" w:eastAsia="Arial" w:hAnsi="Arial"/>
                <w:sz w:val="18"/>
                <w:szCs w:val="18"/>
                <w:color w:val="auto"/>
              </w:rPr>
              <w:t>4.47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0.30</w:t>
            </w:r>
          </w:p>
        </w:tc>
        <w:tc>
          <w:tcPr>
            <w:tcW w:w="166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0.46</w:t>
            </w: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0.32</w:t>
            </w:r>
          </w:p>
        </w:tc>
        <w:tc>
          <w:tcPr>
            <w:tcW w:w="162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0.49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None</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$7.76</w:t>
            </w:r>
          </w:p>
        </w:tc>
        <w:tc>
          <w:tcPr>
            <w:tcW w:w="166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$6.57</w:t>
            </w: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$7.62</w:t>
            </w:r>
          </w:p>
        </w:tc>
        <w:tc>
          <w:tcPr>
            <w:tcW w:w="162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charges have been required and, as a result, the Company did not accrue any amounts for product warranty liability during the six months ended March 31, 2010 and 2009.</w:t>
      </w:r>
    </w:p>
    <w:p>
      <w:pPr>
        <w:spacing w:after="0" w:line="57"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in its consolidated financial statements only minimal costs as a result of such obligations.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April 2010, the Company announced that its board of directors authorized a share repurchase plan allowing the repurchase of up to $700,000 of its outstanding ordinary shares over the following 12 months. The authorization permits the Company to purchase its ordinary shares in open market or privately negotiated transactions at times and prices that it considers appropriate. In the third quarter of fiscal 2010 (through May 12, 2010), the Company repurchased approximately 2,112 ordinary shares at an average price of $31.24 per share (excluding broker and transaction fees).</w:t>
      </w:r>
    </w:p>
    <w:p>
      <w:pPr>
        <w:spacing w:after="0" w:line="6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April 2010, the Company divested an 81 percent majority stake in Longshine, its Chinese subsidiary previously purchased in 2005, to a newly formed and locally-managed entity, Longshine Technology Holding, Ltd. for approximately $26,730 in cash at closing. The Company believes the divestiture will enable it to better focus its efforts on service provider opportunities in China with the Company’s CES 8 portfolio. The Company retains a minority interest in Longshine. In connection with the divestiture, as of March 31, 2010, the Company recorded an impairment charge of $21,800 to reflect the fair value of this subsidiary less costs to sell. The charge has been reflected in interest expense and other, net in the three and six months ended March 31, 2010.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2009 that we filed on December 7, 2009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 1 and Tier 2 service providers in developed markets, we have also focused in the last several years on Tier 3 and Tier 4 providers in developed markets, and on providers in emerging markets throughout the world.</w:t>
      </w:r>
    </w:p>
    <w:p>
      <w:pPr>
        <w:spacing w:after="0" w:line="7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develop, implement and manage software and services associated with business support systems, or BSS, operational support systems, or OSS, and service delivery platforms that enable service providers to personalize customer interactions, process orders more efficiently, optimize network capacity, support new business models and manage the evolution of service providers’ networks. We refer to these systems collectively as customer experience systems because of the impact they have on the service providers’ end-user experience.</w:t>
      </w:r>
    </w:p>
    <w:p>
      <w:pPr>
        <w:spacing w:after="0" w:line="79"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In March 2010, we expanded our capabilities in the mobile payments domain through the acquisition of MX Telecom, a leading mobile payments and messaging aggregator with operations in Europe, the United States, and Australia.</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believe the demand for our customer experience systems is driven by the need of service providers to anticipate and respond to consumer demands. In a global communications industry impacted by the move toward convergence of services and devices and increasing network capacity, consumers expect immediate and constant connectivity to personalized services, information and applications. We refer to these developments as the evolution to the “Connected World.”</w:t>
      </w:r>
    </w:p>
    <w:p>
      <w:pPr>
        <w:spacing w:after="0" w:line="79" w:lineRule="exact"/>
        <w:rPr>
          <w:sz w:val="20"/>
          <w:szCs w:val="20"/>
          <w:color w:val="auto"/>
        </w:rPr>
      </w:pPr>
    </w:p>
    <w:p>
      <w:pPr>
        <w:ind w:right="120" w:firstLine="225"/>
        <w:spacing w:after="0" w:line="289" w:lineRule="auto"/>
        <w:rPr>
          <w:sz w:val="20"/>
          <w:szCs w:val="20"/>
          <w:color w:val="auto"/>
        </w:rPr>
      </w:pPr>
      <w:r>
        <w:rPr>
          <w:rFonts w:ascii="Arial" w:cs="Arial" w:eastAsia="Arial" w:hAnsi="Arial"/>
          <w:sz w:val="16"/>
          <w:szCs w:val="16"/>
          <w:color w:val="auto"/>
        </w:rPr>
        <w:t>In established markets, service providers are transforming their businesses as they attempt to derive revenue and profit from IP-based content services, while confronting increased competition from non-traditional competitors, including major Internet companies and handset manufacturers.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in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cost-effective, scalable software products and services that provide functionality and flexibility to service providers as they — and their markets — grow and change.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right="240" w:firstLine="222"/>
        <w:spacing w:after="0" w:line="277" w:lineRule="auto"/>
        <w:rPr>
          <w:sz w:val="20"/>
          <w:szCs w:val="20"/>
          <w:color w:val="auto"/>
        </w:rPr>
      </w:pPr>
      <w:r>
        <w:rPr>
          <w:rFonts w:ascii="Arial" w:cs="Arial" w:eastAsia="Arial" w:hAnsi="Arial"/>
          <w:sz w:val="18"/>
          <w:szCs w:val="18"/>
          <w:color w:val="auto"/>
        </w:rPr>
        <w:t>We also offer a full range of directory systems and related services for publishers of both traditional printed Yellow Page and white page directories and electronic Internet directories, which we refer to as directory systems.</w:t>
      </w:r>
    </w:p>
    <w:p>
      <w:pPr>
        <w:spacing w:after="0" w:line="62" w:lineRule="exact"/>
        <w:rPr>
          <w:sz w:val="20"/>
          <w:szCs w:val="20"/>
          <w:color w:val="auto"/>
        </w:rPr>
      </w:pPr>
    </w:p>
    <w:p>
      <w:pPr>
        <w:ind w:right="100" w:firstLine="215"/>
        <w:spacing w:after="0" w:line="272" w:lineRule="auto"/>
        <w:rPr>
          <w:sz w:val="20"/>
          <w:szCs w:val="20"/>
          <w:color w:val="auto"/>
        </w:rPr>
      </w:pPr>
      <w:r>
        <w:rPr>
          <w:rFonts w:ascii="Arial" w:cs="Arial" w:eastAsia="Arial" w:hAnsi="Arial"/>
          <w:sz w:val="17"/>
          <w:szCs w:val="17"/>
          <w:color w:val="auto"/>
        </w:rPr>
        <w:t>As we emerge from the recent economic crisis, we are confident in our strong competitive position. We have improved our operating efficiencies and cost competitiveness, yet we have continued investing in innovation, exemplified by the launch of our latest major release of our comprehensive portfolio, Amdocs CES 8, in January 2010. Amdocs CES 8 was developed to enable our customers to run leaner operations while, at the same time, prepare for the changes and opportunities that the Connected World offers, such as enabling their unique network, product and customer assets to expand into new business models. Additionally, in Amdocs CES 8 we have focused on reducing the costs associated with installation, implementation and maintenance of our systems which we believe will serve to further differentiate us in the market. Given our market position and the improved demand outlook, we believe that Amdocs will continue down the path of resumed growth throughout fiscal 2010.</w:t>
      </w:r>
    </w:p>
    <w:p>
      <w:pPr>
        <w:spacing w:after="0" w:line="70"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six months ended March 31, 2010, customers in North America accounted for 76.2% of our revenue, while customers in Europe and the rest of the world accounted for 12.4% and 11.4%, respectively. We maintain development facilities in Cyprus, India, Ireland, Israel and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jc w:val="both"/>
        <w:ind w:right="300" w:firstLine="215"/>
        <w:spacing w:after="0" w:line="312" w:lineRule="auto"/>
        <w:rPr>
          <w:sz w:val="20"/>
          <w:szCs w:val="20"/>
          <w:color w:val="auto"/>
        </w:rPr>
      </w:pPr>
      <w:r>
        <w:rPr>
          <w:rFonts w:ascii="Arial" w:cs="Arial" w:eastAsia="Arial" w:hAnsi="Arial"/>
          <w:sz w:val="16"/>
          <w:szCs w:val="16"/>
          <w:color w:val="auto"/>
        </w:rPr>
        <w:t>A significant portion of our revenue is recognized over the course of long-term projects under the percentage of completion method of accounting. The percentage of completion method requires the exercise of judgment, such as with respect to estimations of progress-to-completion, contract revenue, loss contracts and contract costs. Progress in completing such projects may significantly affect our annual and quarterly operating results.</w:t>
      </w:r>
    </w:p>
    <w:p>
      <w:pPr>
        <w:spacing w:after="0" w:line="3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Revenue from managed services arrangements is included in both license and service revenue and includes IT and infrastructure management, application management and ongoing support, systems modernization and consolidation, business process operations support and end-to-end transformational business process outsourcing. Revenue generated in connection with managed services arrangements is a significant part of our business, accounting for approximately 45% and 40% of our total revenue in the six months ended March 31, 2010 and 2009,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June 2009, the Financial Accounting Standards Board, or FASB, issued authoritative guidance on the consolidation of variable interest entities, which is effective for us beginning October 1, 2010. The new guidance requires revised evaluations of whether entities represent variable interest entities, ongoing assessments of control over such entities, and additional disclosures for variable interests. Based on our current operations we believe that the adoption of this new guidance will not have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January 2010,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us beginning January 1, 2010, except for the disclosure on the roll forward activities for Level 3 fair value measurements, which will become effective for us beginning October 1, 2011. The adoption of this new guidance did not have a material impact on our financial statements.</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We elected to early adopt the pronouncements at the beginning of our first quarter of fiscal 2010 on a prospective basis for applicable transactions originating or materially modified after October 1, 2009. If VSOE of fair value or third-party evidence of selling price is unavailable,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made through consultation with and approval by our management. This guidance does not generally change the units of accounting in our revenue arrangements or the methodology by which transaction consideration is allocated to the various units of accounting due to the fact that for the majority of our existing multiple deliverables arrangements, we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our results of operations or financial position for that fiscal year. In addition, the adoption of the new guidance did not have a material impact on our results of operations or financial position in the three and six months ended March 31, 2010.</w:t>
      </w:r>
    </w:p>
    <w:p>
      <w:pPr>
        <w:spacing w:after="0" w:line="6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Effective October 1, 2009, we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had no impact on basic and diluted EPS for the three and six months ended March 31, 2009.</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Effective October 1, 2009, we adopted the fair value measurements guidance for non-financial assets and non-financial liabilities, except those that are recognized or disclosed in the financial statements at fair value on a recurring basis (at least annually). The adoption of this accounting guidance did not have a material impact on our results of operations or financial position.</w:t>
      </w:r>
    </w:p>
    <w:p>
      <w:pPr>
        <w:spacing w:after="0" w:line="73"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Effective October 1, 2009, we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 w:name="page22"/>
    <w:bookmarkEnd w:id="21"/>
    <w:p>
      <w:pPr>
        <w:ind w:right="320"/>
        <w:spacing w:after="0" w:line="264" w:lineRule="auto"/>
        <w:rPr>
          <w:sz w:val="20"/>
          <w:szCs w:val="20"/>
          <w:color w:val="auto"/>
        </w:rPr>
      </w:pPr>
      <w:r>
        <w:rPr>
          <w:rFonts w:ascii="Arial" w:cs="Arial" w:eastAsia="Arial" w:hAnsi="Arial"/>
          <w:sz w:val="18"/>
          <w:szCs w:val="18"/>
          <w:color w:val="auto"/>
        </w:rPr>
        <w:t>and liabilities assumed in a business combination that arise from contingencies. The impact of this accounting guidance on our results of operations or financial position will vary depending on each specific business combination. This guidance did not have a material impact on our results of operations or financial position in the three and six months ended March 31, 2010.</w:t>
      </w:r>
    </w:p>
    <w:p>
      <w:pPr>
        <w:spacing w:after="0" w:line="73" w:lineRule="exact"/>
        <w:rPr>
          <w:sz w:val="20"/>
          <w:szCs w:val="20"/>
          <w:color w:val="auto"/>
        </w:rPr>
      </w:pPr>
    </w:p>
    <w:p>
      <w:pPr>
        <w:ind w:right="320" w:firstLine="225"/>
        <w:spacing w:after="0" w:line="302" w:lineRule="auto"/>
        <w:rPr>
          <w:sz w:val="20"/>
          <w:szCs w:val="20"/>
          <w:color w:val="auto"/>
        </w:rPr>
      </w:pPr>
      <w:r>
        <w:rPr>
          <w:rFonts w:ascii="Arial" w:cs="Arial" w:eastAsia="Arial" w:hAnsi="Arial"/>
          <w:sz w:val="16"/>
          <w:szCs w:val="16"/>
          <w:color w:val="auto"/>
        </w:rPr>
        <w:t>Effective October 1, 2009, we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accounting guidance had no impact on our consolidated results of operations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2010 and 2009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2"/>
              </w:rPr>
              <w:t>Three months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ended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License</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1720" w:type="dxa"/>
            <w:vAlign w:val="bottom"/>
            <w:gridSpan w:val="5"/>
          </w:tcPr>
          <w:p>
            <w:pPr>
              <w:jc w:val="right"/>
              <w:ind w:right="180"/>
              <w:spacing w:after="0"/>
              <w:rPr>
                <w:sz w:val="20"/>
                <w:szCs w:val="20"/>
                <w:color w:val="auto"/>
              </w:rPr>
            </w:pPr>
            <w:r>
              <w:rPr>
                <w:rFonts w:ascii="Arial" w:cs="Arial" w:eastAsia="Arial" w:hAnsi="Arial"/>
                <w:sz w:val="18"/>
                <w:szCs w:val="18"/>
                <w:color w:val="auto"/>
              </w:rPr>
              <w:t>5.2%</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3.4%</w:t>
            </w:r>
          </w:p>
        </w:tc>
        <w:tc>
          <w:tcPr>
            <w:tcW w:w="1680" w:type="dxa"/>
            <w:vAlign w:val="bottom"/>
            <w:gridSpan w:val="5"/>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94.8</w:t>
            </w: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96.6</w:t>
            </w:r>
          </w:p>
        </w:tc>
        <w:tc>
          <w:tcPr>
            <w:tcW w:w="16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4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0.1</w:t>
            </w: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0.1</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0.1</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64.1</w:t>
            </w: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16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6.9</w:t>
            </w: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7.4</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6.9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2.8</w:t>
            </w: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3.0</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2.9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Restructuring charges and in-process research and development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3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6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88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96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88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96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7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16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22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Six Months Ended March 31, 2010 and 2009</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six months ended March 31, 2010 compared to the six months ended March 31, 2009.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12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License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81,804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(31,705)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1,418,681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1,383,119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35,562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6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(373)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940,048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101,296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108,979</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(7,683)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9,035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41,755</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1,003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(20,780)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1,266,504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(21,191)</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177,228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25,048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expense and other,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23,476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19,948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173,700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21,897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18,823</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3,074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$3.9 million, or 0.3%, to $1,468.8 million in the six months ended March 31, 2010, from $1,464.9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2009. In the six months ended March 31, 2010, we continued to experience increased demand; however, the slower pace of new project signings and fewer transformation projects that we experienced throughout 2009 impacted our revenue in the six months ended March 31, 2010, and resulted in a relatively small increase in revenue compared to the six months ended March 31, 2009. The increase in revenue was primarily attributable to revenue from managed services customers, revenue from cable and satellite service providers and to foreign exchange impacts. The increase was partially offset by decreases in revenue related to projects.</w:t>
      </w:r>
    </w:p>
    <w:p>
      <w:pPr>
        <w:spacing w:after="0" w:line="85"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License revenue in the six months ended March 31, 2010 decreased by $31.7 million, or 38.8%, to $50.1 million, from $81.8 million in the six months ended March 31, 2009. License revenue declined primarily due to the completion of some projects and the impact of fewer project signings in 2009.</w:t>
      </w:r>
    </w:p>
    <w:p>
      <w:pPr>
        <w:spacing w:after="0" w:line="16" w:lineRule="exact"/>
        <w:rPr>
          <w:sz w:val="20"/>
          <w:szCs w:val="20"/>
          <w:color w:val="auto"/>
        </w:rPr>
      </w:pPr>
    </w:p>
    <w:p>
      <w:pPr>
        <w:ind w:right="440" w:firstLine="225"/>
        <w:spacing w:after="0" w:line="312" w:lineRule="auto"/>
        <w:rPr>
          <w:sz w:val="20"/>
          <w:szCs w:val="20"/>
          <w:color w:val="auto"/>
        </w:rPr>
      </w:pPr>
      <w:r>
        <w:rPr>
          <w:rFonts w:ascii="Arial" w:cs="Arial" w:eastAsia="Arial" w:hAnsi="Arial"/>
          <w:sz w:val="16"/>
          <w:szCs w:val="16"/>
          <w:color w:val="auto"/>
        </w:rPr>
        <w:t>License and service revenue attributable to the sale of customer experience systems decreased by $1.6 million, or 0.1%, to $1,367.4 million in the six months ended March 31, 2010, from $1,369.0 million, in the six months ended March 31, 2009. License and service revenue resulting from the sale of customer experience systems represented 93.1% and 93.4% of our total revenue in the six months ended March 31, 2010 and 2009, respectively.</w:t>
      </w:r>
    </w:p>
    <w:p>
      <w:pPr>
        <w:spacing w:after="0" w:line="3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increased by $5.4 million, or 5.7%, to $101.4 million in the six months ended March 31, 2010, from $96.0 million in the six months ended March 31, 2009. The increase was primarily attributable to an increase in revenue from existing customers. License and service revenue from the sale of directory systems represented 6.9% and 6.6% of our total revenue in the six months ended March 31, 2010 and 2009, respectively.</w:t>
      </w:r>
    </w:p>
    <w:p>
      <w:pPr>
        <w:spacing w:after="0" w:line="79"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color w:val="auto"/>
        </w:rPr>
        <w:t>In the six months ended March 31, 2010, revenue from customers in North America, Europe and the rest of the world accounted for 76.2%, 12.4% and 11.4%, respectively, of total revenue compared to 75.2%, 14.8% and 10.0%, respectively, in the six months ended March 31, 2009. The increase in revenue from customers in North America was primarily attributable to an increase in revenue from managed services customers, revenue from cable and satellite service providers and foreign exchange impacts, partially offset by decrease in projects related revenue. The decrease in revenue from customers in Europe was primarily attributable to a decline in projects related revenue. Revenue from customers in the rest of the world increased primarily due to revenue from managed services customers and revenue contributed by customers in emerging markets.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right="40" w:firstLine="225"/>
        <w:spacing w:after="0" w:line="254"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decrease in cost of license and service in the six months ended March 31, 2010 was $2.8 million, or 0.3%. As a percentage of revenue, cost of license and service was 63.9% in the six months ended March 31, 2010, compared to 64.3% in the six months ended March 31, 2009. The decrease in our cost of service, in the six months ended March 31, 2010 was primarily attributable to our continued efforts to improve efficiencies including expansion into lower cost jurisdictions, partially offset by foreign exchange impacts . Our cost of service as a percentage of revenue, in the six months ended March 31, 2010 was positively impacted by higher margins from existing managed services arrangements. Margins from existing managed services tend to improve over time as we create cost efficiencies and improve business processes.</w:t>
      </w:r>
    </w:p>
    <w:p>
      <w:pPr>
        <w:spacing w:after="0" w:line="8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$7.7 million, or 7.0%, to $101.3 million in the six months ended March 31, 2010, from $109.0 million in the six months ended March 31, 2009. Research and development expense decreased as a percentage of revenue from 7.4% in the six months ended March 31, 2009 to 6.9% in the six months ended March 31, 2010. The decrease was primarily a result of changes in the geographical mix of our research and development resources as well as foreign exchange impacts.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by $9.0 million, or 5.2%, to $183.6 million in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2010, from $174.6 million in the six months ended March 31, 2009. Selling, general and administrative expense is primarily comprised of compensation expense. The increase in selling, general and administrative expense was primarily attributable to an increase in selling and marketing efforts in the six months ended March 31, 2010.</w:t>
      </w:r>
    </w:p>
    <w:p>
      <w:pPr>
        <w:spacing w:after="0" w:line="75" w:lineRule="exact"/>
        <w:rPr>
          <w:sz w:val="20"/>
          <w:szCs w:val="20"/>
          <w:color w:val="auto"/>
        </w:rPr>
      </w:pPr>
    </w:p>
    <w:p>
      <w:pPr>
        <w:ind w:right="260" w:firstLine="225"/>
        <w:spacing w:after="0" w:line="258" w:lineRule="auto"/>
        <w:rPr>
          <w:sz w:val="20"/>
          <w:szCs w:val="20"/>
          <w:color w:val="auto"/>
        </w:rPr>
      </w:pPr>
      <w:r>
        <w:rPr>
          <w:rFonts w:ascii="Arial" w:cs="Arial" w:eastAsia="Arial" w:hAnsi="Arial"/>
          <w:sz w:val="18"/>
          <w:szCs w:val="18"/>
          <w:b w:val="1"/>
          <w:bCs w:val="1"/>
          <w:i w:val="1"/>
          <w:iCs w:val="1"/>
          <w:color w:val="auto"/>
        </w:rPr>
        <w:t>Restructuring Charges and In-Process 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charges and in-process research and development in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2009 consisted of a $15.1 million restructuring charge related primarily to our restructuring plan in the first quarter of fiscal 2009 and a $5.7 million charge for the write-off of purchased in-process research and development related to a small acquisition during the first quarter of fiscal 2009. Effective October 1, 2009, we adopted the revised accounting guidance for business combinations and as a result will capitalize in-process research and development in future acquisitions.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$25.0 million, or 14.1%, to $202.3 million in the six months ended March 31, 2010, from</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$177.2 million in the six months ended March 31, 2009. The increase in operating income was primarily attributable to the effect of the restructuring charges and in-process research and development charges in the six months ended March 31, 2009.</w:t>
      </w:r>
    </w:p>
    <w:p>
      <w:pPr>
        <w:spacing w:after="0" w:line="76"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and Other, Net. </w:t>
      </w:r>
      <w:r>
        <w:rPr>
          <w:rFonts w:ascii="Arial" w:cs="Arial" w:eastAsia="Arial" w:hAnsi="Arial"/>
          <w:sz w:val="16"/>
          <w:szCs w:val="16"/>
          <w:color w:val="auto"/>
        </w:rPr>
        <w:t>Interest expense and other, net increased by $19.9 million to $23.5 million in the six months ended March 31,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$3.5 million in the six months ended March 31, 2009. The increase in interest expense and other, net, was primarily attributable to impairment on investment in a Chinese subsidiary in which a majority interest was subsequently sold in April 2010. We retain a minority interest in this Chinese company.</w:t>
      </w:r>
    </w:p>
    <w:p>
      <w:pPr>
        <w:spacing w:after="0" w:line="3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2010 were $21.9 million on pretax income of $178.8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12.2%, compared to 10.8% in the six months ended March 31, 2009. Our effective tax rate may fluctuate between quarters as a result of discrete items that may affect a specific quarter.</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$156.9 million in the six months ended March 31, 2010, compared to $154.9 million in the six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The increase in net income was attributable mainly to the increase in operating income, partially offset by increase in interest expense and other, net and income taxes.</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$0.02, or 2.7%, to $0.76 in the six months ended March 31, 2010, from $0.74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31, 2009. The increase in diluted earnings per share resulted from the decrease in diluted weighted average numbers of shares outstanding. Please see Note 10 to our unaudited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Three Months Ended March 31, 2010 and 2009</w:t>
      </w:r>
    </w:p>
    <w:p>
      <w:pPr>
        <w:spacing w:after="0" w:line="121"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March 31, 2010 compared to the three months ended March 31, 2009. Following the table is a discussion and analysis of our business and results of operations for such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25,949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37,203</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 (11,254)</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718,020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673,881</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44,139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743,969</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711,084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569</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475,440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455,997</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19,443</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51,190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52,750</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(1,560)</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84,308</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7,720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21,439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21,501</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640,842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615,125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103,127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95,959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7,168</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16,998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295.0</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90,196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(12,080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$32.9 million, or 4.6%, to $744.0 million in the three months ended March 31, 2010, from $711.1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2009. In the three months ended March 31, 2010, we continued to experience increased demand. The increase in revenue was primarily attributable to revenue from managed services customers, revenue from cable and satellite service providers and to foreign exchange impacts. The increase was partially offset by decreases in revenue attributable to completion of projects and a slower pace of new project signings and fewer transformation deals we experienced throughout 2009.</w:t>
      </w:r>
    </w:p>
    <w:p>
      <w:pPr>
        <w:spacing w:after="0" w:line="80"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License revenue decreased by $11.3 million, or 30.3%, to $25.9 million in the three months ended March 31, 2010, from $37.2 million in the three months ended March 31, 2009. License revenue declined primarily due to the completion of some projects and the impact of fewer project signings in 2009.</w:t>
      </w:r>
    </w:p>
    <w:p>
      <w:pPr>
        <w:spacing w:after="0" w:line="16"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License and service revenue attributable to the sale of customer experience systems was $689.0 million in the three months ended March 31, 2010, an increase of $21.0 million, or 3.1%, over the three months ended March 31, 2009. License and service revenue resulted from the sale of customer experience systems represented 92.6% and 93.9% of our total revenue in the three months ended March 31, 2010 and 2009, respectively.</w:t>
      </w:r>
    </w:p>
    <w:p>
      <w:pPr>
        <w:spacing w:after="0" w:line="57"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was $55.0 million in the three months ended March 31, 2010, an increase of $11.9 million, or 27.6%, as compared to the three months ended March 31, 2009. The increase was primarily attributable to an increase in revenue from existing customers. License and service revenue from the sale of directory systems represented 7.4% and 6.1% of our total revenue in the three months ended March 31, 2010 and 2009, respectively.</w:t>
      </w:r>
    </w:p>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the three months ended March 31, 2010, revenue from customers in North America, Europe and the rest of the world accounted for 76.9%, 12.4% and 10.7%, respectively, of total revenue compared to 75.9%, 14.8% and 9.3%, respectively, in the three months ended March 31, 2009. The increase in revenue from customers in North America was primarily attributable to an increase in revenue from managed services customers and cable and satellite service providers, partially offset by decrease in revenue related to projects. The decrease in revenue from customers in Europe was primarily attributable to a decline in revenue related to projects. Revenue from customers in the rest of the world increased primarily due to revenue from managed services customers and revenue contributed by customers in emerging markets.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40" w:firstLine="225"/>
        <w:spacing w:after="0" w:line="255"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three months ended March 31, 2010 was $19.6 million, or 4.3%. As a percentage of revenue, cost of license and service was 64.0% in the three months ended March 31, 2010, compared to 64.2% in the three months ended March 31, 2009. The increase in our cost of service was primarily attributable to increase in our headcount and foreign exchange impacts. Our cost of service, as a percentage of revenue, in the three months ended March 31, 2010 was positively impacted by higher margins from existing managed services arrangements. Margins from managed services tend to improve over time as we create cost efficiencies and improve business processes.</w:t>
      </w:r>
    </w:p>
    <w:p>
      <w:pPr>
        <w:spacing w:after="0" w:line="8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by $1.6 million, or 3.0%, in the three months ended March 31, 2010 to $51.2 million from $52.8 million in the three months ended March 31, 2009. Research and development expense decreased as a percentage of revenue from 7.4% in the three months ended March 31, 2009 to 6.9% in the three months ended March 31, 2010. The decrease in research and development expense as a percentage of revenue was primarily a result of changes in the geographical mix of our research and development resources as well as foreign exchange impacts.</w:t>
      </w:r>
    </w:p>
    <w:p>
      <w:pPr>
        <w:spacing w:after="0" w:line="6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$7.7 million, or 9.2%, to $92.0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2010, from $84.3 million in the three months ended March 31, 2009. Selling, general and administrative expense is primarily comprised of compensation expense. The increase in selling, general and administrative expense was primarily attributable to an increase in selling and marketing efforts in the three months ended March 31, 2009.</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increased by $7.2 million, or 7.5%, in the three months ended March 31, 2010, to $103.1 million, or 13.9%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$96.0 million, or 13.5% of revenue, in the three months ended March 31, 2009. The increase in operating income was primarily attributable to the increase in revenue and foreign exchange impacts partially offset by an increase in our headcount.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and Other, Net. </w:t>
      </w:r>
      <w:r>
        <w:rPr>
          <w:rFonts w:ascii="Arial" w:cs="Arial" w:eastAsia="Arial" w:hAnsi="Arial"/>
          <w:sz w:val="18"/>
          <w:szCs w:val="18"/>
          <w:color w:val="auto"/>
        </w:rPr>
        <w:t>Interest expense and other, net increased by $17.0 million in the three months ended March 31, 2010 to $22.8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$5.8 million in the three months ended March 31, 2009. The increase in interest expense and other, net, is primarily attributable to impairment on investment in a Chinese subsidiary, in which a majority interest was subsequently sold in April 2010, partially offset by foreign exchange impacts. We retain a minority interest in this Chinese company.</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2010 were $11.8 million on pretax income of $80.4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14.7%, compared to 10.6% in the three months ended March 31, 2009. The increase in our effective tax rate, was primarily attributable to impairment of investment on a Chinese subsidiary. Our effective tax rate may fluctuate between quarters as a result of discrete items that may affect a specific quarter.</w:t>
      </w:r>
    </w:p>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$68.6 million in the three months ended March 31, 2010, compared to net income of $80.6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2009. The decrease in net income was mainly attributable to the increase in interest expense and other, net and income taxes, partially offset by increase in our operating income.</w:t>
      </w:r>
    </w:p>
    <w:p>
      <w:pPr>
        <w:spacing w:after="0" w:line="73"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$0.06, or 15.4% to $0.33 in the three months ended March 31, 2010, from $0.39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2009. The decrease in diluted earnings per share resulted primarily from the decrease in net income. Please see Note 10 to our unaudited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Cash, cash equivalents and short-term interest-bearing investments totaled $1,361.5 million as of March 31, 2010, compared to $1,173.0 million as of September 30, 2009. The increase was mainly attributable to $358.1 million in positive cash flow from operations and $17.3 million proceeds from employee stock options exercised, partially offset by $149.7 million in net cash paid for acquisitions and $40.1 million for capital expenditures. Net cash provided by operating activities amounted to $358.1 million and $221.6 million for the six months ended March 31, 2010 and 2009, respectively.</w:t>
      </w:r>
    </w:p>
    <w:p>
      <w:pPr>
        <w:spacing w:after="0" w:line="6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firstLine="225"/>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Unrealized gains or losses are reported as a separate component of accumulated other comprehensive income, net of tax. Such interest-bearing investments consist primarily of money market funds, U.S. government treasuries, U.S. agency securities, government guaranteed debt and corporate bonds.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three and six months ended March 31, 2010, we recognized a credit loss of $0.2 and $0.5 million, respectively. As of March 31, 2010, unrealized losses of $2.3 million related to other-than-temporarily impaired securities were included in accumulated other comprehensive income. Please see Notes 4 and 5 to the consolidated financial statements.</w:t>
      </w:r>
    </w:p>
    <w:p>
      <w:pPr>
        <w:spacing w:after="0" w:line="5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November 2007, we entered into an unsecured $500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March 31, 2010, we were in compliance with the financial covenants under the revolving credit facility and had no outstanding borrowings under this facility.</w:t>
      </w:r>
    </w:p>
    <w:p>
      <w:pPr>
        <w:spacing w:after="0" w:line="80"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March 31, 2010, we had outstanding letters of credit and bank guarantees from various banks totaling $68.8 million. As of March 31, 2010, we had outstanding obligations of $1.0 million in connection with leasing arrangements.</w:t>
      </w:r>
    </w:p>
    <w:p>
      <w:pPr>
        <w:spacing w:after="0" w:line="62" w:lineRule="exact"/>
        <w:rPr>
          <w:sz w:val="20"/>
          <w:szCs w:val="20"/>
          <w:color w:val="auto"/>
        </w:rPr>
      </w:pPr>
    </w:p>
    <w:p>
      <w:pPr>
        <w:jc w:val="both"/>
        <w:ind w:right="220" w:firstLine="222"/>
        <w:spacing w:after="0" w:line="286" w:lineRule="auto"/>
        <w:rPr>
          <w:sz w:val="20"/>
          <w:szCs w:val="20"/>
          <w:color w:val="auto"/>
        </w:rPr>
      </w:pPr>
      <w:r>
        <w:rPr>
          <w:rFonts w:ascii="Arial" w:cs="Arial" w:eastAsia="Arial" w:hAnsi="Arial"/>
          <w:sz w:val="17"/>
          <w:szCs w:val="17"/>
          <w:color w:val="auto"/>
        </w:rPr>
        <w:t>We have contractual obligations for our non-cancelable operating leases, purchase obligations, pension funding and convertible notes summarized in the tabular disclosure of contractual obligations in our Annual Report on Form 20-F for our fiscal year ended September 30, 2009. Since September 30, 2009, there have been no material changes in our contractual obligations other than in the ordinary course of our business.</w:t>
      </w:r>
    </w:p>
    <w:p>
      <w:pPr>
        <w:spacing w:after="0" w:line="5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Our capital expenditures were approximately $40.4 million in the six months ended March 31, 2010. Approximately 80% of these expenditures consisted of purchases of computer equipment, and the remainder attributable mainly to leasehold improvements. The capital expenditures in the six months ended March 31, 2010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46"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In April 2010, our board of directors authorized a share repurchase plan allowing the repurchase of up to $700 million of our outstanding ordinary shares over the following 12 months. The authorization permits us to purchase our ordinary shares in open market or privately negotiated transactions at times and prices that we consider appropriate. In the third quarter of fiscal 2010 (through May 12, 2010), we repurchased approximately 2.1 million ordinary shares at an average price of $31.24 per share (excluding broker and transaction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the six months ended March 31, 2010 and 2009,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2010:</w:t>
      </w:r>
    </w:p>
    <w:p>
      <w:pPr>
        <w:spacing w:after="0" w:line="117" w:lineRule="exact"/>
        <w:rPr>
          <w:sz w:val="20"/>
          <w:szCs w:val="20"/>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January 21, 2010</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February 8, 2010</w:t>
      </w:r>
    </w:p>
    <w:p>
      <w:pPr>
        <w:spacing w:after="0" w:line="32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sectPr>
      <w:pgSz w:w="11900" w:h="16838" w:orient="portrait"/>
      <w:cols w:equalWidth="0" w:num="1">
        <w:col w:w="10520"/>
      </w:cols>
      <w:pgMar w:left="240" w:top="93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2019-12-10T16:33:54Z</dcterms:created>
  <dcterms:modified xsi:type="dcterms:W3CDTF">2019-12-10T16:33:54Z</dcterms:modified>
</cp:coreProperties>
</file>