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FORM 6-K</w:t>
      </w:r>
    </w:p>
    <w:p>
      <w:pPr>
        <w:spacing w:after="0" w:line="19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REPORT OF FOREIGN PRIVATE ISSUER</w:t>
      </w:r>
    </w:p>
    <w:p>
      <w:pPr>
        <w:spacing w:after="0" w:line="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PURSUANT TO RULE 13a-16 OR 15d-16 UNDER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For the month of April, 2007.</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Commission File Number 1-14840</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AMDOCS LIMITED</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Suite 5, Tower Hill House Le Bordage</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Amdocs, Inc.</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8" w:lineRule="exact"/>
        <w:rPr>
          <w:sz w:val="24"/>
          <w:szCs w:val="24"/>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of Form 20-F or Form 40-F.</w:t>
      </w:r>
    </w:p>
    <w:p>
      <w:pPr>
        <w:spacing w:after="0" w:line="184" w:lineRule="exact"/>
        <w:rPr>
          <w:sz w:val="24"/>
          <w:szCs w:val="24"/>
          <w:color w:val="auto"/>
        </w:rPr>
      </w:pPr>
    </w:p>
    <w:p>
      <w:pPr>
        <w:ind w:left="2180"/>
        <w:spacing w:after="0"/>
        <w:tabs>
          <w:tab w:leader="none" w:pos="4420" w:val="left"/>
        </w:tabs>
        <w:rPr>
          <w:sz w:val="20"/>
          <w:szCs w:val="20"/>
          <w:color w:val="auto"/>
        </w:rPr>
      </w:pPr>
      <w:r>
        <w:rPr>
          <w:rFonts w:ascii="Courier New" w:cs="Courier New" w:eastAsia="Courier New" w:hAnsi="Courier New"/>
          <w:sz w:val="16"/>
          <w:szCs w:val="16"/>
          <w:color w:val="auto"/>
        </w:rPr>
        <w:t>FORM 20-F [X}</w:t>
      </w:r>
      <w:r>
        <w:rPr>
          <w:sz w:val="20"/>
          <w:szCs w:val="20"/>
          <w:color w:val="auto"/>
        </w:rPr>
        <w:tab/>
      </w:r>
      <w:r>
        <w:rPr>
          <w:rFonts w:ascii="Courier New" w:cs="Courier New" w:eastAsia="Courier New" w:hAnsi="Courier New"/>
          <w:sz w:val="16"/>
          <w:szCs w:val="16"/>
          <w:color w:val="auto"/>
        </w:rPr>
        <w:t>FORM 40-F [ ]</w:t>
      </w:r>
    </w:p>
    <w:p>
      <w:pPr>
        <w:spacing w:after="0" w:line="198" w:lineRule="exact"/>
        <w:rPr>
          <w:sz w:val="24"/>
          <w:szCs w:val="24"/>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Indicate by check mark if the registrant is submitting the Form 6-K in paper as permitted by Regulation S-T Rule 101(b)(1): [ ]</w:t>
      </w:r>
    </w:p>
    <w:p>
      <w:pPr>
        <w:spacing w:after="0" w:line="184" w:lineRule="exact"/>
        <w:rPr>
          <w:sz w:val="24"/>
          <w:szCs w:val="24"/>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Indicate by check mark if the registrant is submitting the Form 6-K in paper as permitted by Regulation S-T Rule 101(b)(7): [ ]</w:t>
      </w:r>
    </w:p>
    <w:p>
      <w:pPr>
        <w:spacing w:after="0" w:line="184" w:lineRule="exact"/>
        <w:rPr>
          <w:sz w:val="24"/>
          <w:szCs w:val="24"/>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5" w:lineRule="exact"/>
        <w:rPr>
          <w:sz w:val="24"/>
          <w:szCs w:val="24"/>
          <w:color w:val="auto"/>
        </w:rPr>
      </w:pPr>
    </w:p>
    <w:p>
      <w:pPr>
        <w:ind w:left="2860"/>
        <w:spacing w:after="0"/>
        <w:tabs>
          <w:tab w:leader="none" w:pos="4520" w:val="left"/>
        </w:tabs>
        <w:rPr>
          <w:sz w:val="20"/>
          <w:szCs w:val="20"/>
          <w:color w:val="auto"/>
        </w:rPr>
      </w:pPr>
      <w:r>
        <w:rPr>
          <w:rFonts w:ascii="Courier New" w:cs="Courier New" w:eastAsia="Courier New" w:hAnsi="Courier New"/>
          <w:sz w:val="16"/>
          <w:szCs w:val="16"/>
          <w:color w:val="auto"/>
        </w:rPr>
        <w:t>YES [ ]</w:t>
      </w:r>
      <w:r>
        <w:rPr>
          <w:sz w:val="20"/>
          <w:szCs w:val="20"/>
          <w:color w:val="auto"/>
        </w:rPr>
        <w:tab/>
      </w:r>
      <w:r>
        <w:rPr>
          <w:rFonts w:ascii="Courier New" w:cs="Courier New" w:eastAsia="Courier New" w:hAnsi="Courier New"/>
          <w:sz w:val="16"/>
          <w:szCs w:val="16"/>
          <w:color w:val="auto"/>
        </w:rPr>
        <w:t>NO [X]</w:t>
      </w:r>
    </w:p>
    <w:p>
      <w:pPr>
        <w:sectPr>
          <w:pgSz w:w="11900" w:h="16838" w:orient="portrait"/>
          <w:cols w:equalWidth="0" w:num="1">
            <w:col w:w="10219"/>
          </w:cols>
          <w:pgMar w:left="240" w:top="432" w:right="1440" w:bottom="1440" w:gutter="0" w:footer="0" w:header="0"/>
        </w:sectPr>
      </w:pPr>
    </w:p>
    <w:bookmarkStart w:id="1" w:name="page2"/>
    <w:bookmarkEnd w:id="1"/>
    <w:p>
      <w:pPr>
        <w:ind w:right="2339" w:firstLine="493"/>
        <w:spacing w:after="0" w:line="252" w:lineRule="auto"/>
        <w:rPr>
          <w:sz w:val="20"/>
          <w:szCs w:val="20"/>
          <w:color w:val="auto"/>
        </w:rPr>
      </w:pPr>
      <w:r>
        <w:rPr>
          <w:rFonts w:ascii="Courier New" w:cs="Courier New" w:eastAsia="Courier New" w:hAnsi="Courier New"/>
          <w:sz w:val="16"/>
          <w:szCs w:val="16"/>
          <w:color w:val="auto"/>
        </w:rPr>
        <w:t>On April 26, 2007, Amdocs Limited ("Amdocs") issued a press release announcing financial results for the quarter ended March 31, 2007. A copy of the press release is furnished as Exhibit 99.1 to this Report of Foreign Private Issuer on Form 6-K.</w:t>
      </w:r>
    </w:p>
    <w:p>
      <w:pPr>
        <w:spacing w:after="0" w:line="187"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1064" w:right="1440" w:bottom="1440" w:gutter="0" w:footer="0" w:header="0"/>
        </w:sectPr>
      </w:pPr>
    </w:p>
    <w:bookmarkStart w:id="2" w:name="page3"/>
    <w:bookmarkEnd w:id="2"/>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AMDOCS LIMITED</w:t>
      </w:r>
    </w:p>
    <w:p>
      <w:pPr>
        <w:spacing w:after="0" w:line="19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/s/ Thomas G. O'Brien</w:t>
      </w:r>
    </w:p>
    <w:p>
      <w:pPr>
        <w:spacing w:after="0" w:line="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Thomas G. O'Brien</w:t>
      </w:r>
    </w:p>
    <w:p>
      <w:pPr>
        <w:spacing w:after="0" w:line="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Treasurer and Secretary</w:t>
      </w:r>
    </w:p>
    <w:p>
      <w:pPr>
        <w:spacing w:after="0" w:line="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Authorized U.S. Representative</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April 27, 2007</w:t>
      </w:r>
    </w:p>
    <w:p>
      <w:pPr>
        <w:sectPr>
          <w:pgSz w:w="11900" w:h="16838" w:orient="portrait"/>
          <w:cols w:equalWidth="0" w:num="1">
            <w:col w:w="10219"/>
          </w:cols>
          <w:pgMar w:left="240" w:top="685" w:right="1440" w:bottom="1440" w:gutter="0" w:footer="0" w:header="0"/>
        </w:sectPr>
      </w:pPr>
    </w:p>
    <w:bookmarkStart w:id="3" w:name="page4"/>
    <w:bookmarkEnd w:id="3"/>
    <w:p>
      <w:pPr>
        <w:ind w:left="33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685"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April 26, 2007.</w:t>
      </w:r>
    </w:p>
    <w:p>
      <w:pPr>
        <w:sectPr>
          <w:pgSz w:w="11900" w:h="16838" w:orient="portrait"/>
          <w:cols w:equalWidth="0" w:num="2">
            <w:col w:w="1280" w:space="300"/>
            <w:col w:w="8639"/>
          </w:cols>
          <w:pgMar w:left="240" w:top="685" w:right="1440" w:bottom="1440" w:gutter="0" w:footer="0" w:header="0"/>
          <w:type w:val="continuous"/>
        </w:sectPr>
      </w:pPr>
    </w:p>
    <w:bookmarkStart w:id="4" w:name="page5"/>
    <w:bookmarkEnd w:id="4"/>
    <w:p>
      <w:pPr>
        <w:jc w:val="right"/>
        <w:ind w:right="2339"/>
        <w:spacing w:after="0"/>
        <w:rPr>
          <w:sz w:val="20"/>
          <w:szCs w:val="20"/>
          <w:color w:val="auto"/>
        </w:rPr>
      </w:pPr>
      <w:r>
        <w:rPr>
          <w:rFonts w:ascii="Courier New" w:cs="Courier New" w:eastAsia="Courier New" w:hAnsi="Courier New"/>
          <w:sz w:val="16"/>
          <w:szCs w:val="16"/>
          <w:color w:val="auto"/>
        </w:rPr>
        <w:t>Exhibit 99.1</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AMDOCS LIMITED REPORTS RECORD REVENUE OF $706 MILLION</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AMDOCS REPORTS 18% GROWTH IN QUARTERLY DILUTED NON-GAAP EARNINGS PER SHARE TO</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$0.52; DILUTED GAAP EARNINGS PER SHARE OF $0.40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Key highlights:</w:t>
      </w:r>
    </w:p>
    <w:p>
      <w:pPr>
        <w:spacing w:after="0" w:line="198" w:lineRule="exact"/>
        <w:rPr>
          <w:sz w:val="20"/>
          <w:szCs w:val="20"/>
          <w:color w:val="auto"/>
        </w:rPr>
      </w:pPr>
    </w:p>
    <w:p>
      <w:pPr>
        <w:ind w:left="980" w:hanging="486"/>
        <w:spacing w:after="0"/>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quarter revenue increased 18% to $706 million</w:t>
      </w:r>
    </w:p>
    <w:p>
      <w:pPr>
        <w:spacing w:after="0" w:line="197" w:lineRule="exact"/>
        <w:rPr>
          <w:rFonts w:ascii="Courier New" w:cs="Courier New" w:eastAsia="Courier New" w:hAnsi="Courier New"/>
          <w:sz w:val="16"/>
          <w:szCs w:val="16"/>
          <w:color w:val="auto"/>
        </w:rPr>
      </w:pPr>
    </w:p>
    <w:p>
      <w:pPr>
        <w:ind w:left="980" w:right="2819" w:hanging="486"/>
        <w:spacing w:after="0" w:line="253" w:lineRule="auto"/>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 increase in second quarter diluted non-GAAP EPS, excluding acquisition-related costs, restructuring charges and equity-based compensation expense, net of related tax effects, to $0.52</w:t>
      </w:r>
    </w:p>
    <w:p>
      <w:pPr>
        <w:spacing w:after="0" w:line="185"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GAAP EPS of $0.40</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was awarded a significant managed services contract by AT&amp;T</w:t>
      </w:r>
    </w:p>
    <w:p>
      <w:pPr>
        <w:spacing w:after="0" w:line="197" w:lineRule="exact"/>
        <w:rPr>
          <w:rFonts w:ascii="Courier New" w:cs="Courier New" w:eastAsia="Courier New" w:hAnsi="Courier New"/>
          <w:sz w:val="16"/>
          <w:szCs w:val="16"/>
          <w:color w:val="auto"/>
        </w:rPr>
      </w:pPr>
    </w:p>
    <w:p>
      <w:pPr>
        <w:ind w:left="980" w:right="2339" w:hanging="486"/>
        <w:spacing w:after="0" w:line="255" w:lineRule="auto"/>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SigValue Technologies, Inc. expands Amdocs offering for fast-growing emerging markets</w:t>
      </w:r>
    </w:p>
    <w:p>
      <w:pPr>
        <w:spacing w:after="0" w:line="183" w:lineRule="exact"/>
        <w:rPr>
          <w:rFonts w:ascii="Courier New" w:cs="Courier New" w:eastAsia="Courier New" w:hAnsi="Courier New"/>
          <w:sz w:val="16"/>
          <w:szCs w:val="16"/>
          <w:color w:val="auto"/>
        </w:rPr>
      </w:pPr>
    </w:p>
    <w:p>
      <w:pPr>
        <w:ind w:left="980" w:right="2339" w:hanging="486"/>
        <w:spacing w:after="0" w:line="252" w:lineRule="auto"/>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quarter fiscal 2007 guidance: Expected revenue of approximately $710-$720 million and diluted non-GAAP EPS of $0.50 - $0.52, excluding acquisition-related costs and approximately $0.05-$0.06 per share of equity-based compensation expense, net of related tax effects. Diluted GAAP EPS is expected to be approximately $0.38-$0.41</w:t>
      </w:r>
    </w:p>
    <w:p>
      <w:pPr>
        <w:spacing w:after="0" w:line="185" w:lineRule="exact"/>
        <w:rPr>
          <w:rFonts w:ascii="Courier New" w:cs="Courier New" w:eastAsia="Courier New" w:hAnsi="Courier New"/>
          <w:sz w:val="16"/>
          <w:szCs w:val="16"/>
          <w:color w:val="auto"/>
        </w:rPr>
      </w:pPr>
    </w:p>
    <w:p>
      <w:pPr>
        <w:ind w:left="980" w:right="2519" w:hanging="486"/>
        <w:spacing w:after="0" w:line="251" w:lineRule="auto"/>
        <w:tabs>
          <w:tab w:leader="none" w:pos="9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Reiterated fiscal 2007 guidance: Expected revenue of approximately $2.83-$2.91 billion and diluted non-GAAP EPS of $2.02-$2.12, which exclude acquisition-related costs, restructuring charges and approximately $0.21-$0.24 per share of equity-based compensation expense, net of related tax effects. Diluted GAAP EPS is expected to be approximately $1.54-$1.68</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ST. LOUIS, MO - APRIL 26, 2007 - Amdocs Limited (NYSE: DOX) today reported that for the quarter ended March 31, 2007, revenue was $706.4 million, an increase of 17.5% from last year's second quarter. Net income on a non-GAAP basis was $114.5 million, or $0.52 per diluted share (excluding acquisition-related costs, which include amortization of purchased intangible assets, in-process research and development write-off and other, and excluding restructuring charges and equity-based compensation expense, net of related tax effects, of $27.3 million), compared to non-GAAP net income of $95.5 million, or $0.44 per diluted share, in the second quarter of fiscal 2006 (excluding acquisition-related costs, which include amortization of purchased intangible assets, and equity-based compensation</w:t>
      </w:r>
    </w:p>
    <w:p>
      <w:pPr>
        <w:sectPr>
          <w:pgSz w:w="11900" w:h="16838" w:orient="portrait"/>
          <w:cols w:equalWidth="0" w:num="1">
            <w:col w:w="10219"/>
          </w:cols>
          <w:pgMar w:left="240" w:top="521" w:right="1440" w:bottom="1440" w:gutter="0" w:footer="0" w:header="0"/>
        </w:sectPr>
      </w:pPr>
    </w:p>
    <w:bookmarkStart w:id="5" w:name="page6"/>
    <w:bookmarkEnd w:id="5"/>
    <w:p>
      <w:pPr>
        <w:ind w:right="2339"/>
        <w:spacing w:after="0" w:line="252" w:lineRule="auto"/>
        <w:rPr>
          <w:sz w:val="20"/>
          <w:szCs w:val="20"/>
          <w:color w:val="auto"/>
        </w:rPr>
      </w:pPr>
      <w:r>
        <w:rPr>
          <w:rFonts w:ascii="Courier New" w:cs="Courier New" w:eastAsia="Courier New" w:hAnsi="Courier New"/>
          <w:sz w:val="16"/>
          <w:szCs w:val="16"/>
          <w:color w:val="auto"/>
        </w:rPr>
        <w:t>expense, net of related tax effects, of $13.8 million). The Company's GAAP net income was $87.2 million, or $0.40 per diluted share, compared to GAAP net income of $81.8 million, or $0.38 per diluted share, in the second quarter of fiscal 2006. Free cash flow for the quarter was $57.9 million, comprised of cash flow from operations of $91.2 million less $33.3 million in net capital expenditures.</w:t>
      </w:r>
    </w:p>
    <w:p>
      <w:pPr>
        <w:spacing w:after="0" w:line="37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are pleased to report another successful quarter for Amdocs as we continue to execute," said Dov Baharav, chief executive officer of Amdocs Management Limited. "Revenue is at record levels and earnings growth is strong. During the quarter we formally launched our Amdocs 7 suite of products which are generating wins for Amdocs. We are delivering solutions and therefore we are expanding our relationship with key customers as they transform their businesses to address convergence, competition and consolidation. While the timing of individual projects can be difficult to predict, the ongoing trend is clear. Transformation activity is driving demand for our products and services today and should provide Amdocs with growth opportunities for years to come."</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Amdocs new business included a variety of wins across geographies and lines of business. These wins include an important managed services contract with AT&amp;T to provide application management services in support of their legacy ordering and wholesale platforms, including software development, testing and production support. In the broadband cable and satellite market, the Company's wins included subscriber conversions onto an Amdocs system. For an existing customer in Europe, Amdocs has been engaged to provide a CRM solution for multiple market segments. Amdocs continues to grow its OSS business with projects including license and services for customers around the globe, including several new logos.</w:t>
      </w:r>
    </w:p>
    <w:p>
      <w:pPr>
        <w:spacing w:after="0" w:line="379"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At the end of its first fiscal quarter, the Company projected that its diluted GAAP EPS for the fiscal quarter ending March 31, 2007 would be $0.35 to $0.39. The Company anticipated that its non-GAAP EPS would be $0.49 to $0.51, excluding acquisition-related costs (which include amortization of purchased intangible assets, in-process research and development write-off and other), and excluding restructuring charges and equity-based compensation expense, net of related tax effects.</w:t>
      </w:r>
    </w:p>
    <w:p>
      <w:pPr>
        <w:spacing w:after="0" w:line="190"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As reported, GAAP EPS per diluted share for the second quarter of fiscal 2007 was $0.40. Non-GAAP EPS per diluted share was $0.52 for the quarter, excluding acquisition-related</w:t>
      </w:r>
    </w:p>
    <w:p>
      <w:pPr>
        <w:sectPr>
          <w:pgSz w:w="11900" w:h="16838" w:orient="portrait"/>
          <w:cols w:equalWidth="0" w:num="1">
            <w:col w:w="10219"/>
          </w:cols>
          <w:pgMar w:left="240" w:top="685" w:right="1440" w:bottom="1440" w:gutter="0" w:footer="0" w:header="0"/>
        </w:sectPr>
      </w:pPr>
    </w:p>
    <w:bookmarkStart w:id="6" w:name="page7"/>
    <w:bookmarkEnd w:id="6"/>
    <w:p>
      <w:pPr>
        <w:ind w:right="2519"/>
        <w:spacing w:after="0" w:line="251" w:lineRule="auto"/>
        <w:rPr>
          <w:sz w:val="20"/>
          <w:szCs w:val="20"/>
          <w:color w:val="auto"/>
        </w:rPr>
      </w:pPr>
      <w:r>
        <w:rPr>
          <w:rFonts w:ascii="Courier New" w:cs="Courier New" w:eastAsia="Courier New" w:hAnsi="Courier New"/>
          <w:sz w:val="16"/>
          <w:szCs w:val="16"/>
          <w:color w:val="auto"/>
        </w:rPr>
        <w:t>costs (which include amortization of purchased intangible assets, in-process research and development write-off and other), and excluding restructuring charges and equity-based compensation expense, net of related tax effects. The excluded pre-tax restructuring charges amounted to approximately $6 million, reducing GAAP EPS per diluted share by $0.02. The charges consist primarily of severance and other employment related obligations incurred in connection with Amdocs' measures designed to align its operational structure to it expected future growth and to improve efficiency.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OUTLOOK</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Amdocs expects that revenue for the third quarter of fiscal 2007 will be approximately $710-$720 million. Diluted earnings per share on a non-GAAP basis for the third quarter are expected to be $0.50-$0.52, excluding acquisition-related costs and approximately $0.05-$0.06 per share of equity-based compensation expense, net of related tax effects. Diluted GAAP EPS is expected to be approximately $0.38-$0.41.</w:t>
      </w:r>
    </w:p>
    <w:p>
      <w:pPr>
        <w:spacing w:after="0" w:line="190"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Reiterated fiscal 2007 guidance: Expected revenue of approximately $2.83-$2.91 billion and diluted non-GAAP EPS of $2.02-$2.12, which excludes acquisition-related costs, restructuring charges and approximately $0.21-$0.24 per share of equity-based compensation expense, net of related tax effects. Diluted GAAP EPS is expected to be approximately $1.54-$1.68.</w:t>
      </w:r>
    </w:p>
    <w:p>
      <w:pPr>
        <w:spacing w:after="0" w:line="186"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Amdocs will host a conference call on April 26, 2007 at 5 p.m. Eastern Time to discuss the Company's second quarter results. The call will be carried live on the Internet via www.InvestorCalendar.com and the Amdocs website, www.amdocs.com.</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NON-GAAP FINANCIAL MEASURES</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This release includes non-GAAP diluted earnings per share and other non-GAAP financial measures, including free cash flow, non-GAAP cost of service, non-GAAP research and development, non-GAAP selling, general and administrative, non-GAAP operating income, non-GAAP income taxes and non-GAAP net income. These non-GAAP measures exclude the following items:</w:t>
      </w:r>
    </w:p>
    <w:p>
      <w:pPr>
        <w:sectPr>
          <w:pgSz w:w="11900" w:h="16838" w:orient="portrait"/>
          <w:cols w:equalWidth="0" w:num="1">
            <w:col w:w="10219"/>
          </w:cols>
          <w:pgMar w:left="240" w:top="685" w:right="1440" w:bottom="1440" w:gutter="0" w:footer="0" w:header="0"/>
        </w:sectPr>
      </w:pPr>
    </w:p>
    <w:bookmarkStart w:id="7" w:name="page8"/>
    <w:bookmarkEnd w:id="7"/>
    <w:p>
      <w:pPr>
        <w:ind w:left="980" w:hanging="486"/>
        <w:spacing w:after="0"/>
        <w:tabs>
          <w:tab w:leader="none" w:pos="9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 of purchased intangible assets;</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in-process research and development write-off and other;</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charges;</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equity-based compensation expense; and</w:t>
      </w:r>
    </w:p>
    <w:p>
      <w:pPr>
        <w:spacing w:after="0" w:line="197"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effects related to the above.</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For its internal budgeting process and in monitoring the results of the business, Amdocs' management uses financial statements that do not include amortization of purchased intangible assets, in-process research and development write-off and other,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ectPr>
          <w:pgSz w:w="11900" w:h="16838" w:orient="portrait"/>
          <w:cols w:equalWidth="0" w:num="1">
            <w:col w:w="10219"/>
          </w:cols>
          <w:pgMar w:left="240" w:top="685" w:right="1440" w:bottom="1440" w:gutter="0" w:footer="0" w:header="0"/>
        </w:sectPr>
      </w:pPr>
    </w:p>
    <w:bookmarkStart w:id="8" w:name="page9"/>
    <w:bookmarkEnd w:id="8"/>
    <w:p>
      <w:pPr>
        <w:ind w:right="2339"/>
        <w:spacing w:after="0" w:line="251" w:lineRule="auto"/>
        <w:rPr>
          <w:sz w:val="20"/>
          <w:szCs w:val="20"/>
          <w:color w:val="auto"/>
        </w:rPr>
      </w:pPr>
      <w:r>
        <w:rPr>
          <w:rFonts w:ascii="Courier New" w:cs="Courier New" w:eastAsia="Courier New" w:hAnsi="Courier New"/>
          <w:sz w:val="16"/>
          <w:szCs w:val="16"/>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190" w:lineRule="exact"/>
        <w:rPr>
          <w:sz w:val="20"/>
          <w:szCs w:val="20"/>
          <w:color w:val="auto"/>
        </w:rPr>
      </w:pPr>
    </w:p>
    <w:p>
      <w:pPr>
        <w:ind w:right="2619"/>
        <w:spacing w:after="0" w:line="255" w:lineRule="auto"/>
        <w:rPr>
          <w:sz w:val="20"/>
          <w:szCs w:val="20"/>
          <w:color w:val="auto"/>
        </w:rPr>
      </w:pPr>
      <w:r>
        <w:rPr>
          <w:rFonts w:ascii="Courier New" w:cs="Courier New" w:eastAsia="Courier New" w:hAnsi="Courier New"/>
          <w:sz w:val="16"/>
          <w:szCs w:val="16"/>
          <w:color w:val="auto"/>
        </w:rPr>
        <w:t>Please refer to the Reconciliation of Selected Financial Metrics from GAAP to Non-GAAP tables below.</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AMDOCS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revenue of $2.48 billion in fiscal 2006, Amdocs has over 16,000 employees and serves customers in more than 50 countries around the world. For more information, visit Amdocs at www.amdocs.com.</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w:t>
      </w:r>
    </w:p>
    <w:p>
      <w:pPr>
        <w:sectPr>
          <w:pgSz w:w="11900" w:h="16838" w:orient="portrait"/>
          <w:cols w:equalWidth="0" w:num="1">
            <w:col w:w="10219"/>
          </w:cols>
          <w:pgMar w:left="240" w:top="685" w:right="1440" w:bottom="1440" w:gutter="0" w:footer="0" w:header="0"/>
        </w:sectPr>
      </w:pPr>
    </w:p>
    <w:bookmarkStart w:id="9" w:name="page10"/>
    <w:bookmarkEnd w:id="9"/>
    <w:p>
      <w:pPr>
        <w:ind w:right="2439"/>
        <w:spacing w:after="0" w:line="251" w:lineRule="auto"/>
        <w:rPr>
          <w:sz w:val="20"/>
          <w:szCs w:val="20"/>
          <w:color w:val="auto"/>
        </w:rPr>
      </w:pPr>
      <w:r>
        <w:rPr>
          <w:rFonts w:ascii="Courier New" w:cs="Courier New" w:eastAsia="Courier New" w:hAnsi="Courier New"/>
          <w:sz w:val="16"/>
          <w:szCs w:val="16"/>
          <w:color w:val="auto"/>
        </w:rPr>
        <w:t>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2006, filed on December 13, 2006 and in our quarterly Form 6-K furnished on February 6, 2007.</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G. O'Brien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and Vice President of Investor Relations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314-212-8328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E-mail: dox_info@amdocs.com</w:t>
      </w:r>
    </w:p>
    <w:p>
      <w:pPr>
        <w:sectPr>
          <w:pgSz w:w="11900" w:h="16838" w:orient="portrait"/>
          <w:cols w:equalWidth="0" w:num="1">
            <w:col w:w="10219"/>
          </w:cols>
          <w:pgMar w:left="240" w:top="685" w:right="1440" w:bottom="1440" w:gutter="0" w:footer="0" w:header="0"/>
        </w:sectPr>
      </w:pPr>
    </w:p>
    <w:bookmarkStart w:id="10" w:name="page11"/>
    <w:bookmarkEnd w:id="10"/>
    <w:p>
      <w:pPr>
        <w:ind w:left="3260"/>
        <w:spacing w:after="0"/>
        <w:rPr>
          <w:sz w:val="20"/>
          <w:szCs w:val="20"/>
          <w:color w:val="auto"/>
        </w:rPr>
      </w:pPr>
      <w:r>
        <w:rPr>
          <w:rFonts w:ascii="Courier New" w:cs="Courier New" w:eastAsia="Courier New" w:hAnsi="Courier New"/>
          <w:sz w:val="16"/>
          <w:szCs w:val="16"/>
          <w:color w:val="auto"/>
        </w:rPr>
        <w:t>AMDOCS LIMITED</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right"/>
              <w:ind w:right="78"/>
              <w:spacing w:after="0"/>
              <w:rPr>
                <w:sz w:val="20"/>
                <w:szCs w:val="20"/>
                <w:color w:val="auto"/>
              </w:rPr>
            </w:pPr>
            <w:r>
              <w:rPr>
                <w:rFonts w:ascii="Courier New" w:cs="Courier New" w:eastAsia="Courier New" w:hAnsi="Courier New"/>
                <w:sz w:val="16"/>
                <w:szCs w:val="16"/>
                <w:color w:val="auto"/>
              </w:rPr>
              <w:t>THREE MONTHS ENDED</w:t>
            </w:r>
          </w:p>
        </w:tc>
        <w:tc>
          <w:tcPr>
            <w:tcW w:w="240" w:type="dxa"/>
            <w:vAlign w:val="bottom"/>
          </w:tcPr>
          <w:p>
            <w:pPr>
              <w:spacing w:after="0"/>
              <w:rPr>
                <w:sz w:val="16"/>
                <w:szCs w:val="16"/>
                <w:color w:val="auto"/>
              </w:rPr>
            </w:pPr>
          </w:p>
        </w:tc>
        <w:tc>
          <w:tcPr>
            <w:tcW w:w="2160" w:type="dxa"/>
            <w:vAlign w:val="bottom"/>
            <w:gridSpan w:val="3"/>
          </w:tcPr>
          <w:p>
            <w:pPr>
              <w:jc w:val="right"/>
              <w:ind w:right="198"/>
              <w:spacing w:after="0"/>
              <w:rPr>
                <w:sz w:val="20"/>
                <w:szCs w:val="20"/>
                <w:color w:val="auto"/>
              </w:rPr>
            </w:pPr>
            <w:r>
              <w:rPr>
                <w:rFonts w:ascii="Courier New" w:cs="Courier New" w:eastAsia="Courier New" w:hAnsi="Courier New"/>
                <w:sz w:val="16"/>
                <w:szCs w:val="16"/>
                <w:color w:val="auto"/>
              </w:rPr>
              <w:t>SIX MONTHS ENDED</w:t>
            </w:r>
          </w:p>
        </w:tc>
      </w:tr>
      <w:tr>
        <w:trPr>
          <w:trHeight w:val="190"/>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10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31,</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1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r>
      <w:tr>
        <w:trPr>
          <w:trHeight w:val="190"/>
        </w:trPr>
        <w:tc>
          <w:tcPr>
            <w:tcW w:w="3300" w:type="dxa"/>
            <w:vAlign w:val="bottom"/>
          </w:tcPr>
          <w:p>
            <w:pPr>
              <w:spacing w:after="0"/>
              <w:rPr>
                <w:sz w:val="16"/>
                <w:szCs w:val="16"/>
                <w:color w:val="auto"/>
              </w:rPr>
            </w:pPr>
          </w:p>
        </w:tc>
        <w:tc>
          <w:tcPr>
            <w:tcW w:w="2180" w:type="dxa"/>
            <w:vAlign w:val="bottom"/>
            <w:gridSpan w:val="4"/>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2007</w:t>
            </w:r>
          </w:p>
        </w:tc>
        <w:tc>
          <w:tcPr>
            <w:tcW w:w="16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2006</w:t>
            </w:r>
          </w:p>
        </w:tc>
        <w:tc>
          <w:tcPr>
            <w:tcW w:w="240" w:type="dxa"/>
            <w:vAlign w:val="bottom"/>
          </w:tcPr>
          <w:p>
            <w:pPr>
              <w:spacing w:after="0"/>
              <w:rPr>
                <w:sz w:val="16"/>
                <w:szCs w:val="16"/>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2007</w:t>
            </w:r>
          </w:p>
        </w:tc>
        <w:tc>
          <w:tcPr>
            <w:tcW w:w="1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2006</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3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License</w:t>
            </w: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$ 37,526</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$ 30,291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69,270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61,952</w:t>
            </w: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Service</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668,835</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570,838</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9"/>
              </w:rPr>
              <w:t>1,328,123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1,126,205</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706,361</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601,129</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9"/>
              </w:rPr>
              <w:t>1,397,393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1,188,157</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Cost of license</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1,016</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916</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2,085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1,978</w:t>
            </w: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Cost of service</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446,860</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388,333</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881,981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762,384</w:t>
            </w: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Research and development</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57,734</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41,823</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118,202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84,937</w:t>
            </w: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300" w:type="dxa"/>
            <w:vAlign w:val="bottom"/>
          </w:tcPr>
          <w:p>
            <w:pPr>
              <w:ind w:left="600"/>
              <w:spacing w:after="0"/>
              <w:rPr>
                <w:sz w:val="20"/>
                <w:szCs w:val="20"/>
                <w:color w:val="auto"/>
              </w:rPr>
            </w:pPr>
            <w:r>
              <w:rPr>
                <w:rFonts w:ascii="Courier New" w:cs="Courier New" w:eastAsia="Courier New" w:hAnsi="Courier New"/>
                <w:sz w:val="16"/>
                <w:szCs w:val="16"/>
                <w:color w:val="auto"/>
              </w:rPr>
              <w:t>administrative</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91,280</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73,799</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180,450</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152,349</w:t>
            </w: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purchased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300" w:type="dxa"/>
            <w:vAlign w:val="bottom"/>
          </w:tcPr>
          <w:p>
            <w:pPr>
              <w:ind w:left="600"/>
              <w:spacing w:after="0"/>
              <w:rPr>
                <w:sz w:val="20"/>
                <w:szCs w:val="20"/>
                <w:color w:val="auto"/>
              </w:rPr>
            </w:pPr>
            <w:r>
              <w:rPr>
                <w:rFonts w:ascii="Courier New" w:cs="Courier New" w:eastAsia="Courier New" w:hAnsi="Courier New"/>
                <w:sz w:val="16"/>
                <w:szCs w:val="16"/>
                <w:color w:val="auto"/>
              </w:rPr>
              <w:t>intangible assets</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18,912</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7,469</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36,610</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15,041</w:t>
            </w: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Restructuring charges,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300" w:type="dxa"/>
            <w:vAlign w:val="bottom"/>
          </w:tcPr>
          <w:p>
            <w:pPr>
              <w:ind w:left="600"/>
              <w:spacing w:after="0"/>
              <w:rPr>
                <w:sz w:val="20"/>
                <w:szCs w:val="20"/>
                <w:color w:val="auto"/>
              </w:rPr>
            </w:pPr>
            <w:r>
              <w:rPr>
                <w:rFonts w:ascii="Courier New" w:cs="Courier New" w:eastAsia="Courier New" w:hAnsi="Courier New"/>
                <w:sz w:val="16"/>
                <w:szCs w:val="16"/>
                <w:color w:val="auto"/>
              </w:rPr>
              <w:t>in-process research and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300" w:type="dxa"/>
            <w:vAlign w:val="bottom"/>
          </w:tcPr>
          <w:p>
            <w:pPr>
              <w:ind w:left="600"/>
              <w:spacing w:after="0"/>
              <w:rPr>
                <w:sz w:val="20"/>
                <w:szCs w:val="20"/>
                <w:color w:val="auto"/>
              </w:rPr>
            </w:pPr>
            <w:r>
              <w:rPr>
                <w:rFonts w:ascii="Courier New" w:cs="Courier New" w:eastAsia="Courier New" w:hAnsi="Courier New"/>
                <w:sz w:val="16"/>
                <w:szCs w:val="16"/>
                <w:color w:val="auto"/>
              </w:rPr>
              <w:t>development and other (1)</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6,761</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6,761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622,563</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512,340</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9"/>
              </w:rPr>
              <w:t>1,226,089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1,016,689</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83,798</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88,789</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171,304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171,468</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10,899</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10,307</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22,638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18,721</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94,697</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99,096</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193,942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190,189</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7,526</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17,334</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13,429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33,093</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$ 87,171</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$ 81,762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180,513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157,096</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0.42</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0.87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0.78</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Diluted earnings per share (2)</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0.40</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0.38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0.82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0.74</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shares outstanding</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207,293</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202,515</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206,867</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201,509</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30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300" w:type="dxa"/>
            <w:vAlign w:val="bottom"/>
          </w:tcPr>
          <w:p>
            <w:pPr>
              <w:ind w:left="300"/>
              <w:spacing w:after="0"/>
              <w:rPr>
                <w:sz w:val="20"/>
                <w:szCs w:val="20"/>
                <w:color w:val="auto"/>
              </w:rPr>
            </w:pPr>
            <w:r>
              <w:rPr>
                <w:rFonts w:ascii="Courier New" w:cs="Courier New" w:eastAsia="Courier New" w:hAnsi="Courier New"/>
                <w:sz w:val="16"/>
                <w:szCs w:val="16"/>
                <w:color w:val="auto"/>
              </w:rPr>
              <w:t>of shares outstanding</w:t>
            </w:r>
          </w:p>
        </w:tc>
        <w:tc>
          <w:tcPr>
            <w:tcW w:w="260" w:type="dxa"/>
            <w:vAlign w:val="bottom"/>
          </w:tcPr>
          <w:p>
            <w:pPr>
              <w:spacing w:after="0"/>
              <w:rPr>
                <w:sz w:val="16"/>
                <w:szCs w:val="16"/>
                <w:color w:val="auto"/>
              </w:rPr>
            </w:pPr>
          </w:p>
        </w:tc>
        <w:tc>
          <w:tcPr>
            <w:tcW w:w="9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222,499</w:t>
            </w:r>
          </w:p>
        </w:tc>
        <w:tc>
          <w:tcPr>
            <w:tcW w:w="1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217,919</w:t>
            </w:r>
          </w:p>
        </w:tc>
        <w:tc>
          <w:tcPr>
            <w:tcW w:w="2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222,608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216,394</w:t>
            </w:r>
          </w:p>
        </w:tc>
      </w:tr>
      <w:tr>
        <w:trPr>
          <w:trHeight w:val="190"/>
        </w:trPr>
        <w:tc>
          <w:tcPr>
            <w:tcW w:w="3300" w:type="dxa"/>
            <w:vAlign w:val="bottom"/>
          </w:tcPr>
          <w:p>
            <w:pPr>
              <w:spacing w:after="0"/>
              <w:rPr>
                <w:sz w:val="16"/>
                <w:szCs w:val="16"/>
                <w:color w:val="auto"/>
              </w:rPr>
            </w:pPr>
          </w:p>
        </w:tc>
        <w:tc>
          <w:tcPr>
            <w:tcW w:w="11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right="2619" w:hanging="499"/>
        <w:spacing w:after="0" w:line="252" w:lineRule="auto"/>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charges, in-process research and development and other for the three and six months ended March 31, 2007 include the following: restructuring charges of $6,011, in-process research and development of $2,666 offset by other acquisition related income of $1,916.</w:t>
      </w:r>
    </w:p>
    <w:p>
      <w:pPr>
        <w:spacing w:after="0" w:line="186" w:lineRule="exact"/>
        <w:rPr>
          <w:rFonts w:ascii="Courier New" w:cs="Courier New" w:eastAsia="Courier New" w:hAnsi="Courier New"/>
          <w:sz w:val="16"/>
          <w:szCs w:val="16"/>
          <w:color w:val="auto"/>
        </w:rPr>
      </w:pPr>
    </w:p>
    <w:p>
      <w:pPr>
        <w:ind w:left="500" w:right="2339" w:hanging="499"/>
        <w:spacing w:after="0" w:line="251" w:lineRule="auto"/>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impact of assumed conversion of the convertible notes, $985 and $1,970, representing interest expense and amortization of issuance costs, were added back to net income for the three and six months ended March 31, 2007, respectively, and $979 and $1,979 were added back to net income for the three and six months ended March 31, 2006, respectively, for the purpose of computing diluted earnings per share.</w:t>
      </w:r>
    </w:p>
    <w:p>
      <w:pPr>
        <w:sectPr>
          <w:pgSz w:w="11900" w:h="16838" w:orient="portrait"/>
          <w:cols w:equalWidth="0" w:num="1">
            <w:col w:w="10219"/>
          </w:cols>
          <w:pgMar w:left="240" w:top="685" w:right="1440" w:bottom="1440" w:gutter="0" w:footer="0" w:header="0"/>
        </w:sectPr>
      </w:pPr>
    </w:p>
    <w:bookmarkStart w:id="11" w:name="page12"/>
    <w:bookmarkEnd w:id="11"/>
    <w:p>
      <w:pPr>
        <w:jc w:val="center"/>
        <w:ind w:right="2339"/>
        <w:spacing w:after="0"/>
        <w:rPr>
          <w:sz w:val="20"/>
          <w:szCs w:val="20"/>
          <w:color w:val="auto"/>
        </w:rPr>
      </w:pPr>
      <w:r>
        <w:rPr>
          <w:rFonts w:ascii="Courier New" w:cs="Courier New" w:eastAsia="Courier New" w:hAnsi="Courier New"/>
          <w:sz w:val="16"/>
          <w:szCs w:val="16"/>
          <w:color w:val="auto"/>
        </w:rPr>
        <w:t>AMDOCS LIMITED</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SELECTED FINANCIAL METRICS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gridSpan w:val="7"/>
          </w:tcPr>
          <w:p>
            <w:pPr>
              <w:ind w:left="2180"/>
              <w:spacing w:after="0"/>
              <w:rPr>
                <w:sz w:val="20"/>
                <w:szCs w:val="20"/>
                <w:color w:val="auto"/>
              </w:rPr>
            </w:pPr>
            <w:r>
              <w:rPr>
                <w:rFonts w:ascii="Courier New" w:cs="Courier New" w:eastAsia="Courier New" w:hAnsi="Courier New"/>
                <w:sz w:val="16"/>
                <w:szCs w:val="16"/>
                <w:color w:val="auto"/>
              </w:rPr>
              <w:t>(IN THOUSANDS, EXCEPT PER SHARE DATA)</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58"/>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jc w:val="right"/>
              <w:ind w:right="78"/>
              <w:spacing w:after="0"/>
              <w:rPr>
                <w:sz w:val="20"/>
                <w:szCs w:val="20"/>
                <w:color w:val="auto"/>
              </w:rPr>
            </w:pPr>
            <w:r>
              <w:rPr>
                <w:rFonts w:ascii="Courier New" w:cs="Courier New" w:eastAsia="Courier New" w:hAnsi="Courier New"/>
                <w:sz w:val="16"/>
                <w:szCs w:val="16"/>
                <w:color w:val="auto"/>
              </w:rPr>
              <w:t>THREE MONTHS ENDED</w:t>
            </w:r>
          </w:p>
        </w:tc>
        <w:tc>
          <w:tcPr>
            <w:tcW w:w="240" w:type="dxa"/>
            <w:vAlign w:val="bottom"/>
          </w:tcPr>
          <w:p>
            <w:pPr>
              <w:spacing w:after="0"/>
              <w:rPr>
                <w:sz w:val="24"/>
                <w:szCs w:val="24"/>
                <w:color w:val="auto"/>
              </w:rPr>
            </w:pPr>
          </w:p>
        </w:tc>
        <w:tc>
          <w:tcPr>
            <w:tcW w:w="2160" w:type="dxa"/>
            <w:vAlign w:val="bottom"/>
            <w:gridSpan w:val="3"/>
          </w:tcPr>
          <w:p>
            <w:pPr>
              <w:jc w:val="right"/>
              <w:ind w:right="198"/>
              <w:spacing w:after="0"/>
              <w:rPr>
                <w:sz w:val="20"/>
                <w:szCs w:val="20"/>
                <w:color w:val="auto"/>
              </w:rPr>
            </w:pPr>
            <w:r>
              <w:rPr>
                <w:rFonts w:ascii="Courier New" w:cs="Courier New" w:eastAsia="Courier New" w:hAnsi="Courier New"/>
                <w:sz w:val="16"/>
                <w:szCs w:val="16"/>
                <w:color w:val="auto"/>
              </w:rPr>
              <w:t>SIX MONTHS ENDED</w:t>
            </w:r>
          </w:p>
        </w:tc>
      </w:tr>
      <w:tr>
        <w:trPr>
          <w:trHeight w:val="190"/>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right"/>
              <w:ind w:right="558"/>
              <w:spacing w:after="0"/>
              <w:rPr>
                <w:sz w:val="20"/>
                <w:szCs w:val="20"/>
                <w:color w:val="auto"/>
              </w:rPr>
            </w:pPr>
            <w:r>
              <w:rPr>
                <w:rFonts w:ascii="Courier New" w:cs="Courier New" w:eastAsia="Courier New" w:hAnsi="Courier New"/>
                <w:sz w:val="16"/>
                <w:szCs w:val="16"/>
                <w:color w:val="auto"/>
              </w:rPr>
              <w:t>MARCH 31,</w:t>
            </w:r>
          </w:p>
        </w:tc>
        <w:tc>
          <w:tcPr>
            <w:tcW w:w="240" w:type="dxa"/>
            <w:vAlign w:val="bottom"/>
          </w:tcPr>
          <w:p>
            <w:pPr>
              <w:spacing w:after="0"/>
              <w:rPr>
                <w:sz w:val="16"/>
                <w:szCs w:val="16"/>
                <w:color w:val="auto"/>
              </w:rPr>
            </w:pPr>
          </w:p>
        </w:tc>
        <w:tc>
          <w:tcPr>
            <w:tcW w:w="2160" w:type="dxa"/>
            <w:vAlign w:val="bottom"/>
            <w:gridSpan w:val="3"/>
          </w:tcPr>
          <w:p>
            <w:pPr>
              <w:jc w:val="right"/>
              <w:ind w:right="598"/>
              <w:spacing w:after="0"/>
              <w:rPr>
                <w:sz w:val="20"/>
                <w:szCs w:val="20"/>
                <w:color w:val="auto"/>
              </w:rPr>
            </w:pPr>
            <w:r>
              <w:rPr>
                <w:rFonts w:ascii="Courier New" w:cs="Courier New" w:eastAsia="Courier New" w:hAnsi="Courier New"/>
                <w:sz w:val="16"/>
                <w:szCs w:val="16"/>
                <w:color w:val="auto"/>
              </w:rPr>
              <w:t>MARCH 31,</w:t>
            </w:r>
          </w:p>
        </w:tc>
      </w:tr>
      <w:tr>
        <w:trPr>
          <w:trHeight w:val="190"/>
        </w:trPr>
        <w:tc>
          <w:tcPr>
            <w:tcW w:w="3200" w:type="dxa"/>
            <w:vAlign w:val="bottom"/>
          </w:tcPr>
          <w:p>
            <w:pPr>
              <w:spacing w:after="0"/>
              <w:rPr>
                <w:sz w:val="16"/>
                <w:szCs w:val="16"/>
                <w:color w:val="auto"/>
              </w:rPr>
            </w:pPr>
          </w:p>
        </w:tc>
        <w:tc>
          <w:tcPr>
            <w:tcW w:w="2180" w:type="dxa"/>
            <w:vAlign w:val="bottom"/>
            <w:gridSpan w:val="4"/>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2007</w:t>
            </w:r>
          </w:p>
        </w:tc>
        <w:tc>
          <w:tcPr>
            <w:tcW w:w="26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2006</w:t>
            </w:r>
          </w:p>
        </w:tc>
        <w:tc>
          <w:tcPr>
            <w:tcW w:w="24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2007</w:t>
            </w:r>
          </w:p>
        </w:tc>
        <w:tc>
          <w:tcPr>
            <w:tcW w:w="240" w:type="dxa"/>
            <w:vAlign w:val="bottom"/>
          </w:tcPr>
          <w:p>
            <w:pPr>
              <w:spacing w:after="0"/>
              <w:rPr>
                <w:sz w:val="16"/>
                <w:szCs w:val="16"/>
                <w:color w:val="auto"/>
              </w:rPr>
            </w:pPr>
          </w:p>
        </w:tc>
        <w:tc>
          <w:tcPr>
            <w:tcW w:w="8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2006</w:t>
            </w:r>
          </w:p>
        </w:tc>
      </w:tr>
      <w:tr>
        <w:trPr>
          <w:trHeight w:val="190"/>
        </w:trPr>
        <w:tc>
          <w:tcPr>
            <w:tcW w:w="3200" w:type="dxa"/>
            <w:vAlign w:val="bottom"/>
          </w:tcPr>
          <w:p>
            <w:pPr>
              <w:spacing w:after="0"/>
              <w:rPr>
                <w:sz w:val="16"/>
                <w:szCs w:val="16"/>
                <w:color w:val="auto"/>
              </w:rPr>
            </w:pP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8"/>
              </w:rPr>
              <w:t>706,361</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601,129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1,397,393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1,188,157</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Non-GAAP operating income</w:t>
            </w:r>
          </w:p>
        </w:tc>
        <w:tc>
          <w:tcPr>
            <w:tcW w:w="260" w:type="dxa"/>
            <w:vAlign w:val="bottom"/>
          </w:tcPr>
          <w:p>
            <w:pPr>
              <w:spacing w:after="0"/>
              <w:rPr>
                <w:sz w:val="16"/>
                <w:szCs w:val="16"/>
                <w:color w:val="auto"/>
              </w:rPr>
            </w:pP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8"/>
              </w:rPr>
              <w:t>121,437</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106,198</w:t>
            </w:r>
          </w:p>
        </w:tc>
        <w:tc>
          <w:tcPr>
            <w:tcW w:w="24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241,966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207,509</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Non-GAAP net income</w:t>
            </w:r>
          </w:p>
        </w:tc>
        <w:tc>
          <w:tcPr>
            <w:tcW w:w="260" w:type="dxa"/>
            <w:vAlign w:val="bottom"/>
          </w:tcPr>
          <w:p>
            <w:pPr>
              <w:spacing w:after="0"/>
              <w:rPr>
                <w:sz w:val="16"/>
                <w:szCs w:val="16"/>
                <w:color w:val="auto"/>
              </w:rPr>
            </w:pP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8"/>
              </w:rPr>
              <w:t>114,471</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95,534</w:t>
            </w:r>
          </w:p>
        </w:tc>
        <w:tc>
          <w:tcPr>
            <w:tcW w:w="24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232,587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185,509</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Non-GAAP diluted earnings per</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200" w:type="dxa"/>
            <w:vAlign w:val="bottom"/>
          </w:tcPr>
          <w:p>
            <w:pPr>
              <w:ind w:left="300"/>
              <w:spacing w:after="0"/>
              <w:rPr>
                <w:sz w:val="20"/>
                <w:szCs w:val="20"/>
                <w:color w:val="auto"/>
              </w:rPr>
            </w:pPr>
            <w:r>
              <w:rPr>
                <w:rFonts w:ascii="Courier New" w:cs="Courier New" w:eastAsia="Courier New" w:hAnsi="Courier New"/>
                <w:sz w:val="16"/>
                <w:szCs w:val="16"/>
                <w:color w:val="auto"/>
              </w:rPr>
              <w:t>share (1)</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0.52</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0.44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0.87</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200" w:type="dxa"/>
            <w:vAlign w:val="bottom"/>
          </w:tcPr>
          <w:p>
            <w:pPr>
              <w:ind w:left="300"/>
              <w:spacing w:after="0"/>
              <w:rPr>
                <w:sz w:val="20"/>
                <w:szCs w:val="20"/>
                <w:color w:val="auto"/>
              </w:rPr>
            </w:pPr>
            <w:r>
              <w:rPr>
                <w:rFonts w:ascii="Courier New" w:cs="Courier New" w:eastAsia="Courier New" w:hAnsi="Courier New"/>
                <w:sz w:val="16"/>
                <w:szCs w:val="16"/>
                <w:color w:val="auto"/>
              </w:rPr>
              <w:t>of shares outstanding</w:t>
            </w:r>
          </w:p>
        </w:tc>
        <w:tc>
          <w:tcPr>
            <w:tcW w:w="260" w:type="dxa"/>
            <w:vAlign w:val="bottom"/>
          </w:tcPr>
          <w:p>
            <w:pPr>
              <w:spacing w:after="0"/>
              <w:rPr>
                <w:sz w:val="16"/>
                <w:szCs w:val="16"/>
                <w:color w:val="auto"/>
              </w:rPr>
            </w:pPr>
          </w:p>
        </w:tc>
        <w:tc>
          <w:tcPr>
            <w:tcW w:w="82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8"/>
              </w:rPr>
              <w:t>222,499</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217,919</w:t>
            </w:r>
          </w:p>
        </w:tc>
        <w:tc>
          <w:tcPr>
            <w:tcW w:w="24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222,608</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216,394</w:t>
            </w:r>
          </w:p>
        </w:tc>
      </w:tr>
    </w:tbl>
    <w:p>
      <w:pPr>
        <w:spacing w:after="0" w:line="384" w:lineRule="exact"/>
        <w:rPr>
          <w:sz w:val="20"/>
          <w:szCs w:val="20"/>
          <w:color w:val="auto"/>
        </w:rPr>
      </w:pPr>
    </w:p>
    <w:p>
      <w:pPr>
        <w:ind w:left="500" w:right="2339" w:hanging="499"/>
        <w:spacing w:after="0" w:line="251" w:lineRule="auto"/>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impact of assumed conversion of the convertible notes, $985 and $1,970, representing interest expense and amortization of issuance costs, were added back to net income for the three and six months ended March 31, 2007, respectively, and $979 and $1,979 were added back to net income for the three and six months ended March 31, 2006, respectively, for the purpose of computing diluted earnings per share.</w:t>
      </w:r>
    </w:p>
    <w:p>
      <w:pPr>
        <w:sectPr>
          <w:pgSz w:w="11900" w:h="16838" w:orient="portrait"/>
          <w:cols w:equalWidth="0" w:num="1">
            <w:col w:w="10219"/>
          </w:cols>
          <w:pgMar w:left="240" w:top="685" w:right="1440" w:bottom="1440" w:gutter="0" w:footer="0" w:header="0"/>
        </w:sectPr>
      </w:pPr>
    </w:p>
    <w:bookmarkStart w:id="12" w:name="page13"/>
    <w:bookmarkEnd w:id="12"/>
    <w:p>
      <w:pPr>
        <w:jc w:val="center"/>
        <w:ind w:right="3260"/>
        <w:spacing w:after="0"/>
        <w:rPr>
          <w:sz w:val="20"/>
          <w:szCs w:val="20"/>
          <w:color w:val="auto"/>
        </w:rPr>
      </w:pPr>
      <w:r>
        <w:rPr>
          <w:rFonts w:ascii="Courier New" w:cs="Courier New" w:eastAsia="Courier New" w:hAnsi="Courier New"/>
          <w:sz w:val="16"/>
          <w:szCs w:val="16"/>
          <w:color w:val="auto"/>
        </w:rPr>
        <w:t>AMDOCS LIMITED</w:t>
      </w:r>
    </w:p>
    <w:p>
      <w:pPr>
        <w:spacing w:after="0" w:line="8"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RECONCILIATION OF SELECTED FINANCIAL METRICS FROM GAAP TO NON-GAAP</w:t>
      </w:r>
    </w:p>
    <w:p>
      <w:pPr>
        <w:spacing w:after="0" w:line="8"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0" w:type="dxa"/>
            <w:vAlign w:val="bottom"/>
            <w:gridSpan w:val="4"/>
          </w:tcPr>
          <w:p>
            <w:pPr>
              <w:ind w:left="740"/>
              <w:spacing w:after="0"/>
              <w:rPr>
                <w:sz w:val="20"/>
                <w:szCs w:val="20"/>
                <w:color w:val="auto"/>
              </w:rPr>
            </w:pPr>
            <w:r>
              <w:rPr>
                <w:rFonts w:ascii="Courier New" w:cs="Courier New" w:eastAsia="Courier New" w:hAnsi="Courier New"/>
                <w:sz w:val="16"/>
                <w:szCs w:val="16"/>
                <w:color w:val="auto"/>
              </w:rPr>
              <w:t>THREE MONTHS ENDED</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MARCH</w:t>
            </w: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31, 2007</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8240" w:type="dxa"/>
            <w:vAlign w:val="bottom"/>
            <w:gridSpan w:val="1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RECONCILIATION ITEMS</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60" w:type="dxa"/>
            <w:vAlign w:val="bottom"/>
            <w:gridSpan w:val="9"/>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00" w:type="dxa"/>
            <w:vAlign w:val="bottom"/>
            <w:gridSpan w:val="3"/>
          </w:tcPr>
          <w:p>
            <w:pPr>
              <w:jc w:val="center"/>
              <w:ind w:right="58"/>
              <w:spacing w:after="0"/>
              <w:rPr>
                <w:sz w:val="20"/>
                <w:szCs w:val="20"/>
                <w:color w:val="auto"/>
              </w:rPr>
            </w:pPr>
            <w:r>
              <w:rPr>
                <w:rFonts w:ascii="Courier New" w:cs="Courier New" w:eastAsia="Courier New" w:hAnsi="Courier New"/>
                <w:sz w:val="16"/>
                <w:szCs w:val="16"/>
                <w:color w:val="auto"/>
              </w:rPr>
              <w:t>RESTRUCTURING</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AMORTIZATION</w:t>
            </w:r>
          </w:p>
        </w:tc>
        <w:tc>
          <w:tcPr>
            <w:tcW w:w="2300" w:type="dxa"/>
            <w:vAlign w:val="bottom"/>
            <w:gridSpan w:val="3"/>
          </w:tcPr>
          <w:p>
            <w:pPr>
              <w:jc w:val="center"/>
              <w:ind w:right="58"/>
              <w:spacing w:after="0"/>
              <w:rPr>
                <w:sz w:val="20"/>
                <w:szCs w:val="20"/>
                <w:color w:val="auto"/>
              </w:rPr>
            </w:pPr>
            <w:r>
              <w:rPr>
                <w:rFonts w:ascii="Courier New" w:cs="Courier New" w:eastAsia="Courier New" w:hAnsi="Courier New"/>
                <w:sz w:val="16"/>
                <w:szCs w:val="16"/>
                <w:color w:val="auto"/>
              </w:rPr>
              <w:t>CHARGES, IN-PROCESS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OF PURCHASED</w:t>
            </w:r>
          </w:p>
        </w:tc>
        <w:tc>
          <w:tcPr>
            <w:tcW w:w="230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RESEARCH AND</w:t>
            </w:r>
          </w:p>
        </w:tc>
        <w:tc>
          <w:tcPr>
            <w:tcW w:w="13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EQUITY BASED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INTANGIBLE</w:t>
            </w: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DEVELOPMENT</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13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COMPENSATION</w:t>
            </w:r>
          </w:p>
        </w:tc>
        <w:tc>
          <w:tcPr>
            <w:tcW w:w="240" w:type="dxa"/>
            <w:vAlign w:val="bottom"/>
          </w:tcPr>
          <w:p>
            <w:pPr>
              <w:spacing w:after="0"/>
              <w:rPr>
                <w:sz w:val="16"/>
                <w:szCs w:val="16"/>
                <w:color w:val="auto"/>
              </w:rPr>
            </w:pPr>
          </w:p>
        </w:tc>
        <w:tc>
          <w:tcPr>
            <w:tcW w:w="9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TAX</w:t>
            </w: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GAAP</w:t>
            </w:r>
          </w:p>
        </w:tc>
        <w:tc>
          <w:tcPr>
            <w:tcW w:w="440" w:type="dxa"/>
            <w:vAlign w:val="bottom"/>
          </w:tcPr>
          <w:p>
            <w:pPr>
              <w:spacing w:after="0"/>
              <w:rPr>
                <w:sz w:val="16"/>
                <w:szCs w:val="16"/>
                <w:color w:val="auto"/>
              </w:rPr>
            </w:pPr>
          </w:p>
        </w:tc>
        <w:tc>
          <w:tcPr>
            <w:tcW w:w="104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ASSETS</w:t>
            </w:r>
          </w:p>
        </w:tc>
        <w:tc>
          <w:tcPr>
            <w:tcW w:w="840" w:type="dxa"/>
            <w:vAlign w:val="bottom"/>
          </w:tcPr>
          <w:p>
            <w:pPr>
              <w:spacing w:after="0"/>
              <w:rPr>
                <w:sz w:val="16"/>
                <w:szCs w:val="16"/>
                <w:color w:val="auto"/>
              </w:rPr>
            </w:pPr>
          </w:p>
        </w:tc>
        <w:tc>
          <w:tcPr>
            <w:tcW w:w="680" w:type="dxa"/>
            <w:vAlign w:val="bottom"/>
          </w:tcPr>
          <w:p>
            <w:pPr>
              <w:jc w:val="center"/>
              <w:ind w:right="118"/>
              <w:spacing w:after="0"/>
              <w:rPr>
                <w:sz w:val="20"/>
                <w:szCs w:val="20"/>
                <w:color w:val="auto"/>
              </w:rPr>
            </w:pPr>
            <w:r>
              <w:rPr>
                <w:rFonts w:ascii="Courier New" w:cs="Courier New" w:eastAsia="Courier New" w:hAnsi="Courier New"/>
                <w:sz w:val="16"/>
                <w:szCs w:val="16"/>
                <w:color w:val="auto"/>
                <w:w w:val="99"/>
              </w:rPr>
              <w:t>OTHER</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EXPENSE</w:t>
            </w:r>
          </w:p>
        </w:tc>
        <w:tc>
          <w:tcPr>
            <w:tcW w:w="24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EFFECT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NON-GAAP</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3780" w:type="dxa"/>
            <w:vAlign w:val="bottom"/>
            <w:gridSpan w:val="5"/>
          </w:tcPr>
          <w:p>
            <w:pPr>
              <w:jc w:val="right"/>
              <w:ind w:right="198"/>
              <w:spacing w:after="0"/>
              <w:rPr>
                <w:sz w:val="20"/>
                <w:szCs w:val="20"/>
                <w:color w:val="auto"/>
              </w:rPr>
            </w:pPr>
            <w:r>
              <w:rPr>
                <w:rFonts w:ascii="Courier New" w:cs="Courier New" w:eastAsia="Courier New" w:hAnsi="Courier New"/>
                <w:sz w:val="16"/>
                <w:szCs w:val="16"/>
                <w:color w:val="auto"/>
              </w:rPr>
              <w:t>------------   -------------------</w:t>
            </w:r>
          </w:p>
        </w:tc>
        <w:tc>
          <w:tcPr>
            <w:tcW w:w="134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1,016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7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1,016</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Cost of service</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446,860</w:t>
            </w:r>
          </w:p>
        </w:tc>
        <w:tc>
          <w:tcPr>
            <w:tcW w:w="440" w:type="dxa"/>
            <w:vAlign w:val="bottom"/>
          </w:tcPr>
          <w:p>
            <w:pPr>
              <w:spacing w:after="0"/>
              <w:rPr>
                <w:sz w:val="16"/>
                <w:szCs w:val="16"/>
                <w:color w:val="auto"/>
              </w:rPr>
            </w:pPr>
          </w:p>
        </w:tc>
        <w:tc>
          <w:tcPr>
            <w:tcW w:w="10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(6,005)</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440,855</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Research and development</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57,734</w:t>
            </w:r>
          </w:p>
        </w:tc>
        <w:tc>
          <w:tcPr>
            <w:tcW w:w="440" w:type="dxa"/>
            <w:vAlign w:val="bottom"/>
          </w:tcPr>
          <w:p>
            <w:pPr>
              <w:spacing w:after="0"/>
              <w:rPr>
                <w:sz w:val="16"/>
                <w:szCs w:val="16"/>
                <w:color w:val="auto"/>
              </w:rPr>
            </w:pPr>
          </w:p>
        </w:tc>
        <w:tc>
          <w:tcPr>
            <w:tcW w:w="10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(1,587)</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56,147</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administrative</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91,280</w:t>
            </w:r>
          </w:p>
        </w:tc>
        <w:tc>
          <w:tcPr>
            <w:tcW w:w="440" w:type="dxa"/>
            <w:vAlign w:val="bottom"/>
          </w:tcPr>
          <w:p>
            <w:pPr>
              <w:spacing w:after="0"/>
              <w:rPr>
                <w:sz w:val="16"/>
                <w:szCs w:val="16"/>
                <w:color w:val="auto"/>
              </w:rPr>
            </w:pPr>
          </w:p>
        </w:tc>
        <w:tc>
          <w:tcPr>
            <w:tcW w:w="10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(4,374)</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86,906</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purchased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intangible assets</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18,912</w:t>
            </w:r>
          </w:p>
        </w:tc>
        <w:tc>
          <w:tcPr>
            <w:tcW w:w="440" w:type="dxa"/>
            <w:vAlign w:val="bottom"/>
          </w:tcPr>
          <w:p>
            <w:pPr>
              <w:spacing w:after="0"/>
              <w:rPr>
                <w:sz w:val="16"/>
                <w:szCs w:val="16"/>
                <w:color w:val="auto"/>
              </w:rPr>
            </w:pP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8"/>
              </w:rPr>
              <w:t>(18,912)</w:t>
            </w:r>
          </w:p>
        </w:tc>
        <w:tc>
          <w:tcPr>
            <w:tcW w:w="8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Restructuring charges,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in-process research</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and development and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6,761</w:t>
            </w:r>
          </w:p>
        </w:tc>
        <w:tc>
          <w:tcPr>
            <w:tcW w:w="440" w:type="dxa"/>
            <w:vAlign w:val="bottom"/>
          </w:tcPr>
          <w:p>
            <w:pPr>
              <w:spacing w:after="0"/>
              <w:rPr>
                <w:sz w:val="16"/>
                <w:szCs w:val="16"/>
                <w:color w:val="auto"/>
              </w:rPr>
            </w:pPr>
          </w:p>
        </w:tc>
        <w:tc>
          <w:tcPr>
            <w:tcW w:w="10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(6,761)</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622,563</w:t>
            </w:r>
          </w:p>
        </w:tc>
        <w:tc>
          <w:tcPr>
            <w:tcW w:w="440" w:type="dxa"/>
            <w:vAlign w:val="bottom"/>
          </w:tcPr>
          <w:p>
            <w:pPr>
              <w:spacing w:after="0"/>
              <w:rPr>
                <w:sz w:val="16"/>
                <w:szCs w:val="16"/>
                <w:color w:val="auto"/>
              </w:rPr>
            </w:pP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8"/>
              </w:rPr>
              <w:t>(18,912)</w:t>
            </w:r>
          </w:p>
        </w:tc>
        <w:tc>
          <w:tcPr>
            <w:tcW w:w="8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(6,761)</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(11,966)</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584,924</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83,798</w:t>
            </w:r>
          </w:p>
        </w:tc>
        <w:tc>
          <w:tcPr>
            <w:tcW w:w="440" w:type="dxa"/>
            <w:vAlign w:val="bottom"/>
          </w:tcPr>
          <w:p>
            <w:pPr>
              <w:spacing w:after="0"/>
              <w:rPr>
                <w:sz w:val="16"/>
                <w:szCs w:val="16"/>
                <w:color w:val="auto"/>
              </w:rPr>
            </w:pPr>
          </w:p>
        </w:tc>
        <w:tc>
          <w:tcPr>
            <w:tcW w:w="10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18,912</w:t>
            </w:r>
          </w:p>
        </w:tc>
        <w:tc>
          <w:tcPr>
            <w:tcW w:w="8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6,761</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11,966</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121,437</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7,526</w:t>
            </w:r>
          </w:p>
        </w:tc>
        <w:tc>
          <w:tcPr>
            <w:tcW w:w="440" w:type="dxa"/>
            <w:vAlign w:val="bottom"/>
          </w:tcPr>
          <w:p>
            <w:pPr>
              <w:spacing w:after="0"/>
              <w:rPr>
                <w:sz w:val="16"/>
                <w:szCs w:val="16"/>
                <w:color w:val="auto"/>
              </w:rPr>
            </w:pPr>
          </w:p>
        </w:tc>
        <w:tc>
          <w:tcPr>
            <w:tcW w:w="10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10,339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17,865</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87,171</w:t>
            </w:r>
          </w:p>
        </w:tc>
        <w:tc>
          <w:tcPr>
            <w:tcW w:w="14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$ 18,912</w:t>
            </w: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$ 6,761</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$ 11,966</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$(10,339)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$114,471</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THREE MONTHS ENDED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MARCH 31, 2006</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598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RECONCILIATION ITEMS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980" w:type="dxa"/>
            <w:vAlign w:val="bottom"/>
            <w:gridSpan w:val="6"/>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jc w:val="center"/>
              <w:ind w:left="58"/>
              <w:spacing w:after="0"/>
              <w:rPr>
                <w:sz w:val="20"/>
                <w:szCs w:val="20"/>
                <w:color w:val="auto"/>
              </w:rPr>
            </w:pPr>
            <w:r>
              <w:rPr>
                <w:rFonts w:ascii="Courier New" w:cs="Courier New" w:eastAsia="Courier New" w:hAnsi="Courier New"/>
                <w:sz w:val="16"/>
                <w:szCs w:val="16"/>
                <w:color w:val="auto"/>
              </w:rPr>
              <w:t>AMORTIZATION</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jc w:val="center"/>
              <w:ind w:left="58"/>
              <w:spacing w:after="0"/>
              <w:rPr>
                <w:sz w:val="20"/>
                <w:szCs w:val="20"/>
                <w:color w:val="auto"/>
              </w:rPr>
            </w:pPr>
            <w:r>
              <w:rPr>
                <w:rFonts w:ascii="Courier New" w:cs="Courier New" w:eastAsia="Courier New" w:hAnsi="Courier New"/>
                <w:sz w:val="16"/>
                <w:szCs w:val="16"/>
                <w:color w:val="auto"/>
              </w:rPr>
              <w:t>OF PURCHASED</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EQUITY BASED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jc w:val="center"/>
              <w:ind w:left="58"/>
              <w:spacing w:after="0"/>
              <w:rPr>
                <w:sz w:val="20"/>
                <w:szCs w:val="20"/>
                <w:color w:val="auto"/>
              </w:rPr>
            </w:pPr>
            <w:r>
              <w:rPr>
                <w:rFonts w:ascii="Courier New" w:cs="Courier New" w:eastAsia="Courier New" w:hAnsi="Courier New"/>
                <w:sz w:val="16"/>
                <w:szCs w:val="16"/>
                <w:color w:val="auto"/>
              </w:rPr>
              <w:t>INTANGIBLE</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COMPENSATION</w:t>
            </w:r>
          </w:p>
        </w:tc>
        <w:tc>
          <w:tcPr>
            <w:tcW w:w="200" w:type="dxa"/>
            <w:vAlign w:val="bottom"/>
          </w:tcPr>
          <w:p>
            <w:pPr>
              <w:spacing w:after="0"/>
              <w:rPr>
                <w:sz w:val="16"/>
                <w:szCs w:val="16"/>
                <w:color w:val="auto"/>
              </w:rPr>
            </w:pPr>
          </w:p>
        </w:tc>
        <w:tc>
          <w:tcPr>
            <w:tcW w:w="7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TAX</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GAAP</w:t>
            </w:r>
          </w:p>
        </w:tc>
        <w:tc>
          <w:tcPr>
            <w:tcW w:w="440" w:type="dxa"/>
            <w:vAlign w:val="bottom"/>
          </w:tcPr>
          <w:p>
            <w:pPr>
              <w:spacing w:after="0"/>
              <w:rPr>
                <w:sz w:val="16"/>
                <w:szCs w:val="16"/>
                <w:color w:val="auto"/>
              </w:rPr>
            </w:pPr>
          </w:p>
        </w:tc>
        <w:tc>
          <w:tcPr>
            <w:tcW w:w="880" w:type="dxa"/>
            <w:vAlign w:val="bottom"/>
          </w:tcPr>
          <w:p>
            <w:pPr>
              <w:jc w:val="center"/>
              <w:ind w:right="218"/>
              <w:spacing w:after="0"/>
              <w:rPr>
                <w:sz w:val="20"/>
                <w:szCs w:val="20"/>
                <w:color w:val="auto"/>
              </w:rPr>
            </w:pPr>
            <w:r>
              <w:rPr>
                <w:rFonts w:ascii="Courier New" w:cs="Courier New" w:eastAsia="Courier New" w:hAnsi="Courier New"/>
                <w:sz w:val="16"/>
                <w:szCs w:val="16"/>
                <w:color w:val="auto"/>
              </w:rPr>
              <w:t>ASSETS</w:t>
            </w:r>
          </w:p>
        </w:tc>
        <w:tc>
          <w:tcPr>
            <w:tcW w:w="60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EXPENSE</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EFFECT</w:t>
            </w:r>
          </w:p>
        </w:tc>
        <w:tc>
          <w:tcPr>
            <w:tcW w:w="9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NON-GAAP</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center"/>
              <w:ind w:left="5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916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916</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Cost of service</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388,333</w:t>
            </w:r>
          </w:p>
        </w:tc>
        <w:tc>
          <w:tcPr>
            <w:tcW w:w="44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(3,717)</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384,616</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Research and development</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41,823</w:t>
            </w:r>
          </w:p>
        </w:tc>
        <w:tc>
          <w:tcPr>
            <w:tcW w:w="44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(720)</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41,103</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administrative</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73,799</w:t>
            </w:r>
          </w:p>
        </w:tc>
        <w:tc>
          <w:tcPr>
            <w:tcW w:w="44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(5,503)</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68,296</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purchased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intangible assets</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7,469</w:t>
            </w:r>
          </w:p>
        </w:tc>
        <w:tc>
          <w:tcPr>
            <w:tcW w:w="44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(7,469)</w:t>
            </w:r>
          </w:p>
        </w:tc>
        <w:tc>
          <w:tcPr>
            <w:tcW w:w="600" w:type="dxa"/>
            <w:vAlign w:val="bottom"/>
          </w:tcPr>
          <w:p>
            <w:pPr>
              <w:spacing w:after="0"/>
              <w:rPr>
                <w:sz w:val="16"/>
                <w:szCs w:val="16"/>
                <w:color w:val="auto"/>
              </w:rPr>
            </w:pP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512,340</w:t>
            </w:r>
          </w:p>
        </w:tc>
        <w:tc>
          <w:tcPr>
            <w:tcW w:w="44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(7,469)</w:t>
            </w:r>
          </w:p>
        </w:tc>
        <w:tc>
          <w:tcPr>
            <w:tcW w:w="60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(9,940)</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494,931</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88,789</w:t>
            </w:r>
          </w:p>
        </w:tc>
        <w:tc>
          <w:tcPr>
            <w:tcW w:w="44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7,469</w:t>
            </w:r>
          </w:p>
        </w:tc>
        <w:tc>
          <w:tcPr>
            <w:tcW w:w="600" w:type="dxa"/>
            <w:vAlign w:val="bottom"/>
          </w:tcPr>
          <w:p>
            <w:pPr>
              <w:spacing w:after="0"/>
              <w:rPr>
                <w:sz w:val="16"/>
                <w:szCs w:val="16"/>
                <w:color w:val="auto"/>
              </w:rPr>
            </w:pP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9,940</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106,198</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6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17,334</w:t>
            </w:r>
          </w:p>
        </w:tc>
        <w:tc>
          <w:tcPr>
            <w:tcW w:w="44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3,637</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20,971</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81,762</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$ 7,469</w:t>
            </w:r>
          </w:p>
        </w:tc>
        <w:tc>
          <w:tcPr>
            <w:tcW w:w="16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$ 9,940</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$(3,637)</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$ 95,534</w:t>
            </w:r>
          </w:p>
        </w:tc>
      </w:tr>
      <w:tr>
        <w:trPr>
          <w:trHeight w:val="190"/>
        </w:trPr>
        <w:tc>
          <w:tcPr>
            <w:tcW w:w="2900" w:type="dxa"/>
            <w:vAlign w:val="bottom"/>
          </w:tcPr>
          <w:p>
            <w:pPr>
              <w:spacing w:after="0"/>
              <w:rPr>
                <w:sz w:val="16"/>
                <w:szCs w:val="16"/>
                <w:color w:val="auto"/>
              </w:rPr>
            </w:pPr>
          </w:p>
        </w:tc>
        <w:tc>
          <w:tcPr>
            <w:tcW w:w="11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140"/>
          </w:cols>
          <w:pgMar w:left="240" w:top="685" w:right="519" w:bottom="1440" w:gutter="0" w:footer="0" w:header="0"/>
        </w:sectPr>
      </w:pPr>
    </w:p>
    <w:bookmarkStart w:id="13" w:name="page14"/>
    <w:bookmarkEnd w:id="13"/>
    <w:p>
      <w:pPr>
        <w:jc w:val="center"/>
        <w:ind w:right="3640"/>
        <w:spacing w:after="0"/>
        <w:rPr>
          <w:sz w:val="20"/>
          <w:szCs w:val="20"/>
          <w:color w:val="auto"/>
        </w:rPr>
      </w:pPr>
      <w:r>
        <w:rPr>
          <w:rFonts w:ascii="Courier New" w:cs="Courier New" w:eastAsia="Courier New" w:hAnsi="Courier New"/>
          <w:sz w:val="16"/>
          <w:szCs w:val="16"/>
          <w:color w:val="auto"/>
        </w:rPr>
        <w:t>AMDOCS LIMITED</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RECONCILIATION OF SELECTED FINANCIAL METRICS FROM GAAP TO NON-GAAP</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gridSpan w:val="3"/>
          </w:tcPr>
          <w:p>
            <w:pPr>
              <w:jc w:val="right"/>
              <w:ind w:right="118"/>
              <w:spacing w:after="0"/>
              <w:rPr>
                <w:sz w:val="20"/>
                <w:szCs w:val="20"/>
                <w:color w:val="auto"/>
              </w:rPr>
            </w:pPr>
            <w:r>
              <w:rPr>
                <w:rFonts w:ascii="Courier New" w:cs="Courier New" w:eastAsia="Courier New" w:hAnsi="Courier New"/>
                <w:sz w:val="16"/>
                <w:szCs w:val="16"/>
                <w:color w:val="auto"/>
              </w:rPr>
              <w:t>SIX MONTHS ENDED</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MARCH</w:t>
            </w: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31, 2007</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8620" w:type="dxa"/>
            <w:vAlign w:val="bottom"/>
            <w:gridSpan w:val="1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RECONCILIATION ITEMS</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60" w:type="dxa"/>
            <w:vAlign w:val="bottom"/>
            <w:gridSpan w:val="9"/>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20" w:type="dxa"/>
            <w:vAlign w:val="bottom"/>
            <w:gridSpan w:val="3"/>
          </w:tcPr>
          <w:p>
            <w:pPr>
              <w:jc w:val="center"/>
              <w:ind w:right="38"/>
              <w:spacing w:after="0"/>
              <w:rPr>
                <w:sz w:val="20"/>
                <w:szCs w:val="20"/>
                <w:color w:val="auto"/>
              </w:rPr>
            </w:pPr>
            <w:r>
              <w:rPr>
                <w:rFonts w:ascii="Courier New" w:cs="Courier New" w:eastAsia="Courier New" w:hAnsi="Courier New"/>
                <w:sz w:val="16"/>
                <w:szCs w:val="16"/>
                <w:color w:val="auto"/>
              </w:rPr>
              <w:t>RESTRUCTURING</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AMORTIZATION</w:t>
            </w:r>
          </w:p>
        </w:tc>
        <w:tc>
          <w:tcPr>
            <w:tcW w:w="2320" w:type="dxa"/>
            <w:vAlign w:val="bottom"/>
            <w:gridSpan w:val="3"/>
          </w:tcPr>
          <w:p>
            <w:pPr>
              <w:jc w:val="center"/>
              <w:ind w:right="38"/>
              <w:spacing w:after="0"/>
              <w:rPr>
                <w:sz w:val="20"/>
                <w:szCs w:val="20"/>
                <w:color w:val="auto"/>
              </w:rPr>
            </w:pPr>
            <w:r>
              <w:rPr>
                <w:rFonts w:ascii="Courier New" w:cs="Courier New" w:eastAsia="Courier New" w:hAnsi="Courier New"/>
                <w:sz w:val="16"/>
                <w:szCs w:val="16"/>
                <w:color w:val="auto"/>
              </w:rPr>
              <w:t>CHARGES, IN-PROCESS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OF PURCHASED</w:t>
            </w:r>
          </w:p>
        </w:tc>
        <w:tc>
          <w:tcPr>
            <w:tcW w:w="2320" w:type="dxa"/>
            <w:vAlign w:val="bottom"/>
            <w:gridSpan w:val="3"/>
          </w:tcPr>
          <w:p>
            <w:pPr>
              <w:ind w:left="560"/>
              <w:spacing w:after="0"/>
              <w:rPr>
                <w:sz w:val="20"/>
                <w:szCs w:val="20"/>
                <w:color w:val="auto"/>
              </w:rPr>
            </w:pPr>
            <w:r>
              <w:rPr>
                <w:rFonts w:ascii="Courier New" w:cs="Courier New" w:eastAsia="Courier New" w:hAnsi="Courier New"/>
                <w:sz w:val="16"/>
                <w:szCs w:val="16"/>
                <w:color w:val="auto"/>
              </w:rPr>
              <w:t>RESEARCH AND</w:t>
            </w:r>
          </w:p>
        </w:tc>
        <w:tc>
          <w:tcPr>
            <w:tcW w:w="13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EQUITY BASED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INTANGIBLE</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DEVELOPMENT</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13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COMPENSATION</w:t>
            </w:r>
          </w:p>
        </w:tc>
        <w:tc>
          <w:tcPr>
            <w:tcW w:w="240" w:type="dxa"/>
            <w:vAlign w:val="bottom"/>
          </w:tcPr>
          <w:p>
            <w:pPr>
              <w:spacing w:after="0"/>
              <w:rPr>
                <w:sz w:val="16"/>
                <w:szCs w:val="16"/>
                <w:color w:val="auto"/>
              </w:rPr>
            </w:pPr>
          </w:p>
        </w:tc>
        <w:tc>
          <w:tcPr>
            <w:tcW w:w="9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TAX</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GAAP</w:t>
            </w:r>
          </w:p>
        </w:tc>
        <w:tc>
          <w:tcPr>
            <w:tcW w:w="440" w:type="dxa"/>
            <w:vAlign w:val="bottom"/>
          </w:tcPr>
          <w:p>
            <w:pPr>
              <w:spacing w:after="0"/>
              <w:rPr>
                <w:sz w:val="16"/>
                <w:szCs w:val="16"/>
                <w:color w:val="auto"/>
              </w:rPr>
            </w:pPr>
          </w:p>
        </w:tc>
        <w:tc>
          <w:tcPr>
            <w:tcW w:w="102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ASSETS</w:t>
            </w:r>
          </w:p>
        </w:tc>
        <w:tc>
          <w:tcPr>
            <w:tcW w:w="840" w:type="dxa"/>
            <w:vAlign w:val="bottom"/>
          </w:tcPr>
          <w:p>
            <w:pPr>
              <w:spacing w:after="0"/>
              <w:rPr>
                <w:sz w:val="16"/>
                <w:szCs w:val="16"/>
                <w:color w:val="auto"/>
              </w:rPr>
            </w:pPr>
          </w:p>
        </w:tc>
        <w:tc>
          <w:tcPr>
            <w:tcW w:w="700" w:type="dxa"/>
            <w:vAlign w:val="bottom"/>
          </w:tcPr>
          <w:p>
            <w:pPr>
              <w:jc w:val="center"/>
              <w:ind w:right="118"/>
              <w:spacing w:after="0"/>
              <w:rPr>
                <w:sz w:val="20"/>
                <w:szCs w:val="20"/>
                <w:color w:val="auto"/>
              </w:rPr>
            </w:pPr>
            <w:r>
              <w:rPr>
                <w:rFonts w:ascii="Courier New" w:cs="Courier New" w:eastAsia="Courier New" w:hAnsi="Courier New"/>
                <w:sz w:val="16"/>
                <w:szCs w:val="16"/>
                <w:color w:val="auto"/>
              </w:rPr>
              <w:t>OTHER</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EXPENSE</w:t>
            </w:r>
          </w:p>
        </w:tc>
        <w:tc>
          <w:tcPr>
            <w:tcW w:w="240" w:type="dxa"/>
            <w:vAlign w:val="bottom"/>
          </w:tcPr>
          <w:p>
            <w:pPr>
              <w:spacing w:after="0"/>
              <w:rPr>
                <w:sz w:val="16"/>
                <w:szCs w:val="16"/>
                <w:color w:val="auto"/>
              </w:rPr>
            </w:pP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EFFECT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NON-GAAP</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3"/>
          </w:tcPr>
          <w:p>
            <w:pPr>
              <w:jc w:val="center"/>
              <w:ind w:right="3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2,085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2,085</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Cost of service</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881,981</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(12,327)</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869,654</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Research and development</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118,202</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(3,365)</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114,837</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administrative</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180,450</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(11,599)</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168,851</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purchased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intangible assets</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36,610</w:t>
            </w:r>
          </w:p>
        </w:tc>
        <w:tc>
          <w:tcPr>
            <w:tcW w:w="440" w:type="dxa"/>
            <w:vAlign w:val="bottom"/>
          </w:tcPr>
          <w:p>
            <w:pPr>
              <w:spacing w:after="0"/>
              <w:rPr>
                <w:sz w:val="16"/>
                <w:szCs w:val="16"/>
                <w:color w:val="auto"/>
              </w:rPr>
            </w:pP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(36,610)</w:t>
            </w:r>
          </w:p>
        </w:tc>
        <w:tc>
          <w:tcPr>
            <w:tcW w:w="8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Restructuring charges,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in-process research</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and development and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6,761</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(6,761)</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1,226,089</w:t>
            </w:r>
          </w:p>
        </w:tc>
        <w:tc>
          <w:tcPr>
            <w:tcW w:w="440" w:type="dxa"/>
            <w:vAlign w:val="bottom"/>
          </w:tcPr>
          <w:p>
            <w:pPr>
              <w:spacing w:after="0"/>
              <w:rPr>
                <w:sz w:val="16"/>
                <w:szCs w:val="16"/>
                <w:color w:val="auto"/>
              </w:rPr>
            </w:pP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(36,610)</w:t>
            </w:r>
          </w:p>
        </w:tc>
        <w:tc>
          <w:tcPr>
            <w:tcW w:w="8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(6,761)</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(27,291)</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1,155,427</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171,304</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36,610</w:t>
            </w:r>
          </w:p>
        </w:tc>
        <w:tc>
          <w:tcPr>
            <w:tcW w:w="8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6,761</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27,291</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241,966</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13,429</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18,588</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32,017</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180,513</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$ 36,610</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$ 6,761</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$ 27,291</w:t>
            </w:r>
          </w:p>
        </w:tc>
        <w:tc>
          <w:tcPr>
            <w:tcW w:w="11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$(18,588)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232,587</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SIX MONTHS ENDED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MARCH 31, 2006</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6180" w:type="dxa"/>
            <w:vAlign w:val="bottom"/>
            <w:gridSpan w:val="9"/>
          </w:tcPr>
          <w:p>
            <w:pPr>
              <w:ind w:left="160"/>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RECONCILIATION ITEMS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80" w:type="dxa"/>
            <w:vAlign w:val="bottom"/>
            <w:gridSpan w:val="6"/>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379"/>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AMORTIZATION</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OF PURCHASED</w:t>
            </w: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EQUITY BASED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INTANGIBLE</w:t>
            </w: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COMPENSATION</w:t>
            </w:r>
          </w:p>
        </w:tc>
        <w:tc>
          <w:tcPr>
            <w:tcW w:w="200" w:type="dxa"/>
            <w:vAlign w:val="bottom"/>
          </w:tcPr>
          <w:p>
            <w:pPr>
              <w:spacing w:after="0"/>
              <w:rPr>
                <w:sz w:val="16"/>
                <w:szCs w:val="16"/>
                <w:color w:val="auto"/>
              </w:rPr>
            </w:pPr>
          </w:p>
        </w:tc>
        <w:tc>
          <w:tcPr>
            <w:tcW w:w="7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TAX</w:t>
            </w:r>
          </w:p>
        </w:tc>
        <w:tc>
          <w:tcPr>
            <w:tcW w:w="900" w:type="dxa"/>
            <w:vAlign w:val="bottom"/>
          </w:tcPr>
          <w:p>
            <w:pPr>
              <w:spacing w:after="0"/>
              <w:rPr>
                <w:sz w:val="16"/>
                <w:szCs w:val="16"/>
                <w:color w:val="auto"/>
              </w:rPr>
            </w:pPr>
          </w:p>
        </w:tc>
      </w:t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GAAP</w:t>
            </w:r>
          </w:p>
        </w:tc>
        <w:tc>
          <w:tcPr>
            <w:tcW w:w="440" w:type="dxa"/>
            <w:vAlign w:val="bottom"/>
          </w:tcPr>
          <w:p>
            <w:pPr>
              <w:spacing w:after="0"/>
              <w:rPr>
                <w:sz w:val="16"/>
                <w:szCs w:val="16"/>
                <w:color w:val="auto"/>
              </w:rPr>
            </w:pPr>
          </w:p>
        </w:tc>
        <w:tc>
          <w:tcPr>
            <w:tcW w:w="102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EXPENSE</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EFFECT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NON-GAAP</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Cost of license</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1,978</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Cost of service</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762,384</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(8,072)</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754,312</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Research and development</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84,937</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(1,809)</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83,128</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administrative</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152,349</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(11,119)</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141,230</w:t>
            </w:r>
          </w:p>
        </w:tc>
      </w:tr>
      <w:tr>
        <w:trPr>
          <w:trHeight w:val="190"/>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purchased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900" w:type="dxa"/>
            <w:vAlign w:val="bottom"/>
          </w:tcPr>
          <w:p>
            <w:pPr>
              <w:ind w:left="600"/>
              <w:spacing w:after="0"/>
              <w:rPr>
                <w:sz w:val="20"/>
                <w:szCs w:val="20"/>
                <w:color w:val="auto"/>
              </w:rPr>
            </w:pPr>
            <w:r>
              <w:rPr>
                <w:rFonts w:ascii="Courier New" w:cs="Courier New" w:eastAsia="Courier New" w:hAnsi="Courier New"/>
                <w:sz w:val="16"/>
                <w:szCs w:val="16"/>
                <w:color w:val="auto"/>
              </w:rPr>
              <w:t>intangible assets</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15,041</w:t>
            </w:r>
          </w:p>
        </w:tc>
        <w:tc>
          <w:tcPr>
            <w:tcW w:w="440" w:type="dxa"/>
            <w:vAlign w:val="bottom"/>
          </w:tcPr>
          <w:p>
            <w:pPr>
              <w:spacing w:after="0"/>
              <w:rPr>
                <w:sz w:val="16"/>
                <w:szCs w:val="16"/>
                <w:color w:val="auto"/>
              </w:rPr>
            </w:pP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(15,041)</w:t>
            </w:r>
          </w:p>
        </w:tc>
        <w:tc>
          <w:tcPr>
            <w:tcW w:w="46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1,016,689</w:t>
            </w:r>
          </w:p>
        </w:tc>
        <w:tc>
          <w:tcPr>
            <w:tcW w:w="440" w:type="dxa"/>
            <w:vAlign w:val="bottom"/>
          </w:tcPr>
          <w:p>
            <w:pPr>
              <w:spacing w:after="0"/>
              <w:rPr>
                <w:sz w:val="16"/>
                <w:szCs w:val="16"/>
                <w:color w:val="auto"/>
              </w:rPr>
            </w:pPr>
          </w:p>
        </w:tc>
        <w:tc>
          <w:tcPr>
            <w:tcW w:w="102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8"/>
              </w:rPr>
              <w:t>(15,041)</w:t>
            </w:r>
          </w:p>
        </w:tc>
        <w:tc>
          <w:tcPr>
            <w:tcW w:w="460" w:type="dxa"/>
            <w:vAlign w:val="bottom"/>
          </w:tcPr>
          <w:p>
            <w:pPr>
              <w:spacing w:after="0"/>
              <w:rPr>
                <w:sz w:val="16"/>
                <w:szCs w:val="16"/>
                <w:color w:val="auto"/>
              </w:rPr>
            </w:pP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(21,000)</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980,648</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171,468</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15,041</w:t>
            </w:r>
          </w:p>
        </w:tc>
        <w:tc>
          <w:tcPr>
            <w:tcW w:w="46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21,000</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207,509</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33,093</w:t>
            </w:r>
          </w:p>
        </w:tc>
        <w:tc>
          <w:tcPr>
            <w:tcW w:w="4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10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7,628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40,721</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60" w:type="dxa"/>
            <w:vAlign w:val="bottom"/>
          </w:tcPr>
          <w:p>
            <w:pPr>
              <w:ind w:left="16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157,096</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$ 15,041</w:t>
            </w:r>
          </w:p>
        </w:tc>
        <w:tc>
          <w:tcPr>
            <w:tcW w:w="154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$ 21,000</w:t>
            </w:r>
          </w:p>
        </w:tc>
        <w:tc>
          <w:tcPr>
            <w:tcW w:w="9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$(7,628)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$185,509</w:t>
            </w:r>
          </w:p>
        </w:tc>
      </w:tr>
      <w:tr>
        <w:trPr>
          <w:trHeight w:val="190"/>
        </w:trPr>
        <w:tc>
          <w:tcPr>
            <w:tcW w:w="2900" w:type="dxa"/>
            <w:vAlign w:val="bottom"/>
          </w:tcPr>
          <w:p>
            <w:pPr>
              <w:spacing w:after="0"/>
              <w:rPr>
                <w:sz w:val="16"/>
                <w:szCs w:val="16"/>
                <w:color w:val="auto"/>
              </w:rPr>
            </w:pPr>
          </w:p>
        </w:tc>
        <w:tc>
          <w:tcPr>
            <w:tcW w:w="13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685" w:right="139" w:bottom="1440" w:gutter="0" w:footer="0" w:header="0"/>
        </w:sectPr>
      </w:pPr>
    </w:p>
    <w:bookmarkStart w:id="14" w:name="page15"/>
    <w:bookmarkEnd w:id="14"/>
    <w:p>
      <w:pPr>
        <w:jc w:val="center"/>
        <w:ind w:right="2339"/>
        <w:spacing w:after="0"/>
        <w:rPr>
          <w:sz w:val="20"/>
          <w:szCs w:val="20"/>
          <w:color w:val="auto"/>
        </w:rPr>
      </w:pPr>
      <w:r>
        <w:rPr>
          <w:rFonts w:ascii="Courier New" w:cs="Courier New" w:eastAsia="Courier New" w:hAnsi="Courier New"/>
          <w:sz w:val="16"/>
          <w:szCs w:val="16"/>
          <w:color w:val="auto"/>
        </w:rPr>
        <w:t>AMDOCS LIMITED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ind w:left="3260"/>
              <w:spacing w:after="0"/>
              <w:rPr>
                <w:sz w:val="20"/>
                <w:szCs w:val="20"/>
                <w:color w:val="auto"/>
              </w:rPr>
            </w:pPr>
            <w:r>
              <w:rPr>
                <w:rFonts w:ascii="Courier New" w:cs="Courier New" w:eastAsia="Courier New" w:hAnsi="Courier New"/>
                <w:sz w:val="16"/>
                <w:szCs w:val="16"/>
                <w:color w:val="auto"/>
              </w:rPr>
              <w:t>(IN THOUSANDS)</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58"/>
        </w:trPr>
        <w:tc>
          <w:tcPr>
            <w:tcW w:w="6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AS OF</w:t>
            </w:r>
          </w:p>
        </w:tc>
        <w:tc>
          <w:tcPr>
            <w:tcW w:w="980" w:type="dxa"/>
            <w:vAlign w:val="bottom"/>
          </w:tcPr>
          <w:p>
            <w:pPr>
              <w:spacing w:after="0"/>
              <w:rPr>
                <w:sz w:val="24"/>
                <w:szCs w:val="24"/>
                <w:color w:val="auto"/>
              </w:rPr>
            </w:pPr>
          </w:p>
        </w:tc>
      </w:tr>
      <w:tr>
        <w:trPr>
          <w:trHeight w:val="190"/>
        </w:trPr>
        <w:tc>
          <w:tcPr>
            <w:tcW w:w="6760" w:type="dxa"/>
            <w:vAlign w:val="bottom"/>
          </w:tcPr>
          <w:p>
            <w:pPr>
              <w:spacing w:after="0"/>
              <w:rPr>
                <w:sz w:val="16"/>
                <w:szCs w:val="16"/>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676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2007</w:t>
            </w:r>
          </w:p>
        </w:tc>
        <w:tc>
          <w:tcPr>
            <w:tcW w:w="60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2006</w:t>
            </w:r>
          </w:p>
        </w:tc>
      </w:tr>
      <w:tr>
        <w:trPr>
          <w:trHeight w:val="190"/>
        </w:trPr>
        <w:tc>
          <w:tcPr>
            <w:tcW w:w="6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cash equivalents and short-term interest-bearing investments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$1,039,435</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979,381</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Accounts receivable, net, including unbilled of $57,977 and $54,117</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respectively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476,224</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425,805</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Deferred income taxes and taxes receivable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113,650</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136,044</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99,259</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97,476</w:t>
            </w:r>
          </w:p>
        </w:tc>
      </w:tr>
      <w:tr>
        <w:trPr>
          <w:trHeight w:val="190"/>
        </w:trPr>
        <w:tc>
          <w:tcPr>
            <w:tcW w:w="6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Total current assets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1,728,568</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1,638,706</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Equipment, vehicles and leasehold improvements, net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242,784</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220,290</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 assets, net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1,838,383</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1,809,322</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352,282</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294,510</w:t>
            </w:r>
          </w:p>
        </w:tc>
      </w:tr>
      <w:tr>
        <w:trPr>
          <w:trHeight w:val="190"/>
        </w:trPr>
        <w:tc>
          <w:tcPr>
            <w:tcW w:w="6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$4,162,017</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$3,962,828</w:t>
            </w:r>
          </w:p>
        </w:tc>
      </w:tr>
      <w:tr>
        <w:trPr>
          <w:trHeight w:val="190"/>
        </w:trPr>
        <w:tc>
          <w:tcPr>
            <w:tcW w:w="6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Accounts payable and accruals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555,573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597,107</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Short-term portion of capital lease obligations and other financing</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arrangements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1,963</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Deferred revenue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264,663</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253,376</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Deferred income taxes and taxes payable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176,368</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179,241</w:t>
            </w:r>
          </w:p>
        </w:tc>
      </w:tr>
      <w:tr>
        <w:trPr>
          <w:trHeight w:val="190"/>
        </w:trPr>
        <w:tc>
          <w:tcPr>
            <w:tcW w:w="6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ind w:left="400"/>
              <w:spacing w:after="0"/>
              <w:rPr>
                <w:sz w:val="20"/>
                <w:szCs w:val="20"/>
                <w:color w:val="auto"/>
              </w:rPr>
            </w:pPr>
            <w:r>
              <w:rPr>
                <w:rFonts w:ascii="Courier New" w:cs="Courier New" w:eastAsia="Courier New" w:hAnsi="Courier New"/>
                <w:sz w:val="16"/>
                <w:szCs w:val="16"/>
                <w:color w:val="auto"/>
              </w:rPr>
              <w:t>Total current liabilities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998,607</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1,031,687</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0.50% Convertible notes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450,000</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450,000</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Noncurrent liabilities and other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317,824</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326,976</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2,395,586</w:t>
            </w:r>
          </w:p>
        </w:tc>
        <w:tc>
          <w:tcPr>
            <w:tcW w:w="60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2,154,165</w:t>
            </w:r>
          </w:p>
        </w:tc>
      </w:tr>
      <w:tr>
        <w:trPr>
          <w:trHeight w:val="190"/>
        </w:trPr>
        <w:tc>
          <w:tcPr>
            <w:tcW w:w="6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$4,162,017</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$3,962,828</w:t>
            </w:r>
          </w:p>
        </w:tc>
      </w:tr>
      <w:tr>
        <w:trPr>
          <w:trHeight w:val="190"/>
        </w:trPr>
        <w:tc>
          <w:tcPr>
            <w:tcW w:w="6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 # #</w:t>
      </w:r>
    </w:p>
    <w:sectPr>
      <w:pgSz w:w="11900" w:h="16838" w:orient="portrait"/>
      <w:cols w:equalWidth="0" w:num="1">
        <w:col w:w="10219"/>
      </w:cols>
      <w:pgMar w:left="24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2019-12-14T20:09:11Z</dcterms:created>
  <dcterms:modified xsi:type="dcterms:W3CDTF">2019-12-14T20:09:11Z</dcterms:modified>
</cp:coreProperties>
</file>