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60"/>
        <w:spacing w:after="0"/>
        <w:rPr>
          <w:sz w:val="20"/>
          <w:szCs w:val="20"/>
          <w:color w:val="auto"/>
        </w:rPr>
      </w:pPr>
      <w:r>
        <w:rPr>
          <w:rFonts w:ascii="Courier New" w:cs="Courier New" w:eastAsia="Courier New" w:hAnsi="Courier New"/>
          <w:sz w:val="16"/>
          <w:szCs w:val="16"/>
          <w:color w:val="auto"/>
        </w:rPr>
        <w:t>FILED PURSUANT TO RULE 424(B)(3)</w:t>
      </w:r>
    </w:p>
    <w:p>
      <w:pPr>
        <w:spacing w:after="0" w:line="5" w:lineRule="exact"/>
        <w:rPr>
          <w:sz w:val="24"/>
          <w:szCs w:val="24"/>
          <w:color w:val="auto"/>
        </w:rPr>
      </w:pPr>
    </w:p>
    <w:p>
      <w:pPr>
        <w:ind w:left="4060"/>
        <w:spacing w:after="0"/>
        <w:rPr>
          <w:sz w:val="20"/>
          <w:szCs w:val="20"/>
          <w:color w:val="auto"/>
        </w:rPr>
      </w:pPr>
      <w:r>
        <w:rPr>
          <w:rFonts w:ascii="Courier New" w:cs="Courier New" w:eastAsia="Courier New" w:hAnsi="Courier New"/>
          <w:sz w:val="15"/>
          <w:szCs w:val="15"/>
          <w:color w:val="auto"/>
        </w:rPr>
        <w:t>REGISTRATION STATEMENT NO. 333-114344</w:t>
      </w:r>
    </w:p>
    <w:p>
      <w:pPr>
        <w:spacing w:after="0" w:line="372"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$450,000,000</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0.50% CONVERTIBLE SENIOR NOTES DUE 2024</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10,435,995 ORDINARY SHARES ISSUABLE UPON THE CONVERSION OF THE NOTES</w:t>
      </w:r>
    </w:p>
    <w:p>
      <w:pPr>
        <w:spacing w:after="0" w:line="183" w:lineRule="exact"/>
        <w:rPr>
          <w:sz w:val="24"/>
          <w:szCs w:val="24"/>
          <w:color w:val="auto"/>
        </w:rPr>
      </w:pPr>
    </w:p>
    <w:tbl>
      <w:tblPr>
        <w:tblLayout w:type="fixed"/>
        <w:tblInd w:w="940" w:type="dxa"/>
        <w:tblCellMar>
          <w:top w:w="0" w:type="dxa"/>
          <w:left w:w="0" w:type="dxa"/>
          <w:bottom w:w="0" w:type="dxa"/>
          <w:right w:w="0" w:type="dxa"/>
        </w:tblCellMar>
      </w:tblPr>
      <w:tr>
        <w:trPr>
          <w:trHeight w:val="181"/>
        </w:trPr>
        <w:tc>
          <w:tcPr>
            <w:tcW w:w="1560" w:type="dxa"/>
            <w:vAlign w:val="bottom"/>
          </w:tcPr>
          <w:p>
            <w:pPr>
              <w:ind w:left="580"/>
              <w:spacing w:after="0"/>
              <w:rPr>
                <w:sz w:val="20"/>
                <w:szCs w:val="20"/>
                <w:color w:val="auto"/>
              </w:rPr>
            </w:pPr>
            <w:r>
              <w:rPr>
                <w:rFonts w:ascii="Courier New" w:cs="Courier New" w:eastAsia="Courier New" w:hAnsi="Courier New"/>
                <w:sz w:val="16"/>
                <w:szCs w:val="16"/>
                <w:color w:val="auto"/>
                <w:w w:val="99"/>
              </w:rPr>
              <w:t>PROSPECTUS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SUPPLEMENT NO.</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DATED</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APRIL 4, 2006</w:t>
            </w:r>
          </w:p>
        </w:tc>
      </w:tr>
      <w:tr>
        <w:trPr>
          <w:trHeight w:val="182"/>
        </w:trPr>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 THE PROSPECTUS DATED OCTOBER</w:t>
            </w:r>
          </w:p>
        </w:tc>
        <w:tc>
          <w:tcPr>
            <w:tcW w:w="27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31, 2005, AS SUPPLEMENTED BY</w:t>
            </w:r>
          </w:p>
        </w:tc>
      </w:tr>
      <w:tr>
        <w:trPr>
          <w:trHeight w:val="182"/>
        </w:trPr>
        <w:tc>
          <w:tcPr>
            <w:tcW w:w="1560" w:type="dxa"/>
            <w:vAlign w:val="bottom"/>
          </w:tcPr>
          <w:p>
            <w:pPr>
              <w:ind w:left="580"/>
              <w:spacing w:after="0"/>
              <w:rPr>
                <w:sz w:val="20"/>
                <w:szCs w:val="20"/>
                <w:color w:val="auto"/>
              </w:rPr>
            </w:pPr>
            <w:r>
              <w:rPr>
                <w:rFonts w:ascii="Courier New" w:cs="Courier New" w:eastAsia="Courier New" w:hAnsi="Courier New"/>
                <w:sz w:val="16"/>
                <w:szCs w:val="16"/>
                <w:color w:val="auto"/>
                <w:w w:val="99"/>
              </w:rPr>
              <w:t>PROSPECTUS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SUPPLEMENT NO.</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DATED</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MARCH 23, 2006</w:t>
            </w:r>
          </w:p>
        </w:tc>
      </w:tr>
    </w:tbl>
    <w:p>
      <w:pPr>
        <w:spacing w:after="0" w:line="368" w:lineRule="exact"/>
        <w:rPr>
          <w:sz w:val="24"/>
          <w:szCs w:val="24"/>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This prospectus supplement relates to an aggregate principal amount of $450 million of 0.50% Convertible Senior Notes due 2024 and the 10,435,995 ordinary shares issuable upon conversion of the notes.</w:t>
      </w:r>
    </w:p>
    <w:p>
      <w:pPr>
        <w:spacing w:after="0" w:line="188" w:lineRule="exact"/>
        <w:rPr>
          <w:sz w:val="24"/>
          <w:szCs w:val="24"/>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This prospectus supplement should be read in conjunction with and may not be delivered or utilized without our prospectus dated October 31, 2005, including any amendments or supplements thereto. The terms of the notes are set forth in the prospectus. The notes are not listed on any securities exchange. The notes are designated for trading in the PORTAL market. Our ordinary shares are traded on the New York Stock Exchange under the symbol "DOX."</w:t>
      </w:r>
    </w:p>
    <w:p>
      <w:pPr>
        <w:spacing w:after="0" w:line="173"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SEE "RISK FACTORS" BEGINNING ON PAGE 8 OF THE PROSPECTUS TO READ ABOUT FACTORS YOU SHOULD CONSIDER BEFORE INVESTING IN THE NOTES OR OUR ORDINARY SHARES.</w:t>
      </w:r>
    </w:p>
    <w:p>
      <w:pPr>
        <w:spacing w:after="0" w:line="16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417" w:right="1440" w:bottom="1440" w:gutter="0" w:footer="0" w:header="0"/>
        </w:sectPr>
      </w:pPr>
    </w:p>
    <w:bookmarkStart w:id="1" w:name="page2"/>
    <w:bookmarkEnd w:id="1"/>
    <w:p>
      <w:pPr>
        <w:ind w:left="3" w:right="4060"/>
        <w:spacing w:after="0" w:line="258" w:lineRule="auto"/>
        <w:rPr>
          <w:sz w:val="20"/>
          <w:szCs w:val="20"/>
          <w:color w:val="auto"/>
        </w:rPr>
      </w:pPr>
      <w:r>
        <w:rPr>
          <w:rFonts w:ascii="Courier New" w:cs="Courier New" w:eastAsia="Courier New" w:hAnsi="Courier New"/>
          <w:sz w:val="15"/>
          <w:szCs w:val="15"/>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204,154,829 of our ordinary shares outstanding as of March 31, 2006. The information set forth in the table supplements or supersedes, with respect to the securityholders listed below, the information in the table appearing under the heading "Selling Securityholders" beginning on page 49 of the prospectus dated October 31, 2005.</w:t>
      </w:r>
    </w:p>
    <w:p>
      <w:pPr>
        <w:spacing w:after="0" w:line="175" w:lineRule="exact"/>
        <w:rPr>
          <w:sz w:val="20"/>
          <w:szCs w:val="20"/>
          <w:color w:val="auto"/>
        </w:rPr>
      </w:pPr>
    </w:p>
    <w:p>
      <w:pPr>
        <w:ind w:left="3" w:right="3960"/>
        <w:spacing w:after="0"/>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 of 1933, as amended.</w:t>
      </w:r>
    </w:p>
    <w:p>
      <w:pPr>
        <w:spacing w:after="0" w:line="189" w:lineRule="exact"/>
        <w:rPr>
          <w:sz w:val="20"/>
          <w:szCs w:val="20"/>
          <w:color w:val="auto"/>
        </w:rPr>
      </w:pPr>
    </w:p>
    <w:p>
      <w:pPr>
        <w:ind w:left="3" w:right="3960"/>
        <w:spacing w:after="0" w:line="258" w:lineRule="auto"/>
        <w:rPr>
          <w:sz w:val="20"/>
          <w:szCs w:val="20"/>
          <w:color w:val="auto"/>
        </w:rPr>
      </w:pPr>
      <w:r>
        <w:rPr>
          <w:rFonts w:ascii="Courier New" w:cs="Courier New" w:eastAsia="Courier New" w:hAnsi="Courier New"/>
          <w:sz w:val="15"/>
          <w:szCs w:val="15"/>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176" w:lineRule="exact"/>
        <w:rPr>
          <w:sz w:val="20"/>
          <w:szCs w:val="20"/>
          <w:color w:val="auto"/>
        </w:rPr>
      </w:pPr>
    </w:p>
    <w:p>
      <w:pPr>
        <w:ind w:left="3" w:right="4060"/>
        <w:spacing w:after="0" w:line="239" w:lineRule="auto"/>
        <w:rPr>
          <w:sz w:val="20"/>
          <w:szCs w:val="20"/>
          <w:color w:val="auto"/>
        </w:rPr>
      </w:pPr>
      <w:r>
        <w:rPr>
          <w:rFonts w:ascii="Courier New" w:cs="Courier New" w:eastAsia="Courier New" w:hAnsi="Courier New"/>
          <w:sz w:val="16"/>
          <w:szCs w:val="16"/>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ectPr>
          <w:pgSz w:w="11900" w:h="16838" w:orient="portrait"/>
          <w:cols w:equalWidth="0" w:num="1">
            <w:col w:w="11523"/>
          </w:cols>
          <w:pgMar w:left="237" w:top="84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NAME OF SELLING SECURITYHOLDER</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GLG Market Neutral Fund......................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AMOUNT OF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THAT MAY</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BE SOLD ($)</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ORDINARY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 OWNED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UPON CONVERSION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 THE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PERCENTAGE</w:t>
      </w:r>
    </w:p>
    <w:p>
      <w:pPr>
        <w:spacing w:after="0" w:line="1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115,955</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NOTES</w:t>
      </w:r>
    </w:p>
    <w:p>
      <w:pPr>
        <w:spacing w:after="0" w:line="1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BENEFICIALLY</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OWNED AFTER</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OFFERING</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ORDINARY SHARES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BENEFICIALLY OWNED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AFTER OFFERING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NUMBER</w:t>
        <w:tab/>
        <w:t>PERCENTAGE</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w:t>
        <w:tab/>
        <w:t>----------</w:t>
      </w:r>
    </w:p>
    <w:p>
      <w:pPr>
        <w:spacing w:after="0" w:line="1" w:lineRule="exact"/>
        <w:rPr>
          <w:sz w:val="20"/>
          <w:szCs w:val="20"/>
          <w:color w:val="auto"/>
        </w:rPr>
      </w:pPr>
    </w:p>
    <w:p>
      <w:pPr>
        <w:ind w:left="280"/>
        <w:spacing w:after="0"/>
        <w:tabs>
          <w:tab w:leader="none" w:pos="1200" w:val="left"/>
        </w:tabs>
        <w:rPr>
          <w:sz w:val="20"/>
          <w:szCs w:val="20"/>
          <w:color w:val="auto"/>
        </w:rPr>
      </w:pP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5">
            <w:col w:w="4263" w:space="180"/>
            <w:col w:w="1700" w:space="200"/>
            <w:col w:w="1880" w:space="0"/>
            <w:col w:w="1420" w:space="100"/>
            <w:col w:w="1780"/>
          </w:cols>
          <w:pgMar w:left="237" w:top="845" w:right="139" w:bottom="1440" w:gutter="0" w:footer="0" w:header="0"/>
          <w:type w:val="continuous"/>
        </w:sectPr>
      </w:pPr>
    </w:p>
    <w:p>
      <w:pPr>
        <w:ind w:left="383"/>
        <w:spacing w:after="0"/>
        <w:rPr>
          <w:sz w:val="20"/>
          <w:szCs w:val="20"/>
          <w:color w:val="auto"/>
        </w:rPr>
      </w:pPr>
      <w:r>
        <w:rPr>
          <w:rFonts w:ascii="Courier New" w:cs="Courier New" w:eastAsia="Courier New" w:hAnsi="Courier New"/>
          <w:sz w:val="16"/>
          <w:szCs w:val="16"/>
          <w:color w:val="auto"/>
        </w:rPr>
        <w:t>GLG Partners LP</w:t>
      </w:r>
    </w:p>
    <w:p>
      <w:pPr>
        <w:spacing w:after="0" w:line="1"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One Curzon Street</w:t>
      </w:r>
    </w:p>
    <w:p>
      <w:pPr>
        <w:spacing w:after="0" w:line="5" w:lineRule="exact"/>
        <w:rPr>
          <w:sz w:val="20"/>
          <w:szCs w:val="20"/>
          <w:color w:val="auto"/>
        </w:rPr>
      </w:pPr>
    </w:p>
    <w:p>
      <w:pPr>
        <w:ind w:left="383"/>
        <w:spacing w:after="0"/>
        <w:rPr>
          <w:sz w:val="20"/>
          <w:szCs w:val="20"/>
          <w:color w:val="auto"/>
        </w:rPr>
      </w:pPr>
      <w:r>
        <w:rPr>
          <w:rFonts w:ascii="Courier New" w:cs="Courier New" w:eastAsia="Courier New" w:hAnsi="Courier New"/>
          <w:sz w:val="15"/>
          <w:szCs w:val="15"/>
          <w:color w:val="auto"/>
        </w:rPr>
        <w:t>London W1J5HB United Kingdom</w:t>
      </w:r>
    </w:p>
    <w:p>
      <w:pPr>
        <w:sectPr>
          <w:pgSz w:w="11900" w:h="16838" w:orient="portrait"/>
          <w:cols w:equalWidth="0" w:num="1">
            <w:col w:w="11523"/>
          </w:cols>
          <w:pgMar w:left="237" w:top="845"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Less than one percent.</w:t>
      </w:r>
    </w:p>
    <w:p>
      <w:pPr>
        <w:spacing w:after="0" w:line="5" w:lineRule="exact"/>
        <w:rPr>
          <w:sz w:val="20"/>
          <w:szCs w:val="20"/>
          <w:color w:val="auto"/>
        </w:rPr>
      </w:pPr>
    </w:p>
    <w:p>
      <w:pPr>
        <w:ind w:left="463" w:right="4140" w:hanging="463"/>
        <w:spacing w:after="0" w:line="239"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88" w:lineRule="exact"/>
        <w:rPr>
          <w:rFonts w:ascii="Courier New" w:cs="Courier New" w:eastAsia="Courier New" w:hAnsi="Courier New"/>
          <w:sz w:val="16"/>
          <w:szCs w:val="16"/>
          <w:color w:val="auto"/>
        </w:rPr>
      </w:pPr>
    </w:p>
    <w:p>
      <w:pPr>
        <w:ind w:left="463" w:right="5100"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is a registered broker-dealer and an "underwriter" within the meaning of the Securities Act.</w:t>
      </w:r>
    </w:p>
    <w:p>
      <w:pPr>
        <w:spacing w:after="0" w:line="366"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The date of this prospectus supplement is April 4, 2006</w:t>
      </w:r>
    </w:p>
    <w:sectPr>
      <w:pgSz w:w="11900" w:h="16838" w:orient="portrait"/>
      <w:cols w:equalWidth="0" w:num="1">
        <w:col w:w="11523"/>
      </w:cols>
      <w:pgMar w:left="237" w:top="84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2019-12-12T02:39:47Z</dcterms:created>
  <dcterms:modified xsi:type="dcterms:W3CDTF">2019-12-12T02:39:47Z</dcterms:modified>
</cp:coreProperties>
</file>