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8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Quarter Ended March 31, 2015</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0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860"/>
        <w:spacing w:after="0" w:line="207" w:lineRule="exact"/>
        <w:tabs>
          <w:tab w:leader="none" w:pos="5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-10160</wp:posOffset>
            </wp:positionV>
            <wp:extent cx="342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1">
            <w:col w:w="10580"/>
          </w:cols>
          <w:pgMar w:left="240" w:top="230" w:right="10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40" w:type="dxa"/>
            <w:vAlign w:val="bottom"/>
            <w:gridSpan w:val="18"/>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980" w:type="dxa"/>
            <w:vAlign w:val="bottom"/>
          </w:tcPr>
          <w:p>
            <w:pPr>
              <w:spacing w:after="0"/>
              <w:rPr>
                <w:sz w:val="17"/>
                <w:szCs w:val="17"/>
                <w:color w:val="auto"/>
              </w:rPr>
            </w:pPr>
          </w:p>
        </w:tc>
      </w:tr>
      <w:tr>
        <w:trPr>
          <w:trHeight w:val="534"/>
        </w:trPr>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20" w:type="dxa"/>
            <w:vAlign w:val="bottom"/>
            <w:gridSpan w:val="3"/>
          </w:tcPr>
          <w:p>
            <w:pPr>
              <w:jc w:val="center"/>
              <w:ind w:right="2720"/>
              <w:spacing w:after="0"/>
              <w:rPr>
                <w:sz w:val="20"/>
                <w:szCs w:val="20"/>
                <w:color w:val="auto"/>
              </w:rPr>
            </w:pPr>
            <w:r>
              <w:rPr>
                <w:rFonts w:ascii="Arial" w:cs="Arial" w:eastAsia="Arial" w:hAnsi="Arial"/>
                <w:sz w:val="18"/>
                <w:szCs w:val="18"/>
                <w:color w:val="auto"/>
              </w:rPr>
              <w:t>AMDOCS LIMITED</w:t>
            </w:r>
          </w:p>
        </w:tc>
        <w:tc>
          <w:tcPr>
            <w:tcW w:w="198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00" w:type="dxa"/>
            <w:vAlign w:val="bottom"/>
            <w:gridSpan w:val="2"/>
          </w:tcPr>
          <w:p>
            <w:pPr>
              <w:jc w:val="center"/>
              <w:ind w:right="2940"/>
              <w:spacing w:after="0"/>
              <w:rPr>
                <w:sz w:val="20"/>
                <w:szCs w:val="20"/>
                <w:color w:val="auto"/>
              </w:rPr>
            </w:pPr>
            <w:r>
              <w:rPr>
                <w:rFonts w:ascii="Arial" w:cs="Arial" w:eastAsia="Arial" w:hAnsi="Arial"/>
                <w:sz w:val="18"/>
                <w:szCs w:val="18"/>
                <w:color w:val="auto"/>
                <w:w w:val="97"/>
              </w:rPr>
              <w:t>FORM 6-K</w:t>
            </w:r>
          </w:p>
        </w:tc>
        <w:tc>
          <w:tcPr>
            <w:tcW w:w="198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320" w:type="dxa"/>
            <w:vAlign w:val="bottom"/>
            <w:gridSpan w:val="5"/>
          </w:tcPr>
          <w:p>
            <w:pPr>
              <w:jc w:val="center"/>
              <w:ind w:right="1920"/>
              <w:spacing w:after="0"/>
              <w:rPr>
                <w:sz w:val="20"/>
                <w:szCs w:val="20"/>
                <w:color w:val="auto"/>
              </w:rPr>
            </w:pPr>
            <w:r>
              <w:rPr>
                <w:rFonts w:ascii="Arial" w:cs="Arial" w:eastAsia="Arial" w:hAnsi="Arial"/>
                <w:sz w:val="18"/>
                <w:szCs w:val="18"/>
                <w:color w:val="auto"/>
                <w:w w:val="92"/>
              </w:rPr>
              <w:t>REPORT OF FOREIGN PRIVATE ISSUER</w:t>
            </w:r>
          </w:p>
        </w:tc>
        <w:tc>
          <w:tcPr>
            <w:tcW w:w="198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80" w:type="dxa"/>
            <w:vAlign w:val="bottom"/>
            <w:gridSpan w:val="7"/>
          </w:tcPr>
          <w:p>
            <w:pPr>
              <w:jc w:val="center"/>
              <w:ind w:right="1580"/>
              <w:spacing w:after="0"/>
              <w:rPr>
                <w:sz w:val="20"/>
                <w:szCs w:val="20"/>
                <w:color w:val="auto"/>
              </w:rPr>
            </w:pPr>
            <w:r>
              <w:rPr>
                <w:rFonts w:ascii="Arial" w:cs="Arial" w:eastAsia="Arial" w:hAnsi="Arial"/>
                <w:sz w:val="18"/>
                <w:szCs w:val="18"/>
                <w:color w:val="auto"/>
                <w:w w:val="94"/>
              </w:rPr>
              <w:t>FOR THE QUARTER ENDED MARCH 31, 2015</w:t>
            </w:r>
          </w:p>
        </w:tc>
        <w:tc>
          <w:tcPr>
            <w:tcW w:w="198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00" w:type="dxa"/>
            <w:vAlign w:val="bottom"/>
            <w:gridSpan w:val="2"/>
          </w:tcPr>
          <w:p>
            <w:pPr>
              <w:jc w:val="center"/>
              <w:ind w:right="2940"/>
              <w:spacing w:after="0"/>
              <w:rPr>
                <w:sz w:val="20"/>
                <w:szCs w:val="20"/>
                <w:color w:val="auto"/>
              </w:rPr>
            </w:pPr>
            <w:r>
              <w:rPr>
                <w:rFonts w:ascii="Arial" w:cs="Arial" w:eastAsia="Arial" w:hAnsi="Arial"/>
                <w:sz w:val="18"/>
                <w:szCs w:val="18"/>
                <w:color w:val="auto"/>
              </w:rPr>
              <w:t>INDEX</w:t>
            </w:r>
          </w:p>
        </w:tc>
        <w:tc>
          <w:tcPr>
            <w:tcW w:w="1980" w:type="dxa"/>
            <w:vAlign w:val="bottom"/>
          </w:tcPr>
          <w:p>
            <w:pPr>
              <w:spacing w:after="0"/>
              <w:rPr>
                <w:sz w:val="24"/>
                <w:szCs w:val="24"/>
                <w:color w:val="auto"/>
              </w:rPr>
            </w:pPr>
          </w:p>
        </w:tc>
      </w:tr>
      <w:tr>
        <w:trPr>
          <w:trHeight w:val="419"/>
        </w:trPr>
        <w:tc>
          <w:tcPr>
            <w:tcW w:w="93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3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3">
              <w:r>
                <w:rPr>
                  <w:rFonts w:ascii="Arial" w:cs="Arial" w:eastAsia="Arial" w:hAnsi="Arial"/>
                  <w:sz w:val="18"/>
                  <w:szCs w:val="18"/>
                  <w:color w:val="0000EE"/>
                  <w:w w:val="94"/>
                </w:rPr>
                <w:t>Item 1.</w:t>
              </w:r>
            </w:hyperlink>
          </w:p>
        </w:tc>
        <w:tc>
          <w:tcPr>
            <w:tcW w:w="1940" w:type="dxa"/>
            <w:vAlign w:val="bottom"/>
            <w:tcBorders>
              <w:top w:val="single" w:sz="8" w:color="0000EE"/>
            </w:tcBorders>
            <w:gridSpan w:val="6"/>
          </w:tcPr>
          <w:p>
            <w:pPr>
              <w:ind w:lef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500" w:type="dxa"/>
            <w:vAlign w:val="bottom"/>
            <w:gridSpan w:val="9"/>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2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Consolidated Financial Statements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Consolidated Balance Sheets</w:t>
              </w:r>
            </w:hyperlink>
          </w:p>
        </w:tc>
        <w:tc>
          <w:tcPr>
            <w:tcW w:w="840" w:type="dxa"/>
            <w:vAlign w:val="bottom"/>
            <w:tcBorders>
              <w:top w:val="single" w:sz="8" w:color="0000EE"/>
            </w:tcBorders>
            <w:gridSpan w:val="3"/>
          </w:tcPr>
          <w:p>
            <w:pPr>
              <w:spacing w:after="0"/>
              <w:rPr>
                <w:sz w:val="17"/>
                <w:szCs w:val="17"/>
                <w:color w:val="auto"/>
              </w:rPr>
            </w:pPr>
          </w:p>
        </w:tc>
        <w:tc>
          <w:tcPr>
            <w:tcW w:w="5320" w:type="dxa"/>
            <w:vAlign w:val="bottom"/>
            <w:gridSpan w:val="5"/>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Income</w:t>
              </w:r>
            </w:hyperlink>
          </w:p>
        </w:tc>
        <w:tc>
          <w:tcPr>
            <w:tcW w:w="5680" w:type="dxa"/>
            <w:vAlign w:val="bottom"/>
            <w:gridSpan w:val="7"/>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40" w:type="dxa"/>
            <w:vAlign w:val="bottom"/>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Statements of Cash Flows</w:t>
              </w:r>
            </w:hyperlink>
          </w:p>
        </w:tc>
        <w:tc>
          <w:tcPr>
            <w:tcW w:w="860" w:type="dxa"/>
            <w:vAlign w:val="bottom"/>
            <w:tcBorders>
              <w:top w:val="single" w:sz="8" w:color="0000EE"/>
            </w:tcBorders>
            <w:gridSpan w:val="3"/>
          </w:tcPr>
          <w:p>
            <w:pPr>
              <w:spacing w:after="0"/>
              <w:rPr>
                <w:sz w:val="17"/>
                <w:szCs w:val="17"/>
                <w:color w:val="auto"/>
              </w:rPr>
            </w:pPr>
          </w:p>
        </w:tc>
        <w:tc>
          <w:tcPr>
            <w:tcW w:w="4520" w:type="dxa"/>
            <w:vAlign w:val="bottom"/>
            <w:gridSpan w:val="3"/>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Consolidated Financial Statements</w:t>
              </w:r>
            </w:hyperlink>
          </w:p>
        </w:tc>
        <w:tc>
          <w:tcPr>
            <w:tcW w:w="4300" w:type="dxa"/>
            <w:vAlign w:val="bottom"/>
            <w:gridSpan w:val="2"/>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Item 2.</w:t>
              </w:r>
            </w:hyperlink>
          </w:p>
        </w:tc>
        <w:tc>
          <w:tcPr>
            <w:tcW w:w="3400" w:type="dxa"/>
            <w:vAlign w:val="bottom"/>
            <w:tcBorders>
              <w:bottom w:val="single" w:sz="8" w:color="0000EE"/>
            </w:tcBorders>
            <w:gridSpan w:val="11"/>
          </w:tcPr>
          <w:p>
            <w:pPr>
              <w:ind w:left="20"/>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Operating and Financial Review and Prospects</w:t>
              </w:r>
            </w:hyperlink>
          </w:p>
        </w:tc>
        <w:tc>
          <w:tcPr>
            <w:tcW w:w="5040" w:type="dxa"/>
            <w:vAlign w:val="bottom"/>
            <w:gridSpan w:val="4"/>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54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w:anchor="page25">
              <w:r>
                <w:rPr>
                  <w:rFonts w:ascii="Arial" w:cs="Arial" w:eastAsia="Arial" w:hAnsi="Arial"/>
                  <w:sz w:val="18"/>
                  <w:szCs w:val="18"/>
                  <w:color w:val="0000EE"/>
                  <w:w w:val="96"/>
                </w:rPr>
                <w:t>PART II OTHER INFORMATION</w:t>
              </w:r>
            </w:hyperlink>
          </w:p>
        </w:tc>
        <w:tc>
          <w:tcPr>
            <w:tcW w:w="6800" w:type="dxa"/>
            <w:vAlign w:val="bottom"/>
            <w:gridSpan w:val="10"/>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360" w:type="dxa"/>
            <w:vAlign w:val="bottom"/>
          </w:tcPr>
          <w:p>
            <w:pPr>
              <w:spacing w:after="0"/>
              <w:rPr>
                <w:sz w:val="17"/>
                <w:szCs w:val="17"/>
                <w:color w:val="auto"/>
              </w:rPr>
            </w:pPr>
          </w:p>
        </w:tc>
        <w:tc>
          <w:tcPr>
            <w:tcW w:w="540" w:type="dxa"/>
            <w:vAlign w:val="bottom"/>
            <w:gridSpan w:val="2"/>
          </w:tcPr>
          <w:p>
            <w:pPr>
              <w:spacing w:after="0" w:line="196" w:lineRule="exact"/>
              <w:rPr>
                <w:rFonts w:ascii="Arial" w:cs="Arial" w:eastAsia="Arial" w:hAnsi="Arial"/>
                <w:sz w:val="18"/>
                <w:szCs w:val="18"/>
                <w:color w:val="0000EE"/>
                <w:w w:val="94"/>
              </w:rPr>
            </w:pPr>
            <w:hyperlink w:anchor="page25">
              <w:r>
                <w:rPr>
                  <w:rFonts w:ascii="Arial" w:cs="Arial" w:eastAsia="Arial" w:hAnsi="Arial"/>
                  <w:sz w:val="18"/>
                  <w:szCs w:val="18"/>
                  <w:color w:val="0000EE"/>
                  <w:w w:val="94"/>
                </w:rPr>
                <w:t>Item 1.</w:t>
              </w:r>
            </w:hyperlink>
          </w:p>
        </w:tc>
        <w:tc>
          <w:tcPr>
            <w:tcW w:w="8440" w:type="dxa"/>
            <w:vAlign w:val="bottom"/>
            <w:gridSpan w:val="15"/>
          </w:tcPr>
          <w:p>
            <w:pPr>
              <w:ind w:left="20"/>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Changes in Securities, Use of Proceeds and Issuer Purchases of Equity Securities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360" w:type="dxa"/>
            <w:vAlign w:val="bottom"/>
          </w:tcPr>
          <w:p>
            <w:pPr>
              <w:spacing w:after="0"/>
              <w:rPr>
                <w:sz w:val="17"/>
                <w:szCs w:val="17"/>
                <w:color w:val="auto"/>
              </w:rPr>
            </w:pPr>
          </w:p>
        </w:tc>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25">
              <w:r>
                <w:rPr>
                  <w:rFonts w:ascii="Arial" w:cs="Arial" w:eastAsia="Arial" w:hAnsi="Arial"/>
                  <w:sz w:val="18"/>
                  <w:szCs w:val="18"/>
                  <w:color w:val="0000EE"/>
                  <w:w w:val="94"/>
                </w:rPr>
                <w:t>Item 2.</w:t>
              </w:r>
            </w:hyperlink>
          </w:p>
        </w:tc>
        <w:tc>
          <w:tcPr>
            <w:tcW w:w="5860" w:type="dxa"/>
            <w:vAlign w:val="bottom"/>
            <w:tcBorders>
              <w:top w:val="single" w:sz="8" w:color="0000EE"/>
            </w:tcBorders>
            <w:gridSpan w:val="14"/>
          </w:tcPr>
          <w:p>
            <w:pPr>
              <w:ind w:left="20"/>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Reports on Form 6-K</w:t>
              </w:r>
            </w:hyperlink>
          </w:p>
        </w:tc>
        <w:tc>
          <w:tcPr>
            <w:tcW w:w="2580" w:type="dxa"/>
            <w:vAlign w:val="bottom"/>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360" w:type="dxa"/>
            <w:vAlign w:val="bottom"/>
          </w:tcPr>
          <w:p>
            <w:pPr>
              <w:spacing w:after="0" w:line="20" w:lineRule="exact"/>
              <w:rPr>
                <w:sz w:val="1"/>
                <w:szCs w:val="1"/>
                <w:color w:val="auto"/>
              </w:rPr>
            </w:pPr>
          </w:p>
        </w:tc>
        <w:tc>
          <w:tcPr>
            <w:tcW w:w="740" w:type="dxa"/>
            <w:vAlign w:val="bottom"/>
            <w:tcBorders>
              <w:right w:val="single" w:sz="8" w:color="0000EE"/>
            </w:tcBorders>
            <w:gridSpan w:val="3"/>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880" w:type="dxa"/>
            <w:vAlign w:val="bottom"/>
            <w:gridSpan w:val="11"/>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9340" w:type="dxa"/>
            <w:vAlign w:val="bottom"/>
            <w:gridSpan w:val="1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SIGNATURES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08" w:lineRule="auto"/>
        <w:rPr>
          <w:sz w:val="20"/>
          <w:szCs w:val="20"/>
          <w:color w:val="auto"/>
        </w:rPr>
      </w:pPr>
      <w:r>
        <w:rPr>
          <w:rFonts w:ascii="Arial" w:cs="Arial" w:eastAsia="Arial" w:hAnsi="Arial"/>
          <w:sz w:val="17"/>
          <w:szCs w:val="17"/>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46"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9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March 31,</w:t>
            </w:r>
          </w:p>
        </w:tc>
        <w:tc>
          <w:tcPr>
            <w:tcW w:w="3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972,634</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1,103,269</w:t>
            </w: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Short-term interest-bearing investments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319,855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321,196</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732,803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715,837</w:t>
            </w: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Deferred income taxes and taxes receivable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165,031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148,346</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134,865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135,326</w:t>
            </w:r>
          </w:p>
        </w:tc>
      </w:tr>
      <w:tr>
        <w:trPr>
          <w:trHeight w:val="223"/>
        </w:trPr>
        <w:tc>
          <w:tcPr>
            <w:tcW w:w="20" w:type="dxa"/>
            <w:vAlign w:val="bottom"/>
          </w:tcPr>
          <w:p>
            <w:pPr>
              <w:spacing w:after="0"/>
              <w:rPr>
                <w:sz w:val="19"/>
                <w:szCs w:val="19"/>
                <w:color w:val="auto"/>
              </w:rPr>
            </w:pPr>
          </w:p>
        </w:tc>
        <w:tc>
          <w:tcPr>
            <w:tcW w:w="9100" w:type="dxa"/>
            <w:vAlign w:val="bottom"/>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2,325,188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2,423,974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Equipment and leasehold improvements,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285,402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288,956</w:t>
            </w: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97,991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99,274</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1,931,111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1,925,225</w:t>
            </w: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154,677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181,227</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249,526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266,621</w:t>
            </w:r>
          </w:p>
        </w:tc>
      </w:tr>
      <w:tr>
        <w:trPr>
          <w:trHeight w:val="223"/>
        </w:trPr>
        <w:tc>
          <w:tcPr>
            <w:tcW w:w="20" w:type="dxa"/>
            <w:vAlign w:val="bottom"/>
          </w:tcPr>
          <w:p>
            <w:pPr>
              <w:spacing w:after="0"/>
              <w:rPr>
                <w:sz w:val="19"/>
                <w:szCs w:val="19"/>
                <w:color w:val="auto"/>
              </w:rPr>
            </w:pPr>
          </w:p>
        </w:tc>
        <w:tc>
          <w:tcPr>
            <w:tcW w:w="910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5,043,895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5,185,277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130,416</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142,627</w:t>
            </w: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493,204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422,291</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personnel costs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177,228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220,630</w:t>
            </w: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Short-term financing arrangements</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210,000</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185,234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156,743</w:t>
            </w:r>
          </w:p>
        </w:tc>
      </w:tr>
      <w:tr>
        <w:trPr>
          <w:trHeight w:val="223"/>
        </w:trPr>
        <w:tc>
          <w:tcPr>
            <w:tcW w:w="20" w:type="dxa"/>
            <w:vAlign w:val="bottom"/>
          </w:tcPr>
          <w:p>
            <w:pPr>
              <w:spacing w:after="0"/>
              <w:rPr>
                <w:sz w:val="19"/>
                <w:szCs w:val="19"/>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Deferred income taxes and taxes payable</w:t>
            </w: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63,633</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48,456</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1,049,715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1,200,747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income taxes and taxes payable</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296,119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311,134</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244,737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277,560</w:t>
            </w:r>
          </w:p>
        </w:tc>
      </w:tr>
      <w:tr>
        <w:trPr>
          <w:trHeight w:val="230"/>
        </w:trPr>
        <w:tc>
          <w:tcPr>
            <w:tcW w:w="20" w:type="dxa"/>
            <w:vAlign w:val="bottom"/>
          </w:tcPr>
          <w:p>
            <w:pPr>
              <w:spacing w:after="0"/>
              <w:rPr>
                <w:sz w:val="20"/>
                <w:szCs w:val="20"/>
                <w:color w:val="auto"/>
              </w:rPr>
            </w:pPr>
          </w:p>
        </w:tc>
        <w:tc>
          <w:tcPr>
            <w:tcW w:w="910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1,590,571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1,789,441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91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Ordinary Shares — Authorized 700,000 shares; £0.01 par value; 267,000 and 264,735 issued and 154,618 and</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156,704 outstanding, respectively</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4,284</w:t>
            </w: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3,140,177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3,054,780</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at cost 112,382 and 108,031 ordinary shares, respectively</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(3,369,280)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(3,157,085)</w:t>
            </w: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(22,600)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(9,972)</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3,700,708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3,503,829</w:t>
            </w:r>
          </w:p>
        </w:tc>
      </w:tr>
      <w:tr>
        <w:trPr>
          <w:trHeight w:val="230"/>
        </w:trPr>
        <w:tc>
          <w:tcPr>
            <w:tcW w:w="20" w:type="dxa"/>
            <w:vAlign w:val="bottom"/>
          </w:tcPr>
          <w:p>
            <w:pPr>
              <w:spacing w:after="0"/>
              <w:rPr>
                <w:sz w:val="20"/>
                <w:szCs w:val="20"/>
                <w:color w:val="auto"/>
              </w:rPr>
            </w:pPr>
          </w:p>
        </w:tc>
        <w:tc>
          <w:tcPr>
            <w:tcW w:w="9100" w:type="dxa"/>
            <w:vAlign w:val="bottom"/>
          </w:tcPr>
          <w:p>
            <w:pPr>
              <w:ind w:left="700"/>
              <w:spacing w:after="0"/>
              <w:rPr>
                <w:sz w:val="20"/>
                <w:szCs w:val="20"/>
                <w:color w:val="auto"/>
              </w:rPr>
            </w:pPr>
            <w:r>
              <w:rPr>
                <w:rFonts w:ascii="Arial" w:cs="Arial" w:eastAsia="Arial" w:hAnsi="Arial"/>
                <w:sz w:val="18"/>
                <w:szCs w:val="18"/>
                <w:b w:val="1"/>
                <w:bCs w:val="1"/>
                <w:color w:val="auto"/>
              </w:rPr>
              <w:t>Total shareholders’ equity</w:t>
            </w: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3,453,324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3,395,836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shareholders’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5,043,895</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5,185,277</w:t>
            </w: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9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19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7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902,578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896,854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1,808,865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1,760,899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580,571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583,284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1,154,017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1,140,687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62,805</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63,104</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126,446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107,186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110,438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220,766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6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14,016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16,180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28,115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27,848</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764,578</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773,006</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1,529,344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1,516,361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138,000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123,848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279,521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136,331</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121,940</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279,396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20,070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11,583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29,434</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116,261</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110,357</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247,251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211,792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155,106</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159,812</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155,506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157,357</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162,251</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157,738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ordinary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18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March 31,</w:t>
            </w:r>
          </w:p>
        </w:tc>
        <w:tc>
          <w:tcPr>
            <w:tcW w:w="18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7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$116,261</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$110,357</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$247,251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$211,792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change in fair value of cash flow hedges(1)</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1,826</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3,062</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(13,064)</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340"/>
              <w:spacing w:after="0"/>
              <w:rPr>
                <w:sz w:val="20"/>
                <w:szCs w:val="20"/>
                <w:color w:val="auto"/>
              </w:rPr>
            </w:pPr>
            <w:r>
              <w:rPr>
                <w:rFonts w:ascii="Arial" w:cs="Arial" w:eastAsia="Arial" w:hAnsi="Arial"/>
                <w:sz w:val="18"/>
                <w:szCs w:val="18"/>
                <w:color w:val="auto"/>
              </w:rPr>
              <w:t>Net change in fair value of available-for-sale securities(2)</w:t>
            </w: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(74)</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436</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(12,628)</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12,019</w:t>
            </w:r>
          </w:p>
        </w:tc>
        <w:tc>
          <w:tcPr>
            <w:tcW w:w="0" w:type="dxa"/>
            <w:vAlign w:val="bottom"/>
          </w:tcPr>
          <w:p>
            <w:pPr>
              <w:spacing w:after="0"/>
              <w:rPr>
                <w:sz w:val="1"/>
                <w:szCs w:val="1"/>
                <w:color w:val="auto"/>
              </w:rPr>
            </w:pPr>
          </w:p>
        </w:tc>
      </w:tr>
      <w:tr>
        <w:trPr>
          <w:trHeight w:val="223"/>
        </w:trPr>
        <w:tc>
          <w:tcPr>
            <w:tcW w:w="764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118,270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113,345</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234,623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223,811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0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benefit (expense) of $28 and $(233) for the three months ended March 31, 2015 and 2014, respectively, and of $3,288 and $(481) for the six months ended March 31, 2015 and 2014, respectively.</w:t>
      </w:r>
    </w:p>
    <w:p>
      <w:pPr>
        <w:spacing w:after="0" w:line="75"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(expense) benefit of $(2) and $(5) for the three months ended March 31, 2015 and 2014, respectively, and of $6 and $(5) for the six months ended March 31, 2015 and 2014,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29"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Six months ended</w:t>
      </w:r>
    </w:p>
    <w:p>
      <w:pPr>
        <w:jc w:val="center"/>
        <w:ind w:left="91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247,251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211,792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83,303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76,739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23,723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(27,260)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Loss from short-term interest-bearing investments</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(14,623)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(30,503)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14,898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18,762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 net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(29,388)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(59,334)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123,073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178,462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(121,585)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(8,099)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(173,643)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(65,436)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(233,692)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Payments under financing arrangements</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(210,000)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(212,195)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Proceeds from employee stock option exercises</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58,116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98,327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(48,377)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Excess tax benefit from equity-based compensation</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3,628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(408,833)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(312,013)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(130,635)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(228,152)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1,103,269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1,014,192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972,634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786,040</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Income taxes, net of refunds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38,208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Amdocs Limited (the “Company”) is a leading provider of software and services for communications, entertainment and media industry service providers. The Company and its subsidiaries operate in one segment, providing integrated products and services. The Company designs, develops, markets, supports, implements and operates customer experience solutions primarily for leading wireless, wireline, cable and satellite service providers throughout the world. Amdocs also offers a full range of advertising and media solutions for local marketing service providers and search and directory publishers.</w:t>
      </w:r>
    </w:p>
    <w:p>
      <w:pPr>
        <w:spacing w:after="0" w:line="15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 is a Guernsey corporation, which directly or indirectly holds numerous wholly-owned subsidiaries around the world. The majority of the Company’s customers are in North America, Europe, Latin America and the Asia-Pacific region. The Company’s main development facilities are located in Brazil, Canada, Cyprus, India, Ireland, Israel, the United Kingdom and the United States.</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In the opinion of the Company’s management, all adjustments considered necessary for a fair presentation of the unaudited interim consolidated financial statements have been included herein and are of a normal recurring nature.</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2014, set forth in the Company’s Annual Report on Form 20-F filed on December 8, 2014 with the U.S. Securities and Exchange Commission, or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From time to time, certain immaterial amounts in prior year financial statements may be reclassified to conform to the current year presentation. Effective October 1, 2014, the Company combined the presentation of license and service revenue, as well as the related costs, since license revenue comprises an insignificant portion of total revenue.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Standard</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May 2014, the Financial Accounting Standards Board, or FASB, issued an Accounting Standard Update, or ASU, on revenue from contracts with customers, which outlines a single comprehensive model for entities to use in accounting for revenue arising from contracts with customers and supersedes most current revenue recognition guidance. This ASU, which will be effective for the Company beginning October 1, 2017, allows for either full or modified retrospective methods of adoption and early adoption is not permitted. The Company is currently evaluating the methods of adoption, as well as the effect that adoption of this ASU will have on its consolidated financial statements. In April 2015, the FASB issued a proposed ASU to defer for one year the effective date of the ASU on revenue from contracts with customers. Comments on this proposed ASU are due by May 29, 2015.</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Adoption of New Accounting Standard</w:t>
      </w:r>
    </w:p>
    <w:p>
      <w:pPr>
        <w:spacing w:after="0" w:line="12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In 2013, the FASB issued an ASU that requires an entity to present an unrecognized tax benefit, or a portion of an unrecognized tax benefit, in the financial statements as a reduction to a deferred tax asset for a net operating loss carryforward, a similar tax loss, or a tax credit carryforward, in the absence of certain conditions. This ASU became effective for the Company in the first quarter of fiscal 2015 and its adoption resulted in a reclassification of $15,000 from noncurrent taxes payable to assets under noncurrent deferred income taxes as of December 31, 2014.</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7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Level 3: Unobservable inputs that are supported by little or no market activity that is significant to the fair value of the assets or liabilities.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Company’s assets and liabilities measured at fair value on a recurring basis as of March 31, 2015 and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8"/>
          </w:tcPr>
          <w:p>
            <w:pPr>
              <w:jc w:val="right"/>
              <w:ind w:right="500"/>
              <w:spacing w:after="0"/>
              <w:rPr>
                <w:sz w:val="20"/>
                <w:szCs w:val="20"/>
                <w:color w:val="auto"/>
              </w:rPr>
            </w:pPr>
            <w:r>
              <w:rPr>
                <w:rFonts w:ascii="Arial" w:cs="Arial" w:eastAsia="Arial" w:hAnsi="Arial"/>
                <w:sz w:val="14"/>
                <w:szCs w:val="14"/>
                <w:b w:val="1"/>
                <w:bCs w:val="1"/>
                <w:color w:val="auto"/>
                <w:w w:val="98"/>
              </w:rPr>
              <w:t>As of March 31, 2015</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w w:val="92"/>
              </w:rPr>
              <w:t>Level 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rPr>
              <w:t>Level 3</w:t>
            </w:r>
          </w:p>
        </w:tc>
        <w:tc>
          <w:tcPr>
            <w:tcW w:w="7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2840" w:type="dxa"/>
            <w:vAlign w:val="bottom"/>
            <w:gridSpan w:val="4"/>
          </w:tcPr>
          <w:p>
            <w:pPr>
              <w:jc w:val="right"/>
              <w:spacing w:after="0"/>
              <w:rPr>
                <w:sz w:val="20"/>
                <w:szCs w:val="20"/>
                <w:color w:val="auto"/>
              </w:rPr>
            </w:pPr>
            <w:r>
              <w:rPr>
                <w:rFonts w:ascii="Arial" w:cs="Arial" w:eastAsia="Arial" w:hAnsi="Arial"/>
                <w:sz w:val="18"/>
                <w:szCs w:val="18"/>
                <w:color w:val="auto"/>
              </w:rPr>
              <w:t>$570,233</w:t>
            </w:r>
          </w:p>
        </w:tc>
        <w:tc>
          <w:tcPr>
            <w:tcW w:w="3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$570,233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treasuries</w:t>
            </w:r>
          </w:p>
        </w:tc>
        <w:tc>
          <w:tcPr>
            <w:tcW w:w="314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117,134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w w:val="86"/>
              </w:rPr>
              <w:t>106,635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106,635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agency securities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41,109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31,030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 and certificates of deposit</w:t>
            </w:r>
          </w:p>
        </w:tc>
        <w:tc>
          <w:tcPr>
            <w:tcW w:w="314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20,240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Supranational and sovereign debt</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10,597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10,597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160" w:type="dxa"/>
            <w:vAlign w:val="bottom"/>
            <w:gridSpan w:val="2"/>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689,378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6"/>
              </w:rPr>
              <w:t>209,611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898,989</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3"/>
              </w:rPr>
              <w:t>(12,214)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(3,266)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(7,116)</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689,378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197,397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(3,266</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879,659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9"/>
          </w:tcPr>
          <w:p>
            <w:pPr>
              <w:jc w:val="right"/>
              <w:ind w:right="420"/>
              <w:spacing w:after="0"/>
              <w:rPr>
                <w:sz w:val="20"/>
                <w:szCs w:val="20"/>
                <w:color w:val="auto"/>
              </w:rPr>
            </w:pPr>
            <w:r>
              <w:rPr>
                <w:rFonts w:ascii="Arial" w:cs="Arial" w:eastAsia="Arial" w:hAnsi="Arial"/>
                <w:sz w:val="14"/>
                <w:szCs w:val="14"/>
                <w:b w:val="1"/>
                <w:bCs w:val="1"/>
                <w:color w:val="auto"/>
                <w:w w:val="90"/>
              </w:rPr>
              <w:t>As of September 30, 2014</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w w:val="92"/>
              </w:rPr>
              <w:t>Level 1</w:t>
            </w:r>
          </w:p>
        </w:tc>
        <w:tc>
          <w:tcPr>
            <w:tcW w:w="100" w:type="dxa"/>
            <w:vAlign w:val="bottom"/>
          </w:tcPr>
          <w:p>
            <w:pPr>
              <w:spacing w:after="0"/>
              <w:rPr>
                <w:sz w:val="12"/>
                <w:szCs w:val="12"/>
                <w:color w:val="auto"/>
              </w:rPr>
            </w:pPr>
          </w:p>
        </w:tc>
        <w:tc>
          <w:tcPr>
            <w:tcW w:w="880" w:type="dxa"/>
            <w:vAlign w:val="bottom"/>
            <w:gridSpan w:val="4"/>
          </w:tcPr>
          <w:p>
            <w:pPr>
              <w:jc w:val="right"/>
              <w:ind w:right="420"/>
              <w:spacing w:after="0" w:line="142" w:lineRule="exact"/>
              <w:rPr>
                <w:sz w:val="20"/>
                <w:szCs w:val="20"/>
                <w:color w:val="auto"/>
              </w:rPr>
            </w:pPr>
            <w:r>
              <w:rPr>
                <w:rFonts w:ascii="Arial" w:cs="Arial" w:eastAsia="Arial" w:hAnsi="Arial"/>
                <w:sz w:val="14"/>
                <w:szCs w:val="14"/>
                <w:b w:val="1"/>
                <w:bCs w:val="1"/>
                <w:color w:val="auto"/>
                <w:w w:val="92"/>
              </w:rPr>
              <w:t>Level 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w w:val="88"/>
              </w:rPr>
              <w:t>Level 3</w:t>
            </w:r>
          </w:p>
        </w:tc>
        <w:tc>
          <w:tcPr>
            <w:tcW w:w="7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2840" w:type="dxa"/>
            <w:vAlign w:val="bottom"/>
            <w:gridSpan w:val="4"/>
          </w:tcPr>
          <w:p>
            <w:pPr>
              <w:jc w:val="right"/>
              <w:ind w:right="80"/>
              <w:spacing w:after="0"/>
              <w:rPr>
                <w:sz w:val="20"/>
                <w:szCs w:val="20"/>
                <w:color w:val="auto"/>
              </w:rPr>
            </w:pPr>
            <w:r>
              <w:rPr>
                <w:rFonts w:ascii="Arial" w:cs="Arial" w:eastAsia="Arial" w:hAnsi="Arial"/>
                <w:sz w:val="18"/>
                <w:szCs w:val="18"/>
                <w:color w:val="auto"/>
              </w:rPr>
              <w:t>$649,745</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7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$649,745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treasuries</w:t>
            </w:r>
          </w:p>
        </w:tc>
        <w:tc>
          <w:tcPr>
            <w:tcW w:w="28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118,708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rPr>
              <w:t>102,420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102,420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agency securities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41,649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29,095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 and certificates of deposit</w:t>
            </w:r>
          </w:p>
        </w:tc>
        <w:tc>
          <w:tcPr>
            <w:tcW w:w="28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2,007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26,502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Supranational and sovereign debt</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5,799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Government-guaranteed debt</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Mortgages</w:t>
            </w:r>
          </w:p>
        </w:tc>
        <w:tc>
          <w:tcPr>
            <w:tcW w:w="2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8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770,460</w:t>
            </w:r>
          </w:p>
        </w:tc>
        <w:tc>
          <w:tcPr>
            <w:tcW w:w="3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207,179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977,639</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2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(1,358)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(35,944)</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(35,944)</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770,460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205,821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(35,944</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940,337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60" w:type="dxa"/>
            <w:vAlign w:val="bottom"/>
            <w:vMerge w:val="restart"/>
          </w:tcPr>
          <w:p>
            <w:pPr>
              <w:jc w:val="right"/>
              <w:ind w:right="107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six months ended March 31, 2015. Level 3 amounts relate to certain acquisition-related liabilities, which were valued using a Monte-Carlo simulation model and were included in both accrued expenses and other current liabilities and other noncurrent liabilities. The reduction in Level 3 liabilities during the three and six months ended March 31, 2015 was recorded in the consolidated statements of income.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620" w:firstLine="456"/>
        <w:spacing w:after="0" w:line="342" w:lineRule="auto"/>
        <w:rPr>
          <w:sz w:val="20"/>
          <w:szCs w:val="20"/>
          <w:color w:val="auto"/>
        </w:rPr>
      </w:pPr>
      <w:r>
        <w:rPr>
          <w:rFonts w:ascii="Arial" w:cs="Arial" w:eastAsia="Arial" w:hAnsi="Arial"/>
          <w:sz w:val="16"/>
          <w:szCs w:val="16"/>
          <w:color w:val="auto"/>
        </w:rPr>
        <w:t>The carrying amounts of the Company’s cash and cash equivalents, accounts receivable, accounts payable, accrued personnel costs, short-term financing arrangements and other current liabilities approximate their fair value because of the relatively short maturity of these items.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Available-For-Sale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3"/>
              </w:rPr>
              <w:t>As of March 31, 2015</w:t>
            </w: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32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rPr>
              <w:t>Amortized</w:t>
            </w:r>
          </w:p>
        </w:tc>
        <w:tc>
          <w:tcPr>
            <w:tcW w:w="17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1400" w:type="dxa"/>
            <w:vAlign w:val="bottom"/>
            <w:gridSpan w:val="3"/>
          </w:tcPr>
          <w:p>
            <w:pPr>
              <w:jc w:val="right"/>
              <w:ind w:right="340"/>
              <w:spacing w:after="0" w:line="119" w:lineRule="exact"/>
              <w:rPr>
                <w:sz w:val="20"/>
                <w:szCs w:val="20"/>
                <w:color w:val="auto"/>
              </w:rPr>
            </w:pPr>
            <w:r>
              <w:rPr>
                <w:rFonts w:ascii="Arial" w:cs="Arial" w:eastAsia="Arial" w:hAnsi="Arial"/>
                <w:sz w:val="13"/>
                <w:szCs w:val="13"/>
                <w:b w:val="1"/>
                <w:bCs w:val="1"/>
                <w:color w:val="auto"/>
                <w:w w:val="97"/>
              </w:rPr>
              <w:t>Gross Unrealized</w:t>
            </w:r>
          </w:p>
        </w:tc>
        <w:tc>
          <w:tcPr>
            <w:tcW w:w="32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3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Gains</w:t>
            </w:r>
          </w:p>
        </w:tc>
        <w:tc>
          <w:tcPr>
            <w:tcW w:w="34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$570,233</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8"/>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$570,233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116,980</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ind w:left="580"/>
              <w:spacing w:after="0"/>
              <w:rPr>
                <w:sz w:val="20"/>
                <w:szCs w:val="20"/>
                <w:color w:val="auto"/>
              </w:rPr>
            </w:pPr>
            <w:r>
              <w:rPr>
                <w:rFonts w:ascii="Arial" w:cs="Arial" w:eastAsia="Arial" w:hAnsi="Arial"/>
                <w:sz w:val="18"/>
                <w:szCs w:val="18"/>
                <w:color w:val="auto"/>
              </w:rPr>
              <w:t>154</w:t>
            </w:r>
          </w:p>
        </w:tc>
        <w:tc>
          <w:tcPr>
            <w:tcW w:w="340" w:type="dxa"/>
            <w:vAlign w:val="bottom"/>
          </w:tcPr>
          <w:p>
            <w:pPr>
              <w:spacing w:after="0"/>
              <w:rPr>
                <w:sz w:val="18"/>
                <w:szCs w:val="18"/>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117,134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106,454</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234</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106,635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41,054</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ind w:left="680"/>
              <w:spacing w:after="0"/>
              <w:rPr>
                <w:sz w:val="20"/>
                <w:szCs w:val="20"/>
                <w:color w:val="auto"/>
              </w:rPr>
            </w:pPr>
            <w:r>
              <w:rPr>
                <w:rFonts w:ascii="Arial" w:cs="Arial" w:eastAsia="Arial" w:hAnsi="Arial"/>
                <w:sz w:val="18"/>
                <w:szCs w:val="18"/>
                <w:color w:val="auto"/>
                <w:w w:val="79"/>
              </w:rPr>
              <w:t>55</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41,109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31,037</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31,030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Commercial paper and certificates of deposit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22,251</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22,251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10,580</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79"/>
              </w:rPr>
              <w:t>17</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10,597</w:t>
            </w:r>
          </w:p>
        </w:tc>
        <w:tc>
          <w:tcPr>
            <w:tcW w:w="0" w:type="dxa"/>
            <w:vAlign w:val="bottom"/>
          </w:tcPr>
          <w:p>
            <w:pPr>
              <w:spacing w:after="0"/>
              <w:rPr>
                <w:sz w:val="1"/>
                <w:szCs w:val="1"/>
                <w:color w:val="auto"/>
              </w:rPr>
            </w:pPr>
          </w:p>
        </w:tc>
      </w:tr>
      <w:tr>
        <w:trPr>
          <w:trHeight w:val="223"/>
        </w:trPr>
        <w:tc>
          <w:tcPr>
            <w:tcW w:w="5420" w:type="dxa"/>
            <w:vAlign w:val="bottom"/>
            <w:gridSpan w:val="3"/>
          </w:tcPr>
          <w:p>
            <w:pPr>
              <w:ind w:left="460"/>
              <w:spacing w:after="0"/>
              <w:rPr>
                <w:sz w:val="20"/>
                <w:szCs w:val="20"/>
                <w:color w:val="auto"/>
              </w:rPr>
            </w:pPr>
            <w:r>
              <w:rPr>
                <w:rFonts w:ascii="Arial" w:cs="Arial" w:eastAsia="Arial" w:hAnsi="Arial"/>
                <w:sz w:val="18"/>
                <w:szCs w:val="18"/>
                <w:color w:val="auto"/>
              </w:rPr>
              <w:t>Total(1)</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898,589</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86"/>
              </w:rPr>
              <w:t>460</w:t>
            </w:r>
          </w:p>
        </w:tc>
        <w:tc>
          <w:tcPr>
            <w:tcW w:w="6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898,989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0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Available-for-sale securities with maturities longer than 90 days from the date of acquisition were classified as short term interest-bearing investments and available-for-sale securities with maturities of 90 days or less from the date of acquisition were included in cash and cash equivalents on the Company’s balance sheet. As of March 31, 2015, $319,855 of securities were classified as short term interest-bearing investments and $579,134 of securities were classified as cash and cash equivalents.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As of September 30, 2014</w:t>
            </w: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32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rPr>
              <w:t>Amortized</w:t>
            </w:r>
          </w:p>
        </w:tc>
        <w:tc>
          <w:tcPr>
            <w:tcW w:w="17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1400" w:type="dxa"/>
            <w:vAlign w:val="bottom"/>
            <w:gridSpan w:val="3"/>
          </w:tcPr>
          <w:p>
            <w:pPr>
              <w:jc w:val="right"/>
              <w:ind w:right="340"/>
              <w:spacing w:after="0" w:line="119" w:lineRule="exact"/>
              <w:rPr>
                <w:sz w:val="20"/>
                <w:szCs w:val="20"/>
                <w:color w:val="auto"/>
              </w:rPr>
            </w:pPr>
            <w:r>
              <w:rPr>
                <w:rFonts w:ascii="Arial" w:cs="Arial" w:eastAsia="Arial" w:hAnsi="Arial"/>
                <w:sz w:val="13"/>
                <w:szCs w:val="13"/>
                <w:b w:val="1"/>
                <w:bCs w:val="1"/>
                <w:color w:val="auto"/>
                <w:w w:val="97"/>
              </w:rPr>
              <w:t>Gross Unrealized</w:t>
            </w:r>
          </w:p>
        </w:tc>
        <w:tc>
          <w:tcPr>
            <w:tcW w:w="32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3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Gains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Losses</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$649,745</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8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$649,745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118,652</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w:t>
            </w: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118,708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102,387</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152</w:t>
            </w: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119</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102,420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41,658</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41,649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29,160</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29,095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Commercial paper and certificates of deposit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28,509</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28,509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5,804</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5,799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Government-guaranteed debt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1,185</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18"/>
                <w:szCs w:val="18"/>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23"/>
        </w:trPr>
        <w:tc>
          <w:tcPr>
            <w:tcW w:w="5420" w:type="dxa"/>
            <w:vAlign w:val="bottom"/>
            <w:gridSpan w:val="3"/>
          </w:tcPr>
          <w:p>
            <w:pPr>
              <w:ind w:left="460"/>
              <w:spacing w:after="0"/>
              <w:rPr>
                <w:sz w:val="20"/>
                <w:szCs w:val="20"/>
                <w:color w:val="auto"/>
              </w:rPr>
            </w:pPr>
            <w:r>
              <w:rPr>
                <w:rFonts w:ascii="Arial" w:cs="Arial" w:eastAsia="Arial" w:hAnsi="Arial"/>
                <w:sz w:val="18"/>
                <w:szCs w:val="18"/>
                <w:color w:val="auto"/>
              </w:rPr>
              <w:t>Total(2)</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977,669</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86"/>
              </w:rPr>
              <w:t>242</w:t>
            </w:r>
          </w:p>
        </w:tc>
        <w:tc>
          <w:tcPr>
            <w:tcW w:w="6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272</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977,639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0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September 30, 2014, $321,196 of securities were classified as short term interest-bearing investments and $656,443 of securities were classified as cash and cash equivalents.</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As of March 31, 2015, the unrealized losses attributable to the Company’s available-for-sale securities were primarily due to credit spreads and interest rate movements. The Company assessed whether such unrealized losses for the investments in its portfolio were other-than-temporary. Based on this assessment, the Company recognized immaterial credit losses in the six months ended March 31, 2015 and 2014. Realized gains and losses on available-for-sale securities are included in earnings and are derived using the first-in-first-out (FIFO) method for determining the cost of securities.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2015, the Company’s available-for-sale securities had the following maturity dates: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Market Value</w:t>
            </w: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702,362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1 to 2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95,440</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85,380</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3 to 4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8,886</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100" w:type="dxa"/>
            <w:vAlign w:val="bottom"/>
            <w:shd w:val="clear" w:color="auto" w:fill="CCEEFF"/>
          </w:tcPr>
          <w:p>
            <w:pPr>
              <w:spacing w:after="0"/>
              <w:rPr>
                <w:sz w:val="18"/>
                <w:szCs w:val="18"/>
                <w:color w:val="auto"/>
              </w:rPr>
            </w:pPr>
          </w:p>
        </w:tc>
      </w:tr>
      <w:tr>
        <w:trPr>
          <w:trHeight w:val="223"/>
        </w:trPr>
        <w:tc>
          <w:tcPr>
            <w:tcW w:w="68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898,989</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w:t>
      </w:r>
    </w:p>
    <w:p>
      <w:pPr>
        <w:spacing w:after="0" w:line="121"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$15,468 as of March 31, 2015. The Company has limited its credit risk by entering into derivative transactions exclusively with investment-grade rated financial institutions and monitors the creditworthiness of these financial institutions on an ongoing basis.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 flow.</w:t>
      </w:r>
    </w:p>
    <w:p>
      <w:pPr>
        <w:spacing w:after="0" w:line="24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March 31, 2015. Notional values are in U.S. dollars and are translated and calculated based on forward rates as of March 31, 2015 for forward contracts, and based on spot rates as of March 31, 2015 for options.</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34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Notional Value*</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3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1,738,408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2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70"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4 to the consolidated financial statements. The fair value of the open foreign exchange contracts recorded as an asset or a liability by the Company on its consolidated balance sheets as of March 31, 2015 and September 30, 2014, is as follows:</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39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84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rPr>
              <w:t>March 31,</w:t>
            </w:r>
          </w:p>
        </w:tc>
        <w:tc>
          <w:tcPr>
            <w:tcW w:w="1400" w:type="dxa"/>
            <w:vAlign w:val="bottom"/>
            <w:gridSpan w:val="3"/>
          </w:tcPr>
          <w:p>
            <w:pPr>
              <w:ind w:left="5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r>
      <w:tr>
        <w:trPr>
          <w:trHeight w:val="171"/>
        </w:trPr>
        <w:tc>
          <w:tcPr>
            <w:tcW w:w="3940" w:type="dxa"/>
            <w:vAlign w:val="bottom"/>
          </w:tcPr>
          <w:p>
            <w:pPr>
              <w:spacing w:after="0"/>
              <w:rPr>
                <w:sz w:val="14"/>
                <w:szCs w:val="14"/>
                <w:color w:val="auto"/>
              </w:rPr>
            </w:pPr>
          </w:p>
        </w:tc>
        <w:tc>
          <w:tcPr>
            <w:tcW w:w="304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196"/>
        </w:trPr>
        <w:tc>
          <w:tcPr>
            <w:tcW w:w="3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w w:val="96"/>
              </w:rPr>
              <w:t>Derivatives designated as hedging instruments</w:t>
            </w:r>
          </w:p>
        </w:tc>
        <w:tc>
          <w:tcPr>
            <w:tcW w:w="2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  8,240</w:t>
            </w:r>
          </w:p>
        </w:tc>
        <w:tc>
          <w:tcPr>
            <w:tcW w:w="180" w:type="dxa"/>
            <w:vAlign w:val="bottom"/>
          </w:tcPr>
          <w:p>
            <w:pPr>
              <w:spacing w:after="0"/>
              <w:rPr>
                <w:sz w:val="18"/>
                <w:szCs w:val="18"/>
                <w:color w:val="auto"/>
              </w:rPr>
            </w:pP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5,936</w:t>
            </w:r>
          </w:p>
        </w:tc>
        <w:tc>
          <w:tcPr>
            <w:tcW w:w="120" w:type="dxa"/>
            <w:vAlign w:val="bottom"/>
          </w:tcPr>
          <w:p>
            <w:pPr>
              <w:spacing w:after="0"/>
              <w:rPr>
                <w:sz w:val="18"/>
                <w:szCs w:val="18"/>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120" w:type="dxa"/>
            <w:vAlign w:val="bottom"/>
            <w:shd w:val="clear" w:color="auto" w:fill="CCEEFF"/>
          </w:tcPr>
          <w:p>
            <w:pPr>
              <w:spacing w:after="0"/>
              <w:rPr>
                <w:sz w:val="18"/>
                <w:szCs w:val="18"/>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8"/>
                <w:szCs w:val="18"/>
                <w:color w:val="auto"/>
                <w:w w:val="98"/>
              </w:rPr>
              <w:t>Accrued expenses and other current liabilities</w:t>
            </w:r>
          </w:p>
        </w:tc>
        <w:tc>
          <w:tcPr>
            <w:tcW w:w="3220" w:type="dxa"/>
            <w:vAlign w:val="bottom"/>
            <w:gridSpan w:val="3"/>
          </w:tcPr>
          <w:p>
            <w:pPr>
              <w:jc w:val="right"/>
              <w:ind w:right="140"/>
              <w:spacing w:after="0"/>
              <w:rPr>
                <w:sz w:val="20"/>
                <w:szCs w:val="20"/>
                <w:color w:val="auto"/>
              </w:rPr>
            </w:pPr>
            <w:r>
              <w:rPr>
                <w:rFonts w:ascii="Arial" w:cs="Arial" w:eastAsia="Arial" w:hAnsi="Arial"/>
                <w:sz w:val="18"/>
                <w:szCs w:val="18"/>
                <w:color w:val="auto"/>
              </w:rPr>
              <w:t>(22,791)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(9,686)</w:t>
            </w: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3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(6,057)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(1,908)</w:t>
            </w:r>
          </w:p>
        </w:tc>
      </w:tr>
      <w:tr>
        <w:trPr>
          <w:trHeight w:val="224"/>
        </w:trPr>
        <w:tc>
          <w:tcPr>
            <w:tcW w:w="39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(19,312)</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(3,173)</w:t>
            </w:r>
          </w:p>
        </w:tc>
        <w:tc>
          <w:tcPr>
            <w:tcW w:w="120" w:type="dxa"/>
            <w:vAlign w:val="bottom"/>
          </w:tcPr>
          <w:p>
            <w:pPr>
              <w:spacing w:after="0"/>
              <w:rPr>
                <w:sz w:val="19"/>
                <w:szCs w:val="19"/>
                <w:color w:val="auto"/>
              </w:rPr>
            </w:pPr>
          </w:p>
        </w:tc>
      </w:tr>
      <w:tr>
        <w:trPr>
          <w:trHeight w:val="364"/>
        </w:trPr>
        <w:tc>
          <w:tcPr>
            <w:tcW w:w="3940" w:type="dxa"/>
            <w:vAlign w:val="bottom"/>
          </w:tcPr>
          <w:p>
            <w:pPr>
              <w:spacing w:after="0"/>
              <w:rPr>
                <w:sz w:val="24"/>
                <w:szCs w:val="24"/>
                <w:color w:val="auto"/>
              </w:rPr>
            </w:pPr>
          </w:p>
        </w:tc>
        <w:tc>
          <w:tcPr>
            <w:tcW w:w="2380" w:type="dxa"/>
            <w:vAlign w:val="bottom"/>
          </w:tcPr>
          <w:p>
            <w:pPr>
              <w:jc w:val="right"/>
              <w:ind w:right="1813"/>
              <w:spacing w:after="0"/>
              <w:rPr>
                <w:sz w:val="20"/>
                <w:szCs w:val="20"/>
                <w:color w:val="auto"/>
              </w:rPr>
            </w:pPr>
            <w:r>
              <w:rPr>
                <w:rFonts w:ascii="Arial" w:cs="Arial" w:eastAsia="Arial" w:hAnsi="Arial"/>
                <w:sz w:val="18"/>
                <w:szCs w:val="18"/>
                <w:color w:val="auto"/>
              </w:rPr>
              <w:t>10</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2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March 31,</w:t>
            </w:r>
          </w:p>
        </w:tc>
        <w:tc>
          <w:tcPr>
            <w:tcW w:w="1300" w:type="dxa"/>
            <w:vAlign w:val="bottom"/>
            <w:gridSpan w:val="3"/>
          </w:tcPr>
          <w:p>
            <w:pPr>
              <w:ind w:left="4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2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9,492</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7,551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180" w:type="dxa"/>
            <w:vAlign w:val="bottom"/>
            <w:gridSpan w:val="3"/>
          </w:tcPr>
          <w:p>
            <w:pPr>
              <w:jc w:val="right"/>
              <w:ind w:right="100"/>
              <w:spacing w:after="0"/>
              <w:rPr>
                <w:sz w:val="20"/>
                <w:szCs w:val="20"/>
                <w:color w:val="auto"/>
              </w:rPr>
            </w:pPr>
            <w:r>
              <w:rPr>
                <w:rFonts w:ascii="Arial" w:cs="Arial" w:eastAsia="Arial" w:hAnsi="Arial"/>
                <w:sz w:val="18"/>
                <w:szCs w:val="18"/>
                <w:color w:val="auto"/>
              </w:rPr>
              <w:t>(2,394)</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(5,736)</w:t>
            </w: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2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30"/>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7,098</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2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(12,214)</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(1,358)</w:t>
            </w: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three years. A significant portion of the forward and option contracts outstanding as of March 31, 2015 is scheduled to mature within the next 12 months.</w:t>
      </w:r>
    </w:p>
    <w:p>
      <w:pPr>
        <w:spacing w:after="0" w:line="17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income (loss),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167"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The effect of the Company’s cash flow hedging instruments in the consolidated statements of income for the three and six months ended March 31, 2015 and 2014, respectively, which partially offsets the foreign currency impact from the underlying exposures, is summarized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40" w:type="dxa"/>
            <w:vAlign w:val="bottom"/>
            <w:gridSpan w:val="7"/>
          </w:tcPr>
          <w:p>
            <w:pPr>
              <w:jc w:val="right"/>
              <w:ind w:right="40"/>
              <w:spacing w:after="0"/>
              <w:rPr>
                <w:sz w:val="20"/>
                <w:szCs w:val="20"/>
                <w:color w:val="auto"/>
              </w:rPr>
            </w:pPr>
            <w:r>
              <w:rPr>
                <w:rFonts w:ascii="Arial" w:cs="Arial" w:eastAsia="Arial" w:hAnsi="Arial"/>
                <w:sz w:val="14"/>
                <w:szCs w:val="14"/>
                <w:b w:val="1"/>
                <w:bCs w:val="1"/>
                <w:color w:val="auto"/>
                <w:w w:val="91"/>
              </w:rPr>
              <w:t>Gains (Losses) Reclassified from Other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580" w:type="dxa"/>
            <w:vAlign w:val="bottom"/>
            <w:gridSpan w:val="12"/>
          </w:tcPr>
          <w:p>
            <w:pPr>
              <w:jc w:val="right"/>
              <w:spacing w:after="0" w:line="149" w:lineRule="exact"/>
              <w:rPr>
                <w:sz w:val="20"/>
                <w:szCs w:val="20"/>
                <w:color w:val="auto"/>
              </w:rPr>
            </w:pPr>
            <w:r>
              <w:rPr>
                <w:rFonts w:ascii="Arial" w:cs="Arial" w:eastAsia="Arial" w:hAnsi="Arial"/>
                <w:sz w:val="14"/>
                <w:szCs w:val="14"/>
                <w:b w:val="1"/>
                <w:bCs w:val="1"/>
                <w:color w:val="auto"/>
              </w:rPr>
              <w:t>Comprehensive Income (Loss) (Effective Portion)</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6060" w:type="dxa"/>
            <w:vAlign w:val="bottom"/>
          </w:tcPr>
          <w:p>
            <w:pPr>
              <w:spacing w:after="0"/>
              <w:rPr>
                <w:sz w:val="14"/>
                <w:szCs w:val="14"/>
                <w:color w:val="auto"/>
              </w:rPr>
            </w:pPr>
          </w:p>
        </w:tc>
        <w:tc>
          <w:tcPr>
            <w:tcW w:w="242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w w:val="96"/>
              </w:rPr>
              <w:t>Three months ended March 31,</w:t>
            </w:r>
          </w:p>
        </w:tc>
        <w:tc>
          <w:tcPr>
            <w:tcW w:w="202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6"/>
              </w:rPr>
              <w:t>Six months ended March 31,</w:t>
            </w:r>
          </w:p>
        </w:tc>
      </w:tr>
      <w:tr>
        <w:trPr>
          <w:trHeight w:val="142"/>
        </w:trPr>
        <w:tc>
          <w:tcPr>
            <w:tcW w:w="60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statement of income: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188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317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(5,225)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3,663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5,695</w:t>
            </w: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(1,401)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817</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(2,333)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2,165</w:t>
            </w: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(1,544)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w:t>
            </w: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(7,982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5,831</w:t>
            </w:r>
          </w:p>
        </w:tc>
        <w:tc>
          <w:tcPr>
            <w:tcW w:w="3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(13,792</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10,288</w:t>
            </w:r>
          </w:p>
        </w:tc>
        <w:tc>
          <w:tcPr>
            <w:tcW w:w="10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activity related to the changes in net unrealized (losses) gains on cash flow hedges recorded in accumulated other comprehensive loss, net of tax, is as follows:</w:t>
      </w:r>
    </w:p>
    <w:p>
      <w:pPr>
        <w:spacing w:after="0" w:line="189"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Six months ended</w:t>
      </w:r>
    </w:p>
    <w:p>
      <w:pPr>
        <w:jc w:val="center"/>
        <w:ind w:left="67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63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w w:val="97"/>
              </w:rPr>
              <w:t>Net unrealized (losses) gains on cash flow hedges, net of tax, beginning of period</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(5,522)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(24,644)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20,114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net losses (gains) into earnings, net of tax</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11,580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(8,001)</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Net unrealized (losses) gains on cash flow hedges, net of tax, end of period</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(18,586</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16,809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4240"/>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Net (losses) gains from cash flow hedges recognized in other comprehensive income (loss) during the six months ended March 31, 2015 and 2014, were $(30,144) and $22,882, or $(24,644) and $20,114, net of taxes, respectively.</w:t>
      </w:r>
    </w:p>
    <w:p>
      <w:pPr>
        <w:spacing w:after="0" w:line="170"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Of the net losses related to derivatives designated as cash flow hedges and recorded in accumulated other comprehensive loss as of March 31, 2015, a net loss of $14,622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66"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three and six months ended March 31, 2015 and 2014, was not material.</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instruments are generally short-term in nature, with typical maturities of less than 12 months, and are subject to fluctuations in foreign exchange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21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three and six months ended March 31, 2015 and 2014, respectively, which partially offsets the foreign currency impact from the underlying exposure, is summarized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13"/>
          </w:tcPr>
          <w:p>
            <w:pPr>
              <w:ind w:left="140"/>
              <w:spacing w:after="0"/>
              <w:rPr>
                <w:sz w:val="20"/>
                <w:szCs w:val="20"/>
                <w:color w:val="auto"/>
              </w:rPr>
            </w:pPr>
            <w:r>
              <w:rPr>
                <w:rFonts w:ascii="Arial" w:cs="Arial" w:eastAsia="Arial" w:hAnsi="Arial"/>
                <w:sz w:val="14"/>
                <w:szCs w:val="14"/>
                <w:b w:val="1"/>
                <w:bCs w:val="1"/>
                <w:color w:val="auto"/>
              </w:rPr>
              <w:t>Gains (Losses) Recognized in Income</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w w:val="93"/>
              </w:rPr>
              <w:t>Three months ended March 31,</w:t>
            </w:r>
          </w:p>
        </w:tc>
        <w:tc>
          <w:tcPr>
            <w:tcW w:w="260" w:type="dxa"/>
            <w:vAlign w:val="bottom"/>
          </w:tcPr>
          <w:p>
            <w:pPr>
              <w:spacing w:after="0"/>
              <w:rPr>
                <w:sz w:val="14"/>
                <w:szCs w:val="14"/>
                <w:color w:val="auto"/>
              </w:rPr>
            </w:pPr>
          </w:p>
        </w:tc>
        <w:tc>
          <w:tcPr>
            <w:tcW w:w="2080" w:type="dxa"/>
            <w:vAlign w:val="bottom"/>
            <w:gridSpan w:val="9"/>
          </w:tcPr>
          <w:p>
            <w:pPr>
              <w:ind w:left="12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348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98"/>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83"/>
              </w:rPr>
              <w:t>2015</w:t>
            </w: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Line item in statement of income:</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rPr>
              <w:t>Revenue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(17)</w:t>
            </w:r>
          </w:p>
        </w:tc>
        <w:tc>
          <w:tcPr>
            <w:tcW w:w="460" w:type="dxa"/>
            <w:vAlign w:val="bottom"/>
            <w:gridSpan w:val="2"/>
          </w:tcPr>
          <w:p>
            <w:pPr>
              <w:jc w:val="right"/>
              <w:ind w:right="2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4"/>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(644)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(265)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rPr>
              <w:t>Interest and other expense, net</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19,451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(1,036)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25,266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3"/>
        </w:trPr>
        <w:tc>
          <w:tcPr>
            <w:tcW w:w="4860" w:type="dxa"/>
            <w:vAlign w:val="bottom"/>
            <w:gridSpan w:val="3"/>
          </w:tcPr>
          <w:p>
            <w:pPr>
              <w:ind w:left="460"/>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(1,991</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16,141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7. Accounts Receivable, Net</w:t>
            </w: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860" w:type="dxa"/>
            <w:vAlign w:val="bottom"/>
            <w:gridSpan w:val="3"/>
            <w:vMerge w:val="continue"/>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60" w:type="dxa"/>
            <w:vAlign w:val="bottom"/>
            <w:gridSpan w:val="3"/>
          </w:tcPr>
          <w:p>
            <w:pPr>
              <w:ind w:left="460"/>
              <w:spacing w:after="0"/>
              <w:rPr>
                <w:sz w:val="20"/>
                <w:szCs w:val="20"/>
                <w:color w:val="auto"/>
              </w:rPr>
            </w:pPr>
            <w:r>
              <w:rPr>
                <w:rFonts w:ascii="Arial" w:cs="Arial" w:eastAsia="Arial" w:hAnsi="Arial"/>
                <w:sz w:val="18"/>
                <w:szCs w:val="18"/>
                <w:color w:val="auto"/>
              </w:rPr>
              <w:t>Accounts receivable, net consists of the following:</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As of</w:t>
            </w: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March 31,</w:t>
            </w:r>
          </w:p>
        </w:tc>
        <w:tc>
          <w:tcPr>
            <w:tcW w:w="260" w:type="dxa"/>
            <w:vAlign w:val="bottom"/>
          </w:tcPr>
          <w:p>
            <w:pPr>
              <w:spacing w:after="0"/>
              <w:rPr>
                <w:sz w:val="10"/>
                <w:szCs w:val="10"/>
                <w:color w:val="auto"/>
              </w:rPr>
            </w:pPr>
          </w:p>
        </w:tc>
        <w:tc>
          <w:tcPr>
            <w:tcW w:w="1060" w:type="dxa"/>
            <w:vAlign w:val="bottom"/>
            <w:gridSpan w:val="4"/>
          </w:tcPr>
          <w:p>
            <w:pPr>
              <w:ind w:left="18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98"/>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 billed</w:t>
            </w:r>
          </w:p>
        </w:tc>
        <w:tc>
          <w:tcPr>
            <w:tcW w:w="1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$675,569</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617,712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103,752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134,523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Less-allowances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(46,518)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(36,398)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400" w:type="dxa"/>
            <w:vAlign w:val="bottom"/>
            <w:gridSpan w:val="2"/>
          </w:tcPr>
          <w:p>
            <w:pPr>
              <w:ind w:left="920"/>
              <w:spacing w:after="0"/>
              <w:rPr>
                <w:sz w:val="20"/>
                <w:szCs w:val="20"/>
                <w:color w:val="auto"/>
              </w:rPr>
            </w:pPr>
            <w:r>
              <w:rPr>
                <w:rFonts w:ascii="Arial" w:cs="Arial" w:eastAsia="Arial" w:hAnsi="Arial"/>
                <w:sz w:val="18"/>
                <w:szCs w:val="18"/>
                <w:color w:val="auto"/>
              </w:rPr>
              <w:t>Accounts receivable, net</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732,803</w:t>
            </w:r>
          </w:p>
        </w:tc>
        <w:tc>
          <w:tcPr>
            <w:tcW w:w="14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715,837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20" w:type="dxa"/>
            <w:vAlign w:val="bottom"/>
            <w:vMerge w:val="restart"/>
          </w:tcPr>
          <w:p>
            <w:pPr>
              <w:jc w:val="right"/>
              <w:ind w:right="39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(benefit) for income taxes for the following periods consisted of:</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98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2"/>
              </w:rPr>
              <w:t>Three months</w:t>
            </w:r>
          </w:p>
        </w:tc>
        <w:tc>
          <w:tcPr>
            <w:tcW w:w="17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gridSpan w:val="2"/>
          </w:tcPr>
          <w:p>
            <w:pPr>
              <w:jc w:val="center"/>
              <w:ind w:left="560"/>
              <w:spacing w:after="0" w:line="149" w:lineRule="exact"/>
              <w:rPr>
                <w:sz w:val="20"/>
                <w:szCs w:val="20"/>
                <w:color w:val="auto"/>
              </w:rPr>
            </w:pPr>
            <w:r>
              <w:rPr>
                <w:rFonts w:ascii="Arial" w:cs="Arial" w:eastAsia="Arial" w:hAnsi="Arial"/>
                <w:sz w:val="14"/>
                <w:szCs w:val="14"/>
                <w:b w:val="1"/>
                <w:bCs w:val="1"/>
                <w:color w:val="auto"/>
                <w:w w:val="87"/>
              </w:rPr>
              <w:t>ended</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98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9"/>
              </w:rPr>
              <w:t>March 31,</w:t>
            </w:r>
          </w:p>
        </w:tc>
        <w:tc>
          <w:tcPr>
            <w:tcW w:w="17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0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29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$23,569</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7,290</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$ 59,405</w:t>
            </w:r>
          </w:p>
        </w:tc>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$19,744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Deferred</w:t>
            </w:r>
          </w:p>
        </w:tc>
        <w:tc>
          <w:tcPr>
            <w:tcW w:w="2900" w:type="dxa"/>
            <w:vAlign w:val="bottom"/>
          </w:tcPr>
          <w:p>
            <w:pPr>
              <w:spacing w:after="0"/>
              <w:rPr>
                <w:sz w:val="18"/>
                <w:szCs w:val="18"/>
                <w:color w:val="auto"/>
              </w:rPr>
            </w:pPr>
          </w:p>
        </w:tc>
        <w:tc>
          <w:tcPr>
            <w:tcW w:w="980" w:type="dxa"/>
            <w:vAlign w:val="bottom"/>
            <w:gridSpan w:val="2"/>
          </w:tcPr>
          <w:p>
            <w:pPr>
              <w:jc w:val="right"/>
              <w:ind w:right="248"/>
              <w:spacing w:after="0"/>
              <w:rPr>
                <w:sz w:val="20"/>
                <w:szCs w:val="20"/>
                <w:color w:val="auto"/>
              </w:rPr>
            </w:pPr>
            <w:r>
              <w:rPr>
                <w:rFonts w:ascii="Arial" w:cs="Arial" w:eastAsia="Arial" w:hAnsi="Arial"/>
                <w:sz w:val="18"/>
                <w:szCs w:val="18"/>
                <w:color w:val="auto"/>
              </w:rPr>
              <w:t>(3,499)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4,293</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(27,260)</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9,690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88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20,070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11,583</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4"/>
              </w:rPr>
              <w:t>$ 32,145</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29,434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38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17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8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124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Foreign taxes</w:t>
            </w: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18"/>
                <w:szCs w:val="18"/>
                <w:color w:val="auto"/>
              </w:rPr>
            </w:pPr>
          </w:p>
        </w:tc>
        <w:tc>
          <w:tcPr>
            <w:tcW w:w="1120" w:type="dxa"/>
            <w:vAlign w:val="bottom"/>
            <w:gridSpan w:val="2"/>
          </w:tcPr>
          <w:p>
            <w:pPr>
              <w:jc w:val="right"/>
              <w:ind w:right="668"/>
              <w:spacing w:after="0"/>
              <w:rPr>
                <w:sz w:val="20"/>
                <w:szCs w:val="20"/>
                <w:color w:val="auto"/>
              </w:rPr>
            </w:pPr>
            <w:r>
              <w:rPr>
                <w:rFonts w:ascii="Arial" w:cs="Arial" w:eastAsia="Arial" w:hAnsi="Arial"/>
                <w:sz w:val="18"/>
                <w:szCs w:val="18"/>
                <w:color w:val="auto"/>
              </w:rPr>
              <w:t>12</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24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15%</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w:t>
            </w:r>
          </w:p>
        </w:tc>
        <w:tc>
          <w:tcPr>
            <w:tcW w:w="11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12%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a Guernsey company subject to a corporate tax rate of zero percent, the Company’s overall effective tax rate is attributable to foreign taxes.</w:t>
      </w:r>
    </w:p>
    <w:p>
      <w:pPr>
        <w:spacing w:after="0" w:line="23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Foreign taxes in the six months ended March 31, 2015 include a net benefit of approximately $7,500 due to settlements of tax audits in certain jurisdictions during the three months ended December 31, 2014, that resulted in a reduction to the Company’s provision for gross unrecognized tax benefits, partially offset by an increase to the Company’s taxes payable. Foreign taxes in the six months ended March 31, 2015 also include a net benefit of approximately $23,000 resulting from the release of valuation allowances on deferred tax assets at several of the Company’s subsidiaries, which will, more likely than not, be realized due to the Company’s projections of future taxable income.</w:t>
      </w:r>
    </w:p>
    <w:p>
      <w:pPr>
        <w:spacing w:after="0" w:line="188"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As of March 31, 2015, deferred tax assets of $101,640, derived primarily from tax credits, net capital and operating loss carry forwards related to some of the Company’s subsidiaries, were offset by valuation allowances related to the uncertainty of realizing tax benefit for such credits and losses.</w:t>
      </w:r>
    </w:p>
    <w:p>
      <w:pPr>
        <w:spacing w:after="0" w:line="14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total amount of gross unrecognized tax benefits, which includes interest and penalties, was $121,568 as of March 31, 2015, all of which would affect the effective tax rate if realized. In the three months ended March 31, 2014, the Company reduced the amount of its provision for gross unrecognized tax benefits by approximately $9,000, which affected the Company’s effective tax rate. This included a decrease of approximately $13,000 in the Company’s provision for gross unrecognized tax benefits as a result of a tax position, which was settled during the three months ended March 31, 2014.</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2015, the Company had accrued $21,089 in income taxes payable for interest and penalties relating to unrecognized tax benefits.</w:t>
      </w:r>
    </w:p>
    <w:p>
      <w:pPr>
        <w:spacing w:after="0" w:line="248"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Company is currently under audit in several jurisdictions for the tax years 2007 and onwards. Timing of the resolution of audits is highly uncertain and therefore the Company generally cannot estimate the change in unrecognized tax benefits resulting from these audits within the next 12 months.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3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Numerator for basic and diluted earnings per share</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116,261</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110,357</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247,251</w:t>
            </w: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211,792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20" w:type="dxa"/>
            <w:vAlign w:val="bottom"/>
          </w:tcPr>
          <w:p>
            <w:pPr>
              <w:ind w:left="360"/>
              <w:spacing w:after="0" w:line="201" w:lineRule="exact"/>
              <w:rPr>
                <w:sz w:val="20"/>
                <w:szCs w:val="20"/>
                <w:color w:val="auto"/>
              </w:rPr>
            </w:pPr>
            <w:r>
              <w:rPr>
                <w:rFonts w:ascii="Arial" w:cs="Arial" w:eastAsia="Arial" w:hAnsi="Arial"/>
                <w:sz w:val="18"/>
                <w:szCs w:val="18"/>
                <w:color w:val="auto"/>
                <w:w w:val="91"/>
              </w:rPr>
              <w:t>Denominator for basic earnings per share — weighted average number of shares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540"/>
              <w:spacing w:after="0"/>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155,106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159,812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155,506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159,734</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assumed conversion of 0.50% convertible notes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tcPr>
          <w:p>
            <w:pPr>
              <w:ind w:left="360"/>
              <w:spacing w:after="0"/>
              <w:rPr>
                <w:sz w:val="20"/>
                <w:szCs w:val="20"/>
                <w:color w:val="auto"/>
              </w:rPr>
            </w:pPr>
            <w:r>
              <w:rPr>
                <w:rFonts w:ascii="Arial" w:cs="Arial" w:eastAsia="Arial" w:hAnsi="Arial"/>
                <w:sz w:val="18"/>
                <w:szCs w:val="18"/>
                <w:color w:val="auto"/>
              </w:rPr>
              <w:t>Effect of dilutive stock options granted</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2,236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2,415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2,290</w:t>
            </w:r>
          </w:p>
        </w:tc>
        <w:tc>
          <w:tcPr>
            <w:tcW w:w="0" w:type="dxa"/>
            <w:vAlign w:val="bottom"/>
          </w:tcPr>
          <w:p>
            <w:pPr>
              <w:spacing w:after="0"/>
              <w:rPr>
                <w:sz w:val="1"/>
                <w:szCs w:val="1"/>
                <w:color w:val="auto"/>
              </w:rPr>
            </w:pPr>
          </w:p>
        </w:tc>
      </w:tr>
      <w:tr>
        <w:trPr>
          <w:trHeight w:val="202"/>
        </w:trPr>
        <w:tc>
          <w:tcPr>
            <w:tcW w:w="63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Denominator for diluted earnings per share — adjusted weighted average shares</w:t>
            </w: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 assumed conversions</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157,357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162,251</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157,738</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162,048</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360"/>
              <w:spacing w:after="0"/>
              <w:rPr>
                <w:sz w:val="20"/>
                <w:szCs w:val="20"/>
                <w:color w:val="auto"/>
              </w:rPr>
            </w:pPr>
            <w:r>
              <w:rPr>
                <w:rFonts w:ascii="Arial" w:cs="Arial" w:eastAsia="Arial" w:hAnsi="Arial"/>
                <w:sz w:val="18"/>
                <w:szCs w:val="18"/>
                <w:color w:val="auto"/>
              </w:rPr>
              <w:t>Basic earnings per share</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75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59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earnings per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74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31</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360"/>
          </w:cols>
          <w:pgMar w:left="240" w:top="459" w:right="299" w:bottom="1440" w:gutter="0" w:footer="0" w:header="0"/>
        </w:sectPr>
      </w:pPr>
    </w:p>
    <w:p>
      <w:pPr>
        <w:jc w:val="center"/>
        <w:ind w:right="-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60"/>
          </w:cols>
          <w:pgMar w:left="240" w:top="459" w:right="2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three and six months ended March 31, 2015, 1,778 and 1,295 shares, respectively, on a weighted average basis, were attributable to antidilutive outstanding stock options. For the three and six months ended March 31, 2014, 1,287 and 1,175 shares, respectively, on a weighted average basis, were attributable to antidilutive outstanding stock options. Shares attributable to antidilutive outstanding stock options were not included in the calculation of diluted earnings per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Repurchase of Shares</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From time to time, the Company’s Board of Directors has adopted share repurchase plans authorizing the repurchase of the Company’s outstanding ordinary shares. The current share repurchase plan, adopted by the Company’s Board of Directors on April 30, 2014, authorizes the repurchase of up to $750,000 of the Company’s outstanding ordinary shares with no expiration date. In the six months ended March 31, 2015, the Company repurchased approximately 4,351 ordinary shares at an average price of $48.75 per share (excluding broker and transaction fees). As of March 31, 2015, the Company had remaining authority to repurchase up to $501,849 of its outstanding ordinary shares. The authorization permits the Company to purchase its ordinary shares in open market or privately negotiated transactions at times and prices that it considers appropriate.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Financing Arrangements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September 2014, the Company borrowed an aggregate of $210,000 under its unsecured $500,000 five-year revolving credit facility with a syndicate of banks and repaid it in October 2014. In December 2014, the credit facility was amended and restated to, among other things, extend the maturity date of the facility to December 2019. As of March 31, 2015, the Company was in compliance with the financial covenants under the revolving credit facility and had no outstanding borrowings under this facility.</w:t>
      </w:r>
    </w:p>
    <w:p>
      <w:pPr>
        <w:spacing w:after="0" w:line="187"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As of March 31, 2015, the Company had additional uncommitted lines of credit available for general corporate and other specific purposes and had outstanding letters of credit and bank guarantees from various banks totaling $58,001. These were supported by a combination of the uncommitted lines of credit and restricted cash balances that the Company maintains with various banks.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Option and Incentive Plan</w:t>
      </w:r>
    </w:p>
    <w:p>
      <w:pPr>
        <w:spacing w:after="0" w:line="121" w:lineRule="exact"/>
        <w:rPr>
          <w:sz w:val="20"/>
          <w:szCs w:val="20"/>
          <w:color w:val="auto"/>
        </w:rPr>
      </w:pPr>
    </w:p>
    <w:p>
      <w:pPr>
        <w:jc w:val="both"/>
        <w:ind w:right="180" w:firstLine="456"/>
        <w:spacing w:after="0" w:line="288" w:lineRule="auto"/>
        <w:rPr>
          <w:sz w:val="20"/>
          <w:szCs w:val="20"/>
          <w:color w:val="auto"/>
        </w:rPr>
      </w:pPr>
      <w:r>
        <w:rPr>
          <w:rFonts w:ascii="Arial" w:cs="Arial" w:eastAsia="Arial" w:hAnsi="Arial"/>
          <w:sz w:val="16"/>
          <w:szCs w:val="16"/>
          <w:color w:val="auto"/>
        </w:rPr>
        <w:t>In January 1998, the Company adopted the 1998 Stock Option and Incentive Plan, or Equity Incentive Plan, which provides for the grant of restricted stock awards, stock options and other equity-based awards to employees, officers, directors, and consultants. The purpose of the Equity Incentive Plan is to enable the Company to attract and retain qualified personnel and to motivate such persons by providing them with an equity participation in the Company.</w:t>
      </w:r>
    </w:p>
    <w:p>
      <w:pPr>
        <w:jc w:val="both"/>
        <w:ind w:right="140"/>
        <w:spacing w:after="0" w:line="302" w:lineRule="auto"/>
        <w:rPr>
          <w:sz w:val="20"/>
          <w:szCs w:val="20"/>
          <w:color w:val="auto"/>
        </w:rPr>
      </w:pPr>
      <w:r>
        <w:rPr>
          <w:rFonts w:ascii="Arial" w:cs="Arial" w:eastAsia="Arial" w:hAnsi="Arial"/>
          <w:sz w:val="16"/>
          <w:szCs w:val="16"/>
          <w:color w:val="auto"/>
        </w:rPr>
        <w:t>Since its adoption, the Equity Incentive Plan has been amended on several occasions to, among other things, increase the number of ordinary shares issuable under the Equity Incentive Plan and extend its term. The maximum number of ordinary shares currently authorized to be granted under the Equity Incentive Plan is 62,300. Awards granted under the Equity Incentive Plan generally vest over a period of four years and stock options have a term of ten years.</w:t>
      </w:r>
    </w:p>
    <w:p>
      <w:pPr>
        <w:spacing w:after="0" w:line="151"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The following table summarizes information about options to purchase the Company</w:t>
      </w:r>
      <w:r>
        <w:rPr>
          <w:rFonts w:ascii="Arial" w:cs="Arial" w:eastAsia="Arial" w:hAnsi="Arial"/>
          <w:sz w:val="18"/>
          <w:szCs w:val="18"/>
          <w:b w:val="1"/>
          <w:bCs w:val="1"/>
          <w:color w:val="auto"/>
        </w:rPr>
        <w:t>’</w:t>
      </w:r>
      <w:r>
        <w:rPr>
          <w:rFonts w:ascii="Arial" w:cs="Arial" w:eastAsia="Arial" w:hAnsi="Arial"/>
          <w:sz w:val="18"/>
          <w:szCs w:val="18"/>
          <w:color w:val="auto"/>
        </w:rPr>
        <w:t>s ordinary shares, as well as changes during the six-month period ended March 31, 2015:</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91"/>
              </w:rPr>
              <w:t>Number of</w:t>
            </w:r>
          </w:p>
        </w:tc>
        <w:tc>
          <w:tcPr>
            <w:tcW w:w="12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Average</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Exercise</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10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3"/>
              </w:rPr>
              <w:t>Price</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October 1, 2014</w:t>
            </w:r>
          </w:p>
        </w:tc>
        <w:tc>
          <w:tcPr>
            <w:tcW w:w="2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9,563</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6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Granted</w:t>
            </w:r>
          </w:p>
        </w:tc>
        <w:tc>
          <w:tcPr>
            <w:tcW w:w="3940" w:type="dxa"/>
            <w:vAlign w:val="bottom"/>
            <w:gridSpan w:val="3"/>
          </w:tcPr>
          <w:p>
            <w:pPr>
              <w:jc w:val="right"/>
              <w:ind w:right="600"/>
              <w:spacing w:after="0"/>
              <w:rPr>
                <w:sz w:val="20"/>
                <w:szCs w:val="20"/>
                <w:color w:val="auto"/>
              </w:rPr>
            </w:pPr>
            <w:r>
              <w:rPr>
                <w:rFonts w:ascii="Arial" w:cs="Arial" w:eastAsia="Arial" w:hAnsi="Arial"/>
                <w:sz w:val="18"/>
                <w:szCs w:val="18"/>
                <w:color w:val="auto"/>
              </w:rPr>
              <w:t>1,945</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47.95</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9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31.01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0" w:type="dxa"/>
            <w:vAlign w:val="bottom"/>
          </w:tcPr>
          <w:p>
            <w:pPr>
              <w:spacing w:after="0"/>
              <w:rPr>
                <w:sz w:val="20"/>
                <w:szCs w:val="20"/>
                <w:color w:val="auto"/>
              </w:rPr>
            </w:pPr>
            <w:r>
              <w:rPr>
                <w:rFonts w:ascii="Arial" w:cs="Arial" w:eastAsia="Arial" w:hAnsi="Arial"/>
                <w:sz w:val="18"/>
                <w:szCs w:val="18"/>
                <w:color w:val="auto"/>
              </w:rPr>
              <w:t>Forfeited</w:t>
            </w:r>
          </w:p>
        </w:tc>
        <w:tc>
          <w:tcPr>
            <w:tcW w:w="2660" w:type="dxa"/>
            <w:vAlign w:val="bottom"/>
          </w:tcPr>
          <w:p>
            <w:pPr>
              <w:spacing w:after="0"/>
              <w:rPr>
                <w:sz w:val="19"/>
                <w:szCs w:val="19"/>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36.42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March 31, 2015</w:t>
            </w:r>
          </w:p>
        </w:tc>
        <w:tc>
          <w:tcPr>
            <w:tcW w:w="26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9,270</w:t>
            </w: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8"/>
                <w:szCs w:val="18"/>
                <w:color w:val="auto"/>
              </w:rPr>
              <w:t>Exercisable as of March 31, 2015</w:t>
            </w:r>
          </w:p>
        </w:tc>
        <w:tc>
          <w:tcPr>
            <w:tcW w:w="2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vMerge w:val="continue"/>
          </w:tcPr>
          <w:p>
            <w:pPr>
              <w:spacing w:after="0"/>
              <w:rPr>
                <w:sz w:val="18"/>
                <w:szCs w:val="18"/>
                <w:color w:val="auto"/>
              </w:rPr>
            </w:pPr>
          </w:p>
        </w:tc>
        <w:tc>
          <w:tcPr>
            <w:tcW w:w="26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3,715</w:t>
            </w:r>
          </w:p>
        </w:tc>
        <w:tc>
          <w:tcPr>
            <w:tcW w:w="6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31.39</w:t>
            </w:r>
          </w:p>
        </w:tc>
        <w:tc>
          <w:tcPr>
            <w:tcW w:w="600" w:type="dxa"/>
            <w:vAlign w:val="bottom"/>
          </w:tcPr>
          <w:p>
            <w:pPr>
              <w:spacing w:after="0"/>
              <w:rPr>
                <w:sz w:val="18"/>
                <w:szCs w:val="18"/>
                <w:color w:val="auto"/>
              </w:rPr>
            </w:pPr>
          </w:p>
        </w:tc>
        <w:tc>
          <w:tcPr>
            <w:tcW w:w="7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79"/>
              </w:rPr>
              <w:t>5.64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660" w:type="dxa"/>
            <w:vAlign w:val="bottom"/>
            <w:vMerge w:val="restart"/>
          </w:tcPr>
          <w:p>
            <w:pPr>
              <w:jc w:val="right"/>
              <w:ind w:right="1290"/>
              <w:spacing w:after="0"/>
              <w:rPr>
                <w:sz w:val="20"/>
                <w:szCs w:val="20"/>
                <w:color w:val="auto"/>
              </w:rPr>
            </w:pPr>
            <w:r>
              <w:rPr>
                <w:rFonts w:ascii="Arial" w:cs="Arial" w:eastAsia="Arial" w:hAnsi="Arial"/>
                <w:sz w:val="18"/>
                <w:szCs w:val="18"/>
                <w:color w:val="auto"/>
              </w:rPr>
              <w:t>14</w:t>
            </w: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following table summarizes information relating to awards of restricted shares, as well as changes to such awards during the six-month period ended March 31, 2015:</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6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4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unvested shares as of October 1, 2014</w:t>
            </w:r>
          </w:p>
        </w:tc>
        <w:tc>
          <w:tcPr>
            <w:tcW w:w="7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Granted</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506</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(683)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Forfeited</w:t>
            </w:r>
          </w:p>
        </w:tc>
        <w:tc>
          <w:tcPr>
            <w:tcW w:w="78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(91)</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Outstanding unvested shares as of March 31, 2015</w:t>
            </w:r>
          </w:p>
        </w:tc>
        <w:tc>
          <w:tcPr>
            <w:tcW w:w="7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Equity-based payments to employees, including grants of employee stock options, are recognized in the statements of income based on their fair values.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 equity-based compensation pre-tax expense for the three and six months ended March 31, 2015 and 2014 was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gridSpan w:val="7"/>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200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6"/>
              </w:rPr>
              <w:t>Six months ended March 31,</w:t>
            </w:r>
          </w:p>
        </w:tc>
      </w:tr>
      <w:tr>
        <w:trPr>
          <w:trHeight w:val="142"/>
        </w:trPr>
        <w:tc>
          <w:tcPr>
            <w:tcW w:w="60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817</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872</w:t>
            </w: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1,754</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1,805</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5,294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13,988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12,772</w:t>
            </w: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9,825</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10,535</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23,723</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23,500</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The total income tax benefit recognized in the income statement for stock-based compensation (including restricted shares) for the three months ended March 31, 2015 and 2014, was $1,761 and $1,444, respectively, and for the six months ended March 31, 2015 and 2014, was $3,210 and $2,662, respectively.</w:t>
      </w:r>
    </w:p>
    <w:p>
      <w:pPr>
        <w:spacing w:after="0" w:line="124"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As of March 31, 2015, there was $56,961 of unrecognized compensation expense related to unvested stock options and unvested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selected the Black-Scholes option pricing model as the most appropriate fair value method for its equity-based awards. The Black-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assumptions used are noted in the following table (all in weighted averages for options granted during the period):</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4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2"/>
              </w:rPr>
              <w:t>Three months</w:t>
            </w:r>
          </w:p>
        </w:tc>
        <w:tc>
          <w:tcPr>
            <w:tcW w:w="16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Six months</w:t>
            </w:r>
          </w:p>
        </w:tc>
      </w:tr>
      <w:tr>
        <w:trPr>
          <w:trHeight w:val="149"/>
        </w:trPr>
        <w:tc>
          <w:tcPr>
            <w:tcW w:w="46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1"/>
        </w:trPr>
        <w:tc>
          <w:tcPr>
            <w:tcW w:w="46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9"/>
              </w:rPr>
              <w:t>March 31,</w:t>
            </w:r>
          </w:p>
        </w:tc>
        <w:tc>
          <w:tcPr>
            <w:tcW w:w="16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466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rate(1)</w:t>
            </w:r>
          </w:p>
        </w:tc>
        <w:tc>
          <w:tcPr>
            <w:tcW w:w="2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1.09%</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1.30%</w:t>
            </w: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1.24%</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Expected life of stock options(2)</w:t>
            </w:r>
          </w:p>
        </w:tc>
        <w:tc>
          <w:tcPr>
            <w:tcW w:w="3280" w:type="dxa"/>
            <w:vAlign w:val="bottom"/>
            <w:gridSpan w:val="3"/>
          </w:tcPr>
          <w:p>
            <w:pPr>
              <w:jc w:val="right"/>
              <w:ind w:right="488"/>
              <w:spacing w:after="0"/>
              <w:rPr>
                <w:sz w:val="20"/>
                <w:szCs w:val="20"/>
                <w:color w:val="auto"/>
              </w:rPr>
            </w:pPr>
            <w:r>
              <w:rPr>
                <w:rFonts w:ascii="Arial" w:cs="Arial" w:eastAsia="Arial" w:hAnsi="Arial"/>
                <w:sz w:val="18"/>
                <w:szCs w:val="18"/>
                <w:color w:val="auto"/>
              </w:rPr>
              <w:t>4.50</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4.50</w:t>
            </w:r>
          </w:p>
        </w:tc>
        <w:tc>
          <w:tcPr>
            <w:tcW w:w="980" w:type="dxa"/>
            <w:vAlign w:val="bottom"/>
            <w:gridSpan w:val="2"/>
          </w:tcPr>
          <w:p>
            <w:pPr>
              <w:jc w:val="right"/>
              <w:ind w:right="488"/>
              <w:spacing w:after="0"/>
              <w:rPr>
                <w:sz w:val="20"/>
                <w:szCs w:val="20"/>
                <w:color w:val="auto"/>
              </w:rPr>
            </w:pPr>
            <w:r>
              <w:rPr>
                <w:rFonts w:ascii="Arial" w:cs="Arial" w:eastAsia="Arial" w:hAnsi="Arial"/>
                <w:sz w:val="18"/>
                <w:szCs w:val="18"/>
                <w:color w:val="auto"/>
              </w:rPr>
              <w:t>4.50</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4.50</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volatility(3)</w:t>
            </w:r>
          </w:p>
        </w:tc>
        <w:tc>
          <w:tcPr>
            <w:tcW w:w="328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0.16</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0.17</w:t>
            </w:r>
          </w:p>
        </w:tc>
        <w:tc>
          <w:tcPr>
            <w:tcW w:w="9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0.15</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0.18</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Expected dividend yield(4)</w:t>
            </w:r>
          </w:p>
        </w:tc>
        <w:tc>
          <w:tcPr>
            <w:tcW w:w="3280" w:type="dxa"/>
            <w:vAlign w:val="bottom"/>
            <w:gridSpan w:val="3"/>
          </w:tcPr>
          <w:p>
            <w:pPr>
              <w:jc w:val="right"/>
              <w:ind w:right="328"/>
              <w:spacing w:after="0"/>
              <w:rPr>
                <w:sz w:val="20"/>
                <w:szCs w:val="20"/>
                <w:color w:val="auto"/>
              </w:rPr>
            </w:pPr>
            <w:r>
              <w:rPr>
                <w:rFonts w:ascii="Arial" w:cs="Arial" w:eastAsia="Arial" w:hAnsi="Arial"/>
                <w:sz w:val="18"/>
                <w:szCs w:val="18"/>
                <w:color w:val="auto"/>
              </w:rPr>
              <w:t>1.40%</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1.42%</w:t>
            </w:r>
          </w:p>
        </w:tc>
        <w:tc>
          <w:tcPr>
            <w:tcW w:w="980" w:type="dxa"/>
            <w:vAlign w:val="bottom"/>
            <w:gridSpan w:val="2"/>
          </w:tcPr>
          <w:p>
            <w:pPr>
              <w:jc w:val="right"/>
              <w:ind w:right="328"/>
              <w:spacing w:after="0"/>
              <w:rPr>
                <w:sz w:val="20"/>
                <w:szCs w:val="20"/>
                <w:color w:val="auto"/>
              </w:rPr>
            </w:pPr>
            <w:r>
              <w:rPr>
                <w:rFonts w:ascii="Arial" w:cs="Arial" w:eastAsia="Arial" w:hAnsi="Arial"/>
                <w:sz w:val="18"/>
                <w:szCs w:val="18"/>
                <w:color w:val="auto"/>
              </w:rPr>
              <w:t>1.41%</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328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$5.69</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$5.67</w:t>
            </w:r>
          </w:p>
        </w:tc>
        <w:tc>
          <w:tcPr>
            <w:tcW w:w="9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w w:val="88"/>
              </w:rPr>
              <w:t>$5.57</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$5.48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Risk-free interest rate is based upon U.S. Treasury yield curve appropriate for the term of the Company</w:t>
      </w:r>
      <w:r>
        <w:rPr>
          <w:rFonts w:ascii="Arial" w:cs="Arial" w:eastAsia="Arial" w:hAnsi="Arial"/>
          <w:sz w:val="18"/>
          <w:szCs w:val="18"/>
          <w:b w:val="1"/>
          <w:bCs w:val="1"/>
          <w:color w:val="auto"/>
        </w:rPr>
        <w:t>’</w:t>
      </w:r>
      <w:r>
        <w:rPr>
          <w:rFonts w:ascii="Arial" w:cs="Arial" w:eastAsia="Arial" w:hAnsi="Arial"/>
          <w:sz w:val="18"/>
          <w:szCs w:val="18"/>
          <w:color w:val="auto"/>
        </w:rPr>
        <w:t>s employee stock options.</w:t>
      </w:r>
    </w:p>
    <w:p>
      <w:pPr>
        <w:spacing w:after="0" w:line="27"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9" w:lineRule="exact"/>
        <w:rPr>
          <w:rFonts w:ascii="Arial" w:cs="Arial" w:eastAsia="Arial" w:hAnsi="Arial"/>
          <w:sz w:val="18"/>
          <w:szCs w:val="18"/>
          <w:color w:val="auto"/>
        </w:rPr>
      </w:pPr>
    </w:p>
    <w:p>
      <w:pPr>
        <w:ind w:left="460" w:right="50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volatility is based on a combination of implied volatility of the Company’s traded options and historical stock price volatility (“blended volatility”).</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21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Equity-based compensation recognized is reduced for estimated forfeitures and revised, if necessary, in subsequent periods if actual forfeitures differ from those estimates.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Board of Directors declared the following dividends during the six months ended March 31, 2015 and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288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Record Date</w:t>
            </w: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Amount</w:t>
            </w:r>
          </w:p>
        </w:tc>
        <w:tc>
          <w:tcPr>
            <w:tcW w:w="240" w:type="dxa"/>
            <w:vAlign w:val="bottom"/>
          </w:tcPr>
          <w:p>
            <w:pPr>
              <w:spacing w:after="0"/>
              <w:rPr>
                <w:sz w:val="14"/>
                <w:szCs w:val="14"/>
                <w:color w:val="auto"/>
              </w:rPr>
            </w:pPr>
          </w:p>
        </w:tc>
        <w:tc>
          <w:tcPr>
            <w:tcW w:w="250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1"/>
        </w:trPr>
        <w:tc>
          <w:tcPr>
            <w:tcW w:w="3200" w:type="dxa"/>
            <w:vAlign w:val="bottom"/>
            <w:gridSpan w:val="2"/>
            <w:vMerge w:val="continue"/>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Ordinary Share</w:t>
            </w:r>
          </w:p>
        </w:tc>
        <w:tc>
          <w:tcPr>
            <w:tcW w:w="2880" w:type="dxa"/>
            <w:vAlign w:val="bottom"/>
            <w:gridSpan w:val="2"/>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27, 2015</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0.170</w:t>
            </w:r>
          </w:p>
        </w:tc>
        <w:tc>
          <w:tcPr>
            <w:tcW w:w="500" w:type="dxa"/>
            <w:vAlign w:val="bottom"/>
            <w:vMerge w:val="continue"/>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March 31, 2015</w:t>
            </w:r>
          </w:p>
        </w:tc>
        <w:tc>
          <w:tcPr>
            <w:tcW w:w="4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26,286</w:t>
            </w:r>
          </w:p>
        </w:tc>
        <w:tc>
          <w:tcPr>
            <w:tcW w:w="26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April 16, 2015</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November 4, 2014</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0.155</w:t>
            </w:r>
          </w:p>
        </w:tc>
        <w:tc>
          <w:tcPr>
            <w:tcW w:w="2880" w:type="dxa"/>
            <w:vAlign w:val="bottom"/>
            <w:gridSpan w:val="2"/>
          </w:tcPr>
          <w:p>
            <w:pPr>
              <w:spacing w:after="0"/>
              <w:rPr>
                <w:sz w:val="20"/>
                <w:szCs w:val="20"/>
                <w:color w:val="auto"/>
              </w:rPr>
            </w:pPr>
            <w:r>
              <w:rPr>
                <w:rFonts w:ascii="Arial" w:cs="Arial" w:eastAsia="Arial" w:hAnsi="Arial"/>
                <w:sz w:val="18"/>
                <w:szCs w:val="18"/>
                <w:color w:val="auto"/>
              </w:rPr>
              <w:t>December 31, 2014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24,086</w:t>
            </w:r>
          </w:p>
        </w:tc>
        <w:tc>
          <w:tcPr>
            <w:tcW w:w="2740" w:type="dxa"/>
            <w:vAlign w:val="bottom"/>
            <w:gridSpan w:val="2"/>
          </w:tcPr>
          <w:p>
            <w:pPr>
              <w:ind w:left="240"/>
              <w:spacing w:after="0"/>
              <w:rPr>
                <w:sz w:val="20"/>
                <w:szCs w:val="20"/>
                <w:color w:val="auto"/>
              </w:rPr>
            </w:pPr>
            <w:r>
              <w:rPr>
                <w:rFonts w:ascii="Arial" w:cs="Arial" w:eastAsia="Arial" w:hAnsi="Arial"/>
                <w:sz w:val="18"/>
                <w:szCs w:val="18"/>
                <w:color w:val="auto"/>
              </w:rPr>
              <w:t>January 16, 2015</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29, 2014</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0.155</w:t>
            </w: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24,799</w:t>
            </w:r>
          </w:p>
        </w:tc>
        <w:tc>
          <w:tcPr>
            <w:tcW w:w="2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April 17, 2014</w:t>
            </w: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November 5, 2013</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0.130</w:t>
            </w:r>
          </w:p>
        </w:tc>
        <w:tc>
          <w:tcPr>
            <w:tcW w:w="2880" w:type="dxa"/>
            <w:vAlign w:val="bottom"/>
            <w:gridSpan w:val="2"/>
          </w:tcPr>
          <w:p>
            <w:pPr>
              <w:spacing w:after="0"/>
              <w:rPr>
                <w:sz w:val="20"/>
                <w:szCs w:val="20"/>
                <w:color w:val="auto"/>
              </w:rPr>
            </w:pPr>
            <w:r>
              <w:rPr>
                <w:rFonts w:ascii="Arial" w:cs="Arial" w:eastAsia="Arial" w:hAnsi="Arial"/>
                <w:sz w:val="18"/>
                <w:szCs w:val="18"/>
                <w:color w:val="auto"/>
              </w:rPr>
              <w:t>December 31, 2013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20,752</w:t>
            </w:r>
          </w:p>
        </w:tc>
        <w:tc>
          <w:tcPr>
            <w:tcW w:w="2740" w:type="dxa"/>
            <w:vAlign w:val="bottom"/>
            <w:gridSpan w:val="2"/>
          </w:tcPr>
          <w:p>
            <w:pPr>
              <w:ind w:left="240"/>
              <w:spacing w:after="0"/>
              <w:rPr>
                <w:sz w:val="20"/>
                <w:szCs w:val="20"/>
                <w:color w:val="auto"/>
              </w:rPr>
            </w:pPr>
            <w:r>
              <w:rPr>
                <w:rFonts w:ascii="Arial" w:cs="Arial" w:eastAsia="Arial" w:hAnsi="Arial"/>
                <w:sz w:val="18"/>
                <w:szCs w:val="18"/>
                <w:color w:val="auto"/>
              </w:rPr>
              <w:t>January 17, 2014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amount payable as a result of the January 27, 2015 declaration was included in accrued expenses and other current liabilities as of March 31, 2015.</w:t>
      </w:r>
    </w:p>
    <w:p>
      <w:pPr>
        <w:spacing w:after="0" w:line="248"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On April 29, 2015, the Company’s Board of Directors approved the next quarterly dividend payment, at the rate of $0.17 per share, and set June 30, 2015 as the record date for determining the shareholders entitled to receive the dividend, which is payable on July 17, 2015.</w:t>
      </w:r>
    </w:p>
    <w:p>
      <w:pPr>
        <w:spacing w:after="0" w:line="251" w:lineRule="exact"/>
        <w:rPr>
          <w:sz w:val="20"/>
          <w:szCs w:val="20"/>
          <w:color w:val="auto"/>
        </w:rPr>
      </w:pPr>
    </w:p>
    <w:p>
      <w:pPr>
        <w:ind w:left="460" w:right="9600" w:hanging="452"/>
        <w:spacing w:after="0" w:line="425" w:lineRule="auto"/>
        <w:tabs>
          <w:tab w:leader="none" w:pos="274"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i w:val="1"/>
          <w:iCs w:val="1"/>
          <w:color w:val="auto"/>
        </w:rPr>
        <w:t>Legal Proceedings</w:t>
      </w:r>
    </w:p>
    <w:p>
      <w:pPr>
        <w:spacing w:after="0" w:line="1"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generally offers its products with a limited warranty for a period of 90 days or more. The Company’s policy is to accrue for warranty costs, if needed, based on historical trends in product failure. Based on the Company’s experience, only minimal warranty charges have been required after revenue was fully recognized and, as a result, the Company did not accrue any amounts for product warranty liability during the six months ended March 31, 2015 and 2014.</w:t>
      </w:r>
    </w:p>
    <w:p>
      <w:pPr>
        <w:spacing w:after="0" w:line="187" w:lineRule="exact"/>
        <w:rPr>
          <w:sz w:val="20"/>
          <w:szCs w:val="20"/>
          <w:color w:val="auto"/>
        </w:rPr>
      </w:pPr>
    </w:p>
    <w:p>
      <w:pPr>
        <w:jc w:val="both"/>
        <w:ind w:right="60" w:firstLine="456"/>
        <w:spacing w:after="0" w:line="342" w:lineRule="auto"/>
        <w:rPr>
          <w:sz w:val="20"/>
          <w:szCs w:val="20"/>
          <w:color w:val="auto"/>
        </w:rPr>
      </w:pPr>
      <w:r>
        <w:rPr>
          <w:rFonts w:ascii="Arial" w:cs="Arial" w:eastAsia="Arial" w:hAnsi="Arial"/>
          <w:sz w:val="16"/>
          <w:szCs w:val="16"/>
          <w:color w:val="auto"/>
        </w:rPr>
        <w:t>The Company generally indemnifies its customers against claims of intellectual property infringement made by third parties arising from the use of the Company’s software. To date, the Company has incurred and recorded immaterial costs as a result of such obligations in its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As previously announced, on April 29, 2015, the Company entered into a definitive agreement to acquire a substantial majority of the assets of the business support systems (BSS) business unit of Comverse, Inc. (“Comverse”) for approximately $272,000 in cash, subject to customary closing conditions. The transaction is expected to close before the end of September 2015.</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2014, filed on December 8, 2014 with the U.S. Securities and Exchange Commission.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Amdocs is a leading provider of software and services for communications, entertainment and media industry service providers in developed countries and emerging markets. We develop, implement and manage software and services associated with business support systems (BSS), operational support systems (OSS) and network control and optimization domains to enable service providers to introduce new products and services quickly, understand their customers more deeply, process orders more efficiently, monetize data and support new business models while controlling costs. We refer to these systems collectively as customer experience solutions because of the crucial impact that these systems have on the service providers’ end-user experience.</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We believe the demand for our customer experience solutions is driven by the desire of service providers to help their consumers navigate the increasing number of devices, services and plans available in the connected communications world and the need of service providers to cope with the rapidly growing demand for data that these new devices and services have created. Released in the first quarter of fiscal 2015, Amdocs CES (Customer Experience Solutions) 9.2 spans BSS, OSS and network control and optimization domains to enable service providers to centralize product and service data from Amdocs and third parties, eliminate barriers between business needs and information technology implementation, allowing for new market-driven modes of business and significantly reduced service design and implementation times for accelerated time to market. Amdocs CES 9.2 enables service providers to provide next generation customer management by providing a consistent user experience across all applications and channels and close the loop from the customer to the network using insights derived from big data analytics that are delivered in real time from a variety of data sources, including the network and BSS suite. Within the network domain, Amdocs released several solutions to enable service providers to accelerate the transformation from physical to virtual networks and support the rapid deployment and monetization of multiple technologies, such as Fiber, LTE, Small Cells and Wi-Fi. In December 2014, we released the Amdocs Mobile Financial Services solution. This offering enables mobile network operators, banks and other financial institutions to drive adoption of financial services delivered over feature phones or smartphones, addressing the fundamental need of unbanked and under-banked populations worldwide for accessible and affordable banking services.</w:t>
      </w:r>
    </w:p>
    <w:p>
      <w:pPr>
        <w:spacing w:after="0" w:line="188"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We also offer advertising and media products and services for advertising service providers, media publishers and ad agencies. These offerings enable the management of media selling, fulfillment, operations, consumer experiences and financial processes across digital and print media.</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conduct our business globally, and as a result we are subject to the effects of global economic conditions and, in particular, market conditions in the communications, entertainment and media industry. In the six months ended March 31, 2015, customers in North America accounted for 72.2% of our revenue, while customers in Europe and the rest of the world accounted for 11.3% and 16.5%, respectively. We maintain development facilities in Brazil, Canada, Cyprus, India, Ireland, Israel the United Kingdom and the United States.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derive our revenue principally from:</w:t>
      </w:r>
    </w:p>
    <w:p>
      <w:pPr>
        <w:spacing w:after="0" w:line="131"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initial sales of licenses to use our products and related services, including modification, implementation, integration and customization services,</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130" w:lineRule="exact"/>
        <w:rPr>
          <w:rFonts w:ascii="Arial" w:cs="Arial" w:eastAsia="Arial" w:hAnsi="Arial"/>
          <w:sz w:val="18"/>
          <w:szCs w:val="18"/>
          <w:color w:val="auto"/>
        </w:rPr>
      </w:pPr>
    </w:p>
    <w:p>
      <w:pPr>
        <w:ind w:left="660" w:right="320" w:hanging="206"/>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70"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Revenue is recognized only when all of the following conditions have been met: (i) there is persuasive evidence of an arrangement; (ii) delivery has occurred; (iii) the fee is fixed or determinable; and (iv) collectibility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Contingent subsequent license fee revenue is recognized upon completion of specified conditions in each contract, based on a customer’s subscriber or transaction volume or other measurements when greater than the level specified in the contract for the initial license fee.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volume of data processed or subscriber count, depending on the specific contract terms of the managed services arrangement. Typically, managed services contracts are long-term in duration and are not subject to seasonality. Revenue from ongoing support services is recognized as work is performed.</w:t>
      </w:r>
    </w:p>
    <w:p>
      <w:pPr>
        <w:spacing w:after="0" w:line="18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17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A significant portion of our revenue is recognized over the course of long-term implementation and integration projects under the percentage of completion method of accounting, usually based on a percentage that incurred labor effort to date bears to total projected labor effort. When total cost estimates exceed revenue in a fixed-price arrangement, the estimated losses are recognized immediately based upon the cost applicable to the project. The percentage of completion method requires the exercise of judgment on a quarterly basis, such as with respect to estimates of progress-to-completion, contract revenue, loss contracts and contract costs. Progress in completing such projects may significantly affect our annual and quarterly operating results.</w:t>
      </w:r>
    </w:p>
    <w:p>
      <w:pPr>
        <w:spacing w:after="0" w:line="15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Revenue generated in connection with managed services arrangements is a significant part of our business, generating substantial, long-term recurring revenue streams and cash flow. Revenue from managed services arrangements accounted for approximately $448.8 million and $426.3 million in the three months ended March 31, 2015 and 2014, respectively, and $915.9 million and $855.6 million in the six months ended March 31, 2015 and 2014, respectively. In the initial period of our managed services projects, we often invest in modernization and consolidation of the customer’s systems. Managed services engagements can be less profitable in their early stages; however, margins tend to improve over time, more rapidly in the initial period of an engagement, as we derive benefit from the operational efficiencies and from changes in the geographical mix of our resources.</w:t>
      </w:r>
    </w:p>
    <w:p>
      <w:pPr>
        <w:spacing w:after="0" w:line="165"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On April 29, 2015, we entered into a definitive agreement to acquire a substantial majority of the assets of the BSS business unit of Comverse for approximately $272 million in cash, subject to customary closing conditions. We expect to incur acquisition-related expenses related to operating adjustments, restructuring charges and other acquisition-related costs, and the impact of this acquisition on our results of operations will not be known until after we complete the related purchase price allocation. The transaction is expected to close before the end of September 2015.</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May 2014, the Financial Accounting Standards Board, or FASB, issued an Accounting Standard Update, or ASU, on revenue from contracts with customers, which outlines a single comprehensive model for entities to use in accounting for revenue arising from contracts with customers and supersedes most current revenue recognition guidance. This ASU, which will be effective for us beginning October 1, 2017, allows for either full or modified retrospective methods of adoption and early adoption is not permitted. We are currently evaluating the methods of adoption, as well as the effect that adoption of this ASU will have on our consolidated financial statements. In April 2015, the FASB issued a proposed ASU to defer for one year the effective date of the ASU on revenue from contracts with customers. Comments on this proposed ASU are due by May 29, 2015.</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2013, the FASB issued an ASU that requires an entity to present an unrecognized tax benefit, or a portion of an unrecognized tax benefit, in the financial statements as a reduction to a deferred tax asset for a net operating loss carryforward, a similar tax loss, or a tax credit carryforward, in the absence of certain conditions. This ASU became effective for us in the first quarter of fiscal 2015 and its adoption resulted in a reclassification of $15.0 million from noncurrent taxes payable to assets under noncurrent deferred income taxes as of December 31, 2014.</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following table sets forth for the three and six months ended March 31, 2015 and 2014, certain items in our consolidated statements of income reflected as a percentage of total revenue:</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7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2"/>
              </w:rPr>
              <w:t>Three months</w:t>
            </w:r>
          </w:p>
        </w:tc>
        <w:tc>
          <w:tcPr>
            <w:tcW w:w="14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7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9"/>
              </w:rPr>
              <w:t>March 31,</w:t>
            </w:r>
          </w:p>
        </w:tc>
        <w:tc>
          <w:tcPr>
            <w:tcW w:w="14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4700" w:type="dxa"/>
            <w:vAlign w:val="bottom"/>
            <w:tcBorders>
              <w:bottom w:val="single" w:sz="8" w:color="CCEEFF"/>
            </w:tcBorders>
          </w:tcPr>
          <w:p>
            <w:pPr>
              <w:spacing w:after="0"/>
              <w:rPr>
                <w:sz w:val="12"/>
                <w:szCs w:val="12"/>
                <w:color w:val="auto"/>
              </w:rPr>
            </w:pPr>
          </w:p>
        </w:tc>
        <w:tc>
          <w:tcPr>
            <w:tcW w:w="266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2015</w:t>
            </w:r>
          </w:p>
        </w:tc>
        <w:tc>
          <w:tcPr>
            <w:tcW w:w="4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100%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8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Operating expenses:</w:t>
            </w:r>
          </w:p>
        </w:tc>
        <w:tc>
          <w:tcPr>
            <w:tcW w:w="2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352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64.3</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65.1</w:t>
            </w:r>
          </w:p>
        </w:tc>
        <w:tc>
          <w:tcPr>
            <w:tcW w:w="8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63.8</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520" w:type="dxa"/>
            <w:vAlign w:val="bottom"/>
            <w:gridSpan w:val="3"/>
          </w:tcPr>
          <w:p>
            <w:pPr>
              <w:jc w:val="right"/>
              <w:ind w:right="408"/>
              <w:spacing w:after="0"/>
              <w:rPr>
                <w:sz w:val="20"/>
                <w:szCs w:val="20"/>
                <w:color w:val="auto"/>
              </w:rPr>
            </w:pPr>
            <w:r>
              <w:rPr>
                <w:rFonts w:ascii="Arial" w:cs="Arial" w:eastAsia="Arial" w:hAnsi="Arial"/>
                <w:sz w:val="18"/>
                <w:szCs w:val="18"/>
                <w:color w:val="auto"/>
              </w:rPr>
              <w:t>7.0</w:t>
            </w: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7.0</w:t>
            </w:r>
          </w:p>
        </w:tc>
        <w:tc>
          <w:tcPr>
            <w:tcW w:w="860" w:type="dxa"/>
            <w:vAlign w:val="bottom"/>
            <w:gridSpan w:val="2"/>
          </w:tcPr>
          <w:p>
            <w:pPr>
              <w:jc w:val="right"/>
              <w:ind w:right="408"/>
              <w:spacing w:after="0"/>
              <w:rPr>
                <w:sz w:val="20"/>
                <w:szCs w:val="20"/>
                <w:color w:val="auto"/>
              </w:rPr>
            </w:pPr>
            <w:r>
              <w:rPr>
                <w:rFonts w:ascii="Arial" w:cs="Arial" w:eastAsia="Arial" w:hAnsi="Arial"/>
                <w:sz w:val="18"/>
                <w:szCs w:val="18"/>
                <w:color w:val="auto"/>
              </w:rPr>
              <w:t>7.0</w:t>
            </w:r>
          </w:p>
        </w:tc>
        <w:tc>
          <w:tcPr>
            <w:tcW w:w="38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352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11.9</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12.3</w:t>
            </w:r>
          </w:p>
        </w:tc>
        <w:tc>
          <w:tcPr>
            <w:tcW w:w="8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12.2</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2660" w:type="dxa"/>
            <w:vAlign w:val="bottom"/>
          </w:tcPr>
          <w:p>
            <w:pPr>
              <w:spacing w:after="0"/>
              <w:rPr>
                <w:sz w:val="18"/>
                <w:szCs w:val="18"/>
                <w:color w:val="auto"/>
              </w:rPr>
            </w:pPr>
          </w:p>
        </w:tc>
        <w:tc>
          <w:tcPr>
            <w:tcW w:w="860" w:type="dxa"/>
            <w:vAlign w:val="bottom"/>
            <w:gridSpan w:val="2"/>
          </w:tcPr>
          <w:p>
            <w:pPr>
              <w:jc w:val="right"/>
              <w:ind w:right="408"/>
              <w:spacing w:after="0"/>
              <w:rPr>
                <w:sz w:val="20"/>
                <w:szCs w:val="20"/>
                <w:color w:val="auto"/>
              </w:rPr>
            </w:pPr>
            <w:r>
              <w:rPr>
                <w:rFonts w:ascii="Arial" w:cs="Arial" w:eastAsia="Arial" w:hAnsi="Arial"/>
                <w:sz w:val="18"/>
                <w:szCs w:val="18"/>
                <w:color w:val="auto"/>
              </w:rPr>
              <w:t>1.5</w:t>
            </w: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1.8</w:t>
            </w:r>
          </w:p>
        </w:tc>
        <w:tc>
          <w:tcPr>
            <w:tcW w:w="860" w:type="dxa"/>
            <w:vAlign w:val="bottom"/>
            <w:gridSpan w:val="2"/>
          </w:tcPr>
          <w:p>
            <w:pPr>
              <w:jc w:val="right"/>
              <w:ind w:right="408"/>
              <w:spacing w:after="0"/>
              <w:rPr>
                <w:sz w:val="20"/>
                <w:szCs w:val="20"/>
                <w:color w:val="auto"/>
              </w:rPr>
            </w:pPr>
            <w:r>
              <w:rPr>
                <w:rFonts w:ascii="Arial" w:cs="Arial" w:eastAsia="Arial" w:hAnsi="Arial"/>
                <w:sz w:val="18"/>
                <w:szCs w:val="18"/>
                <w:color w:val="auto"/>
              </w:rPr>
              <w:t>1.5</w:t>
            </w: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84.7</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86.2</w:t>
            </w:r>
          </w:p>
        </w:tc>
        <w:tc>
          <w:tcPr>
            <w:tcW w:w="8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84.5</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23"/>
        </w:trPr>
        <w:tc>
          <w:tcPr>
            <w:tcW w:w="470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266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4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460" w:type="dxa"/>
            <w:vAlign w:val="bottom"/>
          </w:tcPr>
          <w:p>
            <w:pPr>
              <w:spacing w:after="0"/>
              <w:rPr>
                <w:sz w:val="19"/>
                <w:szCs w:val="19"/>
                <w:color w:val="auto"/>
              </w:rPr>
            </w:pPr>
          </w:p>
        </w:tc>
        <w:tc>
          <w:tcPr>
            <w:tcW w:w="3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79"/>
              </w:rPr>
              <w:t>15.5</w:t>
            </w:r>
          </w:p>
        </w:tc>
        <w:tc>
          <w:tcPr>
            <w:tcW w:w="4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other expense, net</w:t>
            </w:r>
          </w:p>
        </w:tc>
        <w:tc>
          <w:tcPr>
            <w:tcW w:w="352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0.2</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w:t>
            </w:r>
          </w:p>
        </w:tc>
        <w:tc>
          <w:tcPr>
            <w:tcW w:w="8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266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4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460" w:type="dxa"/>
            <w:vAlign w:val="bottom"/>
          </w:tcPr>
          <w:p>
            <w:pPr>
              <w:spacing w:after="0"/>
              <w:rPr>
                <w:sz w:val="19"/>
                <w:szCs w:val="19"/>
                <w:color w:val="auto"/>
              </w:rPr>
            </w:pPr>
          </w:p>
        </w:tc>
        <w:tc>
          <w:tcPr>
            <w:tcW w:w="3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79"/>
              </w:rPr>
              <w:t>15.5</w:t>
            </w:r>
          </w:p>
        </w:tc>
        <w:tc>
          <w:tcPr>
            <w:tcW w:w="4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2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2.2</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w:t>
            </w:r>
          </w:p>
        </w:tc>
        <w:tc>
          <w:tcPr>
            <w:tcW w:w="8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360"/>
              <w:spacing w:after="0"/>
              <w:rPr>
                <w:sz w:val="20"/>
                <w:szCs w:val="20"/>
                <w:color w:val="auto"/>
              </w:rPr>
            </w:pPr>
            <w:r>
              <w:rPr>
                <w:rFonts w:ascii="Arial" w:cs="Arial" w:eastAsia="Arial" w:hAnsi="Arial"/>
                <w:sz w:val="18"/>
                <w:szCs w:val="18"/>
                <w:color w:val="auto"/>
              </w:rPr>
              <w:t>Net income</w:t>
            </w:r>
          </w:p>
        </w:tc>
        <w:tc>
          <w:tcPr>
            <w:tcW w:w="26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vMerge w:val="continue"/>
          </w:tcPr>
          <w:p>
            <w:pPr>
              <w:spacing w:after="0"/>
              <w:rPr>
                <w:sz w:val="19"/>
                <w:szCs w:val="19"/>
                <w:color w:val="auto"/>
              </w:rPr>
            </w:pPr>
          </w:p>
        </w:tc>
        <w:tc>
          <w:tcPr>
            <w:tcW w:w="2660" w:type="dxa"/>
            <w:vAlign w:val="bottom"/>
            <w:vMerge w:val="continue"/>
          </w:tcPr>
          <w:p>
            <w:pPr>
              <w:spacing w:after="0"/>
              <w:rPr>
                <w:sz w:val="19"/>
                <w:szCs w:val="19"/>
                <w:color w:val="auto"/>
              </w:rPr>
            </w:pPr>
          </w:p>
        </w:tc>
        <w:tc>
          <w:tcPr>
            <w:tcW w:w="860" w:type="dxa"/>
            <w:vAlign w:val="bottom"/>
            <w:gridSpan w:val="2"/>
          </w:tcPr>
          <w:p>
            <w:pPr>
              <w:jc w:val="right"/>
              <w:ind w:right="248"/>
              <w:spacing w:after="0"/>
              <w:rPr>
                <w:sz w:val="20"/>
                <w:szCs w:val="20"/>
                <w:color w:val="auto"/>
              </w:rPr>
            </w:pPr>
            <w:r>
              <w:rPr>
                <w:rFonts w:ascii="Arial" w:cs="Arial" w:eastAsia="Arial" w:hAnsi="Arial"/>
                <w:sz w:val="18"/>
                <w:szCs w:val="18"/>
                <w:color w:val="auto"/>
              </w:rPr>
              <w:t>12.9%</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12.3%</w:t>
            </w:r>
          </w:p>
        </w:tc>
        <w:tc>
          <w:tcPr>
            <w:tcW w:w="860" w:type="dxa"/>
            <w:vAlign w:val="bottom"/>
            <w:gridSpan w:val="2"/>
          </w:tcPr>
          <w:p>
            <w:pPr>
              <w:jc w:val="right"/>
              <w:ind w:right="248"/>
              <w:spacing w:after="0"/>
              <w:rPr>
                <w:sz w:val="20"/>
                <w:szCs w:val="20"/>
                <w:color w:val="auto"/>
              </w:rPr>
            </w:pPr>
            <w:r>
              <w:rPr>
                <w:rFonts w:ascii="Arial" w:cs="Arial" w:eastAsia="Arial" w:hAnsi="Arial"/>
                <w:sz w:val="18"/>
                <w:szCs w:val="18"/>
                <w:color w:val="auto"/>
              </w:rPr>
              <w:t>13.7%</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12.0%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60" w:type="dxa"/>
            <w:vAlign w:val="bottom"/>
            <w:vMerge w:val="restart"/>
          </w:tcPr>
          <w:p>
            <w:pPr>
              <w:jc w:val="right"/>
              <w:ind w:right="1930"/>
              <w:spacing w:after="0"/>
              <w:rPr>
                <w:sz w:val="20"/>
                <w:szCs w:val="20"/>
                <w:color w:val="auto"/>
              </w:rPr>
            </w:pPr>
            <w:r>
              <w:rPr>
                <w:rFonts w:ascii="Arial" w:cs="Arial" w:eastAsia="Arial" w:hAnsi="Arial"/>
                <w:sz w:val="18"/>
                <w:szCs w:val="18"/>
                <w:color w:val="auto"/>
              </w:rPr>
              <w:t>19</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March 31, 2015 and 2014</w:t>
      </w:r>
    </w:p>
    <w:p>
      <w:pPr>
        <w:spacing w:after="0" w:line="121" w:lineRule="exact"/>
        <w:rPr>
          <w:sz w:val="20"/>
          <w:szCs w:val="20"/>
          <w:color w:val="auto"/>
        </w:rPr>
      </w:pPr>
    </w:p>
    <w:p>
      <w:pPr>
        <w:ind w:right="640" w:firstLine="456"/>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six months ended March 31, 2015 compared to the six months ended March 31, 2014. Following the table is a discussion and analysis of our business and results of operations for such periods.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9"/>
              </w:rPr>
              <w:t>Six months ended</w:t>
            </w:r>
          </w:p>
        </w:tc>
        <w:tc>
          <w:tcPr>
            <w:tcW w:w="180" w:type="dxa"/>
            <w:vAlign w:val="bottom"/>
          </w:tcPr>
          <w:p>
            <w:pPr>
              <w:spacing w:after="0"/>
              <w:rPr>
                <w:sz w:val="14"/>
                <w:szCs w:val="14"/>
                <w:color w:val="auto"/>
              </w:rPr>
            </w:pPr>
          </w:p>
        </w:tc>
        <w:tc>
          <w:tcPr>
            <w:tcW w:w="164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w w:val="98"/>
              </w:rPr>
              <w:t>Increase (Decrease)</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4"/>
          </w:tcPr>
          <w:p>
            <w:pPr>
              <w:ind w:left="24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1,808,865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1,760,899</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47,966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1,154,017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1,140,687</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13,330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126,446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125,429</w:t>
            </w: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1,017</w:t>
            </w:r>
          </w:p>
        </w:tc>
        <w:tc>
          <w:tcPr>
            <w:tcW w:w="44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220,766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222,397</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(1,631)</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28,115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27,848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267</w:t>
            </w: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1,529,344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1,516,361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12,983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279,521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244,538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34,983</w:t>
            </w:r>
          </w:p>
        </w:tc>
        <w:tc>
          <w:tcPr>
            <w:tcW w:w="4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3,312</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(3,187)</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279,396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241,226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38,170</w:t>
            </w:r>
          </w:p>
        </w:tc>
        <w:tc>
          <w:tcPr>
            <w:tcW w:w="4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32,145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29,434</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2,711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247,251</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211,792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35,459</w:t>
            </w:r>
          </w:p>
        </w:tc>
        <w:tc>
          <w:tcPr>
            <w:tcW w:w="4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increased by $48.0 million, or 2.7%, to $1,808.9 million in the six months ended March 31, 2015, from $1,760.9 million in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March 31, 2014. The increase in revenue was primarily attributable to increased activity in the rest of the world, as well as to the continued solid contribution by customers in North America, partially offset by lower revenue from customers in Europe. The 2.7% increase in revenue was net of a decrease of approximately 2.5% from foreign exchange fluctuations, a large portion of which was attributable to revenue from customers in Europe.</w:t>
      </w:r>
    </w:p>
    <w:p>
      <w:pPr>
        <w:spacing w:after="0" w:line="15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Effective October 1, 2014, we combined the presentation of license and service revenue, as well as the related costs, since license revenue comprises an insignificant portion of total revenue and is no longer meaningful as a business indicator.</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Revenue attributable to the sale of customer experience solutions increased by $66.3 million, or 3.9%, to $1,759.5 million in the six months ended March 31, 2015, from $1,693.2 million in the six months ended March 31, 2014. This increase was primarily attributable to increased activity in the rest of the world, as well as to the continued solid contribution by customers in North America, partially offset by lower revenue from customers in Europe. Revenue resulting from the sale of customer experience solutions represented 97.3% and 96.2% of our revenue in the six months ended March 31, 2015 and 2014, respectively.</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Revenue attributable to the sale of directory systems decreased by $18.3 million, or 27.0%, to $49.4 million in the six months ended March 31, 2015, from $67.7 million in the six months ended March 31, 2014. This decrease was primarily attributable to continued slowness in the directory systems market leading to lower revenue from managed services arrangements for directory systems customers. Revenue from the sale of directory systems represented 2.7% and 3.8% of our revenue in the six months ended March 31, 2015 and 2014, respectively.</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the six months ended March 31, 2015, revenue from customers in North America, Europe and the rest of the world accounted for 72.2%, 11.3% and 16.5%, respectively, of revenue, compared to 72.7%, 13.1% and 14.2%, respectively, in the six months ended March 31, 2014. Revenue from customers in North America increased in absolute amounts during the six months ended March 31, 2015. This increase, however, was lower than the 2.7% increase in our total revenue, which resulted in a decrease in revenue from North American customers as a percentage of revenue. The decrease in the percentage of revenue from customers in Europe was attributable primarily to the negative impact from foreign exchange fluctuations. Revenue from customers in the rest of the world increased as a percentage of revenue as a result of activity with new customers in strategic markets and continued progress on a number of highly-complex modernization projects.</w:t>
      </w:r>
    </w:p>
    <w:p>
      <w:pPr>
        <w:spacing w:after="0" w:line="18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Cost of Revenue</w:t>
      </w:r>
      <w:r>
        <w:rPr>
          <w:rFonts w:ascii="Arial" w:cs="Arial" w:eastAsia="Arial" w:hAnsi="Arial"/>
          <w:sz w:val="18"/>
          <w:szCs w:val="18"/>
          <w:color w:val="auto"/>
        </w:rPr>
        <w:t>. Cost of revenue consists primarily of costs associated with providing services to customers, including compensation expense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of third-party products, as well as fee and royalty payments to software suppliers. Cost of revenue increased by $13.3 million, or 1.2%, to $1,154.0 million in the six months ended March 31, 2015, from $1,140.7 million in the six months ended March 31, 2014. As a percentage of revenue, cost of revenue decreased to 63.8% in the six months ended March 31, 2015, from 64.8% in the six</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months ended March 31, 2014. The improvement in the gross margin in the six months ended March 31, 2015 was attributable to our activities in Asia Pacific and Central and Latin America, where we incurred higher costs during the six months ended March 31, 2014, in association with continued efforts to expand our business into those markets. The improvement in the gross margin was also attributable to a gain, resulting from changes in fair value of certain acquisition-related liabilities recognized in the six months ended March 31, 2015.</w:t>
      </w:r>
    </w:p>
    <w:p>
      <w:pPr>
        <w:spacing w:after="0" w:line="18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by $1.0 million, or 0.8%, to $126.4 million in the six months ended March 31, 2015, from $125.4 million in the six months ended March 31, 2014. Research and development expense decreased as a percentage of revenue from 7.1% in the six months ended March 31, 2014, to 7.0% in the six months ended March 31, 2015. Our research and development efforts are a key element of our strategy and are essential to our success, and we intend to maintain our commitment to research and development. An increase or a decrease in our revenue would not necessarily result in a proportional increase or decrease in the levels of our research and development expenditures, which could affect our operating margin.</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color w:val="auto"/>
        </w:rPr>
        <w:t>. Selling, general and administrative expense, which is primarily comprised of compensation expense,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$1.6 million, or 0.7%, to $220.8 million in the six months ended March 31, 2015, from $222.4 million in the six months ended March 31, 2014. Selling, general and administrative expense may fluctuate from time to time, depending upon such factors as changes in our workforce and sales efforts and the results of any operational efficiency programs that we may undertake.</w:t>
      </w:r>
    </w:p>
    <w:p>
      <w:pPr>
        <w:spacing w:after="0" w:line="187"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b w:val="1"/>
          <w:bCs w:val="1"/>
          <w:i w:val="1"/>
          <w:iCs w:val="1"/>
          <w:color w:val="auto"/>
        </w:rPr>
        <w:t>Operating Income</w:t>
      </w:r>
      <w:r>
        <w:rPr>
          <w:rFonts w:ascii="Arial" w:cs="Arial" w:eastAsia="Arial" w:hAnsi="Arial"/>
          <w:sz w:val="16"/>
          <w:szCs w:val="16"/>
          <w:color w:val="auto"/>
        </w:rPr>
        <w:t>. Operating income increased by $35.0 million, or 14.3%, in the six months ended March 31, 2015, to $279.5 million, or 15.5%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from $244.5 million, or 13.9% of revenue, in the six months ended March 31, 2014. The increase in operating income as a percentage of revenue was primarily attributable to revenue increasing at a higher rate than operating expenses. Positive foreign exchange impacts on our operating expenses were partially offset by the negative foreign exchange impacts on our revenue, resulting in a minor positive impact on our operating income.</w:t>
      </w:r>
    </w:p>
    <w:p>
      <w:pPr>
        <w:spacing w:after="0" w:line="154"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b w:val="1"/>
          <w:bCs w:val="1"/>
          <w:i w:val="1"/>
          <w:iCs w:val="1"/>
          <w:color w:val="auto"/>
        </w:rPr>
        <w:t xml:space="preserve">Interest and Other Expense, Net. </w:t>
      </w:r>
      <w:r>
        <w:rPr>
          <w:rFonts w:ascii="Arial" w:cs="Arial" w:eastAsia="Arial" w:hAnsi="Arial"/>
          <w:sz w:val="17"/>
          <w:szCs w:val="17"/>
          <w:color w:val="auto"/>
        </w:rPr>
        <w:t>Interest and other expense, net, decreased by $3.2 million to $0.1 million in the six months ended March 31, 2015,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$3.3 million in the six months ended March 31, 2014. The decrease in interest and other expense, net, was primarily attributable to a financing gain, resulting from changes in fair value of certain acquisition-related liabilities recognized in the three months ended December 31, 2014.</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for the six months ended March 31, 2015 were $32.1 million on pre-tax income of $279.4 million, resulting in an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rate of 11.5%, compared to 12.2% in the six months ended March 31, 2014. Our effective tax rate may fluctuate between periods as a result of discrete items that may affect a particular period. Please see Note 8 to our consolidated financial statements.</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increased by $35.5 million, or 16.7%, to $247.3 million in the six months ended March 31, 2015, from $211.8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six months ended March 31, 2014. The increase in net income was primarily attributable to the increase in operating income.</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Diluted Earnings Per Share. </w:t>
      </w:r>
      <w:r>
        <w:rPr>
          <w:rFonts w:ascii="Arial" w:cs="Arial" w:eastAsia="Arial" w:hAnsi="Arial"/>
          <w:sz w:val="18"/>
          <w:szCs w:val="18"/>
          <w:color w:val="auto"/>
        </w:rPr>
        <w:t>Diluted earnings per share increased by $0.26, or 19.8%, to $1.57 in the six months ended March 31, 2015, from $1.31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six months ended March 31, 2014. The increase in diluted earnings per share was mainly attributable to the increase in net income and, to a lesser extent, the decrease in the diluted weighted average number of shares outstanding.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2015 and 2014</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is a tabular presentation of our results of operations for the three months ended March 31, 2015 compared to the three months ended March 31, 2014. Following the table is a discussion and analysis of our business and results of operations for such periods.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1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162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w w:val="96"/>
              </w:rPr>
              <w:t>Increase (Decrease)</w:t>
            </w: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214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March 31,</w:t>
            </w:r>
          </w:p>
        </w:tc>
        <w:tc>
          <w:tcPr>
            <w:tcW w:w="16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70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8"/>
              </w:rPr>
              <w:t>Amount</w:t>
            </w:r>
          </w:p>
        </w:tc>
        <w:tc>
          <w:tcPr>
            <w:tcW w:w="44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rPr>
              <w:t>(in thousands)</w:t>
            </w:r>
          </w:p>
        </w:tc>
        <w:tc>
          <w:tcPr>
            <w:tcW w:w="6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902,578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896,854</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5,724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Operating expenses:</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580,571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583,284</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(2,713)</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62,805</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63,104</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(299)</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107,186</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110,438</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(3,252)</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700" w:type="dxa"/>
            <w:vAlign w:val="bottom"/>
          </w:tcPr>
          <w:p>
            <w:pPr>
              <w:jc w:val="right"/>
              <w:spacing w:after="0"/>
              <w:rPr>
                <w:sz w:val="20"/>
                <w:szCs w:val="20"/>
                <w:color w:val="auto"/>
              </w:rPr>
            </w:pPr>
            <w:r>
              <w:rPr>
                <w:rFonts w:ascii="Arial" w:cs="Arial" w:eastAsia="Arial" w:hAnsi="Arial"/>
                <w:sz w:val="18"/>
                <w:szCs w:val="18"/>
                <w:color w:val="auto"/>
              </w:rPr>
              <w:t>14,016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16,180</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(2,164)</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764,578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773,006</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(8,428)</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Operating income</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138,000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123,848</w:t>
            </w:r>
          </w:p>
        </w:tc>
        <w:tc>
          <w:tcPr>
            <w:tcW w:w="3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14,152</w:t>
            </w:r>
          </w:p>
        </w:tc>
        <w:tc>
          <w:tcPr>
            <w:tcW w:w="3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(239)</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136,331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121,940</w:t>
            </w:r>
          </w:p>
        </w:tc>
        <w:tc>
          <w:tcPr>
            <w:tcW w:w="3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14,391</w:t>
            </w:r>
          </w:p>
        </w:tc>
        <w:tc>
          <w:tcPr>
            <w:tcW w:w="3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20,070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11,583</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8,487</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Net income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116,261</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110,357</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$ 5,904</w:t>
            </w:r>
          </w:p>
        </w:tc>
        <w:tc>
          <w:tcPr>
            <w:tcW w:w="3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increased by $5.7 million, or 0.6%, to $902.6 million in the three months ended March 31, 2015, from $896.9 million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2014. The increase in revenue was primarily attributable to increased activity in the rest of the world partially offset by a decrease in revenue from customers in Europe. The 0.6% increase in revenue was net of a decrease of approximately 3.0% from foreign exchange fluctuations, a large portion of which was attributable to revenue from customers in Europe.</w:t>
      </w:r>
    </w:p>
    <w:p>
      <w:pPr>
        <w:spacing w:after="0" w:line="18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Revenue attributable to the sale of customer experience solutions increased by $13.5 million, or 1.6%, to $877.1 million in the three months ended March 31, 2015, from $863.6 million in the three months ended March 31, 2014. This increase was primarily attributable to increased activity in the rest of the world partially offset by a decrease in revenue from customers in Europe. Revenue resulting from the sale of customer experience solutions represented 97.2% and 96.3% of our revenue in the three months ended March 31, 2015 and 2014, respectively.</w:t>
      </w:r>
    </w:p>
    <w:p>
      <w:pPr>
        <w:spacing w:after="0" w:line="17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Revenue attributable to the sale of directory systems decreased by $7.8 million, or 23.4%, to $25.5 million in the three months ended March 31, 2015, from $33.3 million in the three months ended March 31, 2014. This decrease was primarily attributable to continued slowness in the directory systems market leading to lower revenue from managed services arrangements for directory systems customers. Revenue from the sale of directory systems represented 2.8% and 3.7% of our revenue in the three months ended March 31, 2015 and 2014, respectively.</w:t>
      </w:r>
    </w:p>
    <w:p>
      <w:pPr>
        <w:spacing w:after="0" w:line="17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the three months ended March 31, 2015, revenue from customers in North America, Europe and the rest of the world accounted for 71.7%, 10.8% and 17.5%, respectively, of revenue, compared to 72.7%, 12.7% and 14.6%, respectively, in the three months ended March 31, 2014. Revenue from customers in North America slightly decreased in absolute amounts during the three months ended March 31, 2015, while total revenue increased, which resulted in a decrease in revenue from North American customers as a percentage of revenue. The decrease in the percentage of revenue from customers in Europe was attributable primarily to the negative impact from foreign exchange fluctuations. Revenue from customers in the rest of the world increased as a percentage of revenue as a result of activity with new customers in strategic markets and continued progress on a number of highly-complex modernization projects.</w:t>
      </w:r>
    </w:p>
    <w:p>
      <w:pPr>
        <w:spacing w:after="0" w:line="189"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b w:val="1"/>
          <w:bCs w:val="1"/>
          <w:i w:val="1"/>
          <w:iCs w:val="1"/>
          <w:color w:val="auto"/>
        </w:rPr>
        <w:t>Cost of Revenue</w:t>
      </w:r>
      <w:r>
        <w:rPr>
          <w:rFonts w:ascii="Arial" w:cs="Arial" w:eastAsia="Arial" w:hAnsi="Arial"/>
          <w:sz w:val="16"/>
          <w:szCs w:val="16"/>
          <w:color w:val="auto"/>
        </w:rPr>
        <w:t>. Cost of revenue decreased by $2.7 million, or 0.5%, to $580.6 million in the three months ended March 31, 2015, from $583.3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the three months ended March 31, 2014. As a percentage of revenue, cost of revenue decreased to 64.3% in the three months ended March 31, 2015, from 65.1% in the three months ended March 31, 2014. The improvement in the gross margin in the three months ended March 31, 2015 was primarily attributable to a gain, resulting from changes in fair value of certain acquisition-related liabilities recognized in the three months ended March 31, 2015.</w:t>
      </w:r>
    </w:p>
    <w:p>
      <w:pPr>
        <w:spacing w:after="0" w:line="15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color w:val="auto"/>
        </w:rPr>
        <w:t>. Research and development expense decreased by $0.3 million, or 0.5%, to $62.8 million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2015, from $63.1 million in the three months ended March 31, 2014. Research and development expense as a percentage of revenue was 7.0% in the three months ended March 31, 2015 and 2014.</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color w:val="auto"/>
        </w:rPr>
        <w:t>. Selling, general and administrative expense decreased by $3.3 million, or 2.9%, to $107.2 million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2015, from $110.4 million in the three months ended March 31, 2014.</w:t>
      </w:r>
    </w:p>
    <w:p>
      <w:pPr>
        <w:spacing w:after="0" w:line="170"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b w:val="1"/>
          <w:bCs w:val="1"/>
          <w:i w:val="1"/>
          <w:iCs w:val="1"/>
          <w:color w:val="auto"/>
        </w:rPr>
        <w:t xml:space="preserve">Amortization of Purchased Intangible Assets and Other. </w:t>
      </w:r>
      <w:r>
        <w:rPr>
          <w:rFonts w:ascii="Arial" w:cs="Arial" w:eastAsia="Arial" w:hAnsi="Arial"/>
          <w:sz w:val="16"/>
          <w:szCs w:val="16"/>
          <w:color w:val="auto"/>
        </w:rPr>
        <w:t>Amortization of purchased intangible assets and other in the three months ended March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2015, decreased by $2.2 million to $14.0 million from $16.2 million in the three months ended March 31, 2014. The decrease in amortization of purchased intangible assets and other was primarily attributable to the timing of amortization charges of previously purchased intangible assets.</w:t>
      </w:r>
    </w:p>
    <w:p>
      <w:pPr>
        <w:spacing w:after="0" w:line="14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b w:val="1"/>
          <w:bCs w:val="1"/>
          <w:i w:val="1"/>
          <w:iCs w:val="1"/>
          <w:color w:val="auto"/>
        </w:rPr>
        <w:t>Operating Income</w:t>
      </w:r>
      <w:r>
        <w:rPr>
          <w:rFonts w:ascii="Arial" w:cs="Arial" w:eastAsia="Arial" w:hAnsi="Arial"/>
          <w:sz w:val="16"/>
          <w:szCs w:val="16"/>
          <w:color w:val="auto"/>
        </w:rPr>
        <w:t>. Operating income increased by $14.2 million, or 11.4%, in the three months ended March 31, 2015, to $138.0 million, or 15.3%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from $123.8 million, or 13.8% of revenue, in the three months ended March 31, 2014. The increase in operating income as a percentage of revenue was attributable to the decrease in operating expenses while revenue increased. Positive foreign exchange impacts on our operating expenses were partially offset by the negative foreign exchange impacts on our revenue, resulting in a minor positive impact on our operating income.</w:t>
      </w:r>
    </w:p>
    <w:p>
      <w:pPr>
        <w:spacing w:after="0" w:line="154"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for the three months ended March 31, 2015 were $20.1 million on pre-tax income of $136.3 million, resulting in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tax rate of 14.7%, compared to 9.5% in the three months ended March 31, 2014. The increase in the tax rate was attributable to a decrease in our provision for uncertain tax benefits as a result of a tax position, which was settled during the three months ended March 31, 2014, and, to a lesser extent, the geographical distribution of earnings from global operations. These were partially offset by a benefit from a release of valuation allowances on deferred tax assets during the three months ended March 31, 2015. Our effective tax rate may fluctuate between periods as a result of discrete items that may affect a particular period. Please see Note 8 to our consolidated financial statements.</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increased by $5.9 million, or 5.3%, to $116.3 million in the three months ended March 31, 2015, from $110.4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2014. The increase in net income was attributable to the increase in operating income, partially offset by the increase in income taxes.</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Diluted Earnings Per Share. </w:t>
      </w:r>
      <w:r>
        <w:rPr>
          <w:rFonts w:ascii="Arial" w:cs="Arial" w:eastAsia="Arial" w:hAnsi="Arial"/>
          <w:sz w:val="18"/>
          <w:szCs w:val="18"/>
          <w:color w:val="auto"/>
        </w:rPr>
        <w:t>Diluted earnings per share increased by $0.06, or 8.8%, to $0.74 in the three months ended March 31, 2015, from $0.68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three months ended March 31, 2014. The increase in diluted earnings per share was mainly attributable to the increase in net income and, to a lesser extent, the decrease in the diluted weighted average number of shares outstanding.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i w:val="1"/>
          <w:iCs w:val="1"/>
          <w:color w:val="auto"/>
        </w:rPr>
        <w:t xml:space="preserve">Cash, Cash Equivalents and Short-Term Interest-Bearing Investments. </w:t>
      </w:r>
      <w:r>
        <w:rPr>
          <w:rFonts w:ascii="Arial" w:cs="Arial" w:eastAsia="Arial" w:hAnsi="Arial"/>
          <w:sz w:val="16"/>
          <w:szCs w:val="16"/>
          <w:color w:val="auto"/>
        </w:rPr>
        <w:t>Cash, cash equivalents and short-term interest-bearing investments, net of short-term debt, totaled $1.29 billion as of March 31, 2015, compared to $1.21 billion as of September 30, 2014. The increase was mainly attributable to $343.6 million in positive cash flow from operations and $58.1 million of proceeds from stock option exercises, partially offset by $212.2 million used to repurchase our ordinary shares, $59.3 million for capital expenditures, net, $48.4 million of cash dividend payments and $8.1 million in net cash paid for acquisitions. Net cash provided by operating activities amounted to $343.6 million and $317.6 million in the six months ended March 31, 2015 and 2014, respectively.</w:t>
      </w:r>
    </w:p>
    <w:p>
      <w:pPr>
        <w:spacing w:after="0" w:line="15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Our policy is to retain sufficient cash balances in order to support our growth. We believe that our current cash balances, cash generated from operations and our current lines of credit will provide sufficient resources to meet our operational needs and to fund share repurchases and the payment of cash dividends for at least the next fiscal year.</w:t>
      </w:r>
    </w:p>
    <w:p>
      <w:pPr>
        <w:spacing w:after="0" w:line="18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a general long-term guideline, we expect to retain roughly half of our free cash flow (calculated as cash flow from operations less net capital expenditures and other) to support the growth of our business, including possible mergers and acquisitions, and return the other half to our shareholders through share repurchases and dividends. Our actual share repurchase activity and payment of future dividends, if any, may vary quarterly or annually and will be based on several factors including our financial performance, outlook and liquidity.</w:t>
      </w:r>
    </w:p>
    <w:p>
      <w:pPr>
        <w:spacing w:after="0" w:line="18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interest-bearing investments are classified as available-for-sale securities. Such short-term interest-bearing investments consist primarily of money market funds, U.S. government treasuries, corporate bonds and U.S. agency securities. We believe we have conservative investment policy guidelines. Our interest-bearing investments are stated at fair value with the unrealized gains or losses reported as a separate component of accumulated other comprehensive loss, net of tax, unless a security is other than temporarily impaired,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the six months ended March 31, 2015 and 2014, we recognized immaterial credit losses. Please see Notes 4 and 5 to the consolidated financial statements.</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i w:val="1"/>
          <w:iCs w:val="1"/>
          <w:color w:val="auto"/>
        </w:rPr>
        <w:t xml:space="preserve">Revolving Credit Facility, Letters of Credit, Guarantees and Contractual Obligations. </w:t>
      </w:r>
      <w:r>
        <w:rPr>
          <w:rFonts w:ascii="Arial" w:cs="Arial" w:eastAsia="Arial" w:hAnsi="Arial"/>
          <w:sz w:val="17"/>
          <w:szCs w:val="17"/>
          <w:color w:val="auto"/>
        </w:rPr>
        <w:t>In September 2014, we borrowed an aggregate of $210.0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unsecured $500 million revolving credit facility with a syndicate of banks and repaid it in October 2014. In December 2014, the credit facility was amended and restated to, among other things, extend the maturity date of the facility to December 2019. As of March 31, 2015, we were in compliance with the financial covenants under the revolving credit facility and had no outstanding borrowings under this facility.</w:t>
      </w:r>
    </w:p>
    <w:p>
      <w:pPr>
        <w:spacing w:after="0" w:line="17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March 31, 2015, we had additional uncommitted lines of credit available for general corporate and other specific purposes and had outstanding letters of credit and bank guarantees from various banks totaling $58.0 million. These were supported by a combination of the uncommitted lines of credit and restricted cash balances that we maintain with various banks.</w:t>
      </w:r>
    </w:p>
    <w:p>
      <w:pPr>
        <w:spacing w:after="0" w:line="181"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We have contractual obligations for our non-cancelable operating leases, long-term debt, purchase obligations, pension funding and unrecognized tax benefits summarized in the disclosure of contractual obligations set forth in our Annual Report on Form 20-F for the fiscal year ended September 30, 2014, filed on December 8, 2014 with the SEC. Since September 30, 2014, there have been no material changes in our aggregate contractual obligations.</w:t>
      </w:r>
    </w:p>
    <w:p>
      <w:pPr>
        <w:spacing w:after="0" w:line="14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Generally, 80% to 90% of our capital expenditures consist of purchases of computer equipment, and the remainder is attributable</w:t>
      </w:r>
      <w:r>
        <w:rPr>
          <w:rFonts w:ascii="Arial" w:cs="Arial" w:eastAsia="Arial" w:hAnsi="Arial"/>
          <w:sz w:val="17"/>
          <w:szCs w:val="17"/>
          <w:i w:val="1"/>
          <w:iCs w:val="1"/>
          <w:color w:val="auto"/>
        </w:rPr>
        <w:t xml:space="preserve"> </w:t>
      </w:r>
      <w:r>
        <w:rPr>
          <w:rFonts w:ascii="Arial" w:cs="Arial" w:eastAsia="Arial" w:hAnsi="Arial"/>
          <w:sz w:val="17"/>
          <w:szCs w:val="17"/>
          <w:color w:val="auto"/>
        </w:rPr>
        <w:t>mainly to leasehold improvements. Our capital expenditures were approximately $59.3 million in the six months ended March 31, 2015 and were mainly attributable to investments in our operating facilities and our development centers around the world. Our policy is to fund our capital expenditures from operating cash flows and we do not anticipate any changes to this policy in the foreseeable future.</w:t>
      </w:r>
    </w:p>
    <w:p>
      <w:pPr>
        <w:spacing w:after="0" w:line="17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i w:val="1"/>
          <w:iCs w:val="1"/>
          <w:color w:val="auto"/>
        </w:rPr>
        <w:t>Share Repurchases</w:t>
      </w:r>
      <w:r>
        <w:rPr>
          <w:rFonts w:ascii="Arial" w:cs="Arial" w:eastAsia="Arial" w:hAnsi="Arial"/>
          <w:sz w:val="18"/>
          <w:szCs w:val="18"/>
          <w:color w:val="auto"/>
        </w:rPr>
        <w:t>. From time to time, our Board of Directors has adopted share repurchase plans authorizing the repurchase of our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Our current share repurchase plan, adopted in April 2014, authorizes the repurchase of up to $750.0 million of our outstanding ordinary shares with no expiration date. In the six months ended March 31, 2015, we repurchased 4.4 million ordinary shares at an average price of $48.75 per share (excluding broker and transaction fees). As of March 31, 2015, we had remaining authority to repurchase up to $501.8 million of our outstanding ordinary shares. The authorization permits us to purchase our ordinary shares in open market or privately negotiated transactions at times and prices that we consider appropriate.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the six months ended March 31, 2015 and 2014:</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w w:val="96"/>
              </w:rPr>
              <w:t>Dividends Per</w:t>
            </w:r>
          </w:p>
        </w:tc>
        <w:tc>
          <w:tcPr>
            <w:tcW w:w="480" w:type="dxa"/>
            <w:vAlign w:val="bottom"/>
          </w:tcPr>
          <w:p>
            <w:pPr>
              <w:spacing w:after="0"/>
              <w:rPr>
                <w:sz w:val="14"/>
                <w:szCs w:val="14"/>
                <w:color w:val="auto"/>
              </w:rPr>
            </w:pPr>
          </w:p>
        </w:tc>
        <w:tc>
          <w:tcPr>
            <w:tcW w:w="284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Record Date</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260" w:type="dxa"/>
            <w:vAlign w:val="bottom"/>
          </w:tcPr>
          <w:p>
            <w:pPr>
              <w:spacing w:after="0"/>
              <w:rPr>
                <w:sz w:val="14"/>
                <w:szCs w:val="14"/>
                <w:color w:val="auto"/>
              </w:rPr>
            </w:pPr>
          </w:p>
        </w:tc>
        <w:tc>
          <w:tcPr>
            <w:tcW w:w="240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1"/>
        </w:trPr>
        <w:tc>
          <w:tcPr>
            <w:tcW w:w="3360" w:type="dxa"/>
            <w:vAlign w:val="bottom"/>
            <w:gridSpan w:val="2"/>
            <w:vMerge w:val="continue"/>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4"/>
              </w:rPr>
              <w:t>Ordinary Share</w:t>
            </w:r>
          </w:p>
        </w:tc>
        <w:tc>
          <w:tcPr>
            <w:tcW w:w="480" w:type="dxa"/>
            <w:vAlign w:val="bottom"/>
          </w:tcPr>
          <w:p>
            <w:pPr>
              <w:spacing w:after="0"/>
              <w:rPr>
                <w:sz w:val="14"/>
                <w:szCs w:val="14"/>
                <w:color w:val="auto"/>
              </w:rPr>
            </w:pPr>
          </w:p>
        </w:tc>
        <w:tc>
          <w:tcPr>
            <w:tcW w:w="2840" w:type="dxa"/>
            <w:vAlign w:val="bottom"/>
            <w:gridSpan w:val="2"/>
            <w:vMerge w:val="continue"/>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27, 2015</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0.170</w:t>
            </w:r>
          </w:p>
        </w:tc>
        <w:tc>
          <w:tcPr>
            <w:tcW w:w="480" w:type="dxa"/>
            <w:vAlign w:val="bottom"/>
            <w:vMerge w:val="continue"/>
            <w:shd w:val="clear" w:color="auto" w:fill="CCEEFF"/>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March 31, 2015</w:t>
            </w:r>
          </w:p>
        </w:tc>
        <w:tc>
          <w:tcPr>
            <w:tcW w:w="4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4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April 16, 2015</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November 4, 2014</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0.155</w:t>
            </w:r>
          </w:p>
        </w:tc>
        <w:tc>
          <w:tcPr>
            <w:tcW w:w="3320" w:type="dxa"/>
            <w:vAlign w:val="bottom"/>
            <w:gridSpan w:val="3"/>
          </w:tcPr>
          <w:p>
            <w:pPr>
              <w:ind w:left="480"/>
              <w:spacing w:after="0"/>
              <w:rPr>
                <w:sz w:val="20"/>
                <w:szCs w:val="20"/>
                <w:color w:val="auto"/>
              </w:rPr>
            </w:pPr>
            <w:r>
              <w:rPr>
                <w:rFonts w:ascii="Arial" w:cs="Arial" w:eastAsia="Arial" w:hAnsi="Arial"/>
                <w:sz w:val="18"/>
                <w:szCs w:val="18"/>
                <w:color w:val="auto"/>
              </w:rPr>
              <w:t>December 31, 2014</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24.1</w:t>
            </w:r>
          </w:p>
        </w:tc>
        <w:tc>
          <w:tcPr>
            <w:tcW w:w="2660" w:type="dxa"/>
            <w:vAlign w:val="bottom"/>
            <w:gridSpan w:val="2"/>
          </w:tcPr>
          <w:p>
            <w:pPr>
              <w:ind w:left="260"/>
              <w:spacing w:after="0"/>
              <w:rPr>
                <w:sz w:val="20"/>
                <w:szCs w:val="20"/>
                <w:color w:val="auto"/>
              </w:rPr>
            </w:pPr>
            <w:r>
              <w:rPr>
                <w:rFonts w:ascii="Arial" w:cs="Arial" w:eastAsia="Arial" w:hAnsi="Arial"/>
                <w:sz w:val="18"/>
                <w:szCs w:val="18"/>
                <w:color w:val="auto"/>
              </w:rPr>
              <w:t>January 16, 2015</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29, 2014</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0.155</w:t>
            </w:r>
          </w:p>
        </w:tc>
        <w:tc>
          <w:tcPr>
            <w:tcW w:w="33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March 31, 2014</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24.8</w:t>
            </w:r>
          </w:p>
        </w:tc>
        <w:tc>
          <w:tcPr>
            <w:tcW w:w="2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April 17, 2014</w:t>
            </w:r>
          </w:p>
        </w:tc>
        <w:tc>
          <w:tcPr>
            <w:tcW w:w="0" w:type="dxa"/>
            <w:vAlign w:val="bottom"/>
          </w:tcPr>
          <w:p>
            <w:pPr>
              <w:spacing w:after="0"/>
              <w:rPr>
                <w:sz w:val="1"/>
                <w:szCs w:val="1"/>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November 5, 2013</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0.130</w:t>
            </w:r>
          </w:p>
        </w:tc>
        <w:tc>
          <w:tcPr>
            <w:tcW w:w="3320" w:type="dxa"/>
            <w:vAlign w:val="bottom"/>
            <w:gridSpan w:val="3"/>
          </w:tcPr>
          <w:p>
            <w:pPr>
              <w:ind w:left="480"/>
              <w:spacing w:after="0"/>
              <w:rPr>
                <w:sz w:val="20"/>
                <w:szCs w:val="20"/>
                <w:color w:val="auto"/>
              </w:rPr>
            </w:pPr>
            <w:r>
              <w:rPr>
                <w:rFonts w:ascii="Arial" w:cs="Arial" w:eastAsia="Arial" w:hAnsi="Arial"/>
                <w:sz w:val="18"/>
                <w:szCs w:val="18"/>
                <w:color w:val="auto"/>
              </w:rPr>
              <w:t>December 31, 2013</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20.8</w:t>
            </w:r>
          </w:p>
        </w:tc>
        <w:tc>
          <w:tcPr>
            <w:tcW w:w="2660" w:type="dxa"/>
            <w:vAlign w:val="bottom"/>
            <w:gridSpan w:val="2"/>
          </w:tcPr>
          <w:p>
            <w:pPr>
              <w:ind w:left="260"/>
              <w:spacing w:after="0"/>
              <w:rPr>
                <w:sz w:val="20"/>
                <w:szCs w:val="20"/>
                <w:color w:val="auto"/>
              </w:rPr>
            </w:pPr>
            <w:r>
              <w:rPr>
                <w:rFonts w:ascii="Arial" w:cs="Arial" w:eastAsia="Arial" w:hAnsi="Arial"/>
                <w:sz w:val="18"/>
                <w:szCs w:val="18"/>
                <w:color w:val="auto"/>
              </w:rPr>
              <w:t>January 17, 2014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On April 29, 2015, our Board of Directors approved the next quarterly dividend payment, at the rate of $0.17 per share, and set June 30, 2015 as the record date for determining the shareholders entitled to receive the dividend, which is payable on July 17, 2015.</w:t>
      </w:r>
    </w:p>
    <w:p>
      <w:pPr>
        <w:spacing w:after="0" w:line="170"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further shareholder approval.</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During the six months ended March 31, 2015 and 2014, approximately 70% to 80% of our revenue and approximately 50% to 60% of our operating expenses were in U.S. dollars or linked to the U.S. dollar. If more customers will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Ordinary Shares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March 31, 2015 of equity securities that are registered by us pursuant to Section 12 of the Exchange Act: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2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3"/>
              </w:rPr>
              <w:t>(c)</w:t>
            </w: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12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restart"/>
          </w:tcPr>
          <w:p>
            <w:pPr>
              <w:jc w:val="center"/>
              <w:ind w:right="820"/>
              <w:spacing w:after="0"/>
              <w:rPr>
                <w:sz w:val="20"/>
                <w:szCs w:val="20"/>
                <w:color w:val="auto"/>
              </w:rPr>
            </w:pPr>
            <w:r>
              <w:rPr>
                <w:rFonts w:ascii="Arial" w:cs="Arial" w:eastAsia="Arial" w:hAnsi="Arial"/>
                <w:sz w:val="14"/>
                <w:szCs w:val="14"/>
                <w:b w:val="1"/>
                <w:bCs w:val="1"/>
                <w:color w:val="auto"/>
              </w:rPr>
              <w:t>(b)</w:t>
            </w:r>
          </w:p>
        </w:tc>
        <w:tc>
          <w:tcPr>
            <w:tcW w:w="17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12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7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12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3940" w:type="dxa"/>
            <w:vAlign w:val="bottom"/>
            <w:gridSpan w:val="2"/>
            <w:vMerge w:val="restart"/>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2"/>
                <w:szCs w:val="12"/>
                <w:color w:val="auto"/>
              </w:rPr>
            </w:pPr>
          </w:p>
        </w:tc>
        <w:tc>
          <w:tcPr>
            <w:tcW w:w="15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Average Price</w:t>
            </w:r>
          </w:p>
        </w:tc>
        <w:tc>
          <w:tcPr>
            <w:tcW w:w="17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71"/>
        </w:trPr>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3940" w:type="dxa"/>
            <w:vAlign w:val="bottom"/>
            <w:gridSpan w:val="2"/>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1"/>
              </w:rPr>
              <w:t>Paid per Share</w:t>
            </w:r>
          </w:p>
        </w:tc>
        <w:tc>
          <w:tcPr>
            <w:tcW w:w="17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or Programs</w:t>
            </w: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or Programs(1)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01/01/15-01/31/15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482,337</w:t>
            </w:r>
          </w:p>
        </w:tc>
        <w:tc>
          <w:tcPr>
            <w:tcW w:w="30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47.11</w:t>
            </w:r>
          </w:p>
        </w:tc>
        <w:tc>
          <w:tcPr>
            <w:tcW w:w="60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482,337</w:t>
            </w: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589,657,841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02/01/15-02/28/15</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759,116</w:t>
            </w:r>
          </w:p>
        </w:tc>
        <w:tc>
          <w:tcPr>
            <w:tcW w:w="5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280"/>
              <w:spacing w:after="0"/>
              <w:rPr>
                <w:sz w:val="20"/>
                <w:szCs w:val="20"/>
                <w:color w:val="auto"/>
              </w:rPr>
            </w:pPr>
            <w:r>
              <w:rPr>
                <w:rFonts w:ascii="Arial" w:cs="Arial" w:eastAsia="Arial" w:hAnsi="Arial"/>
                <w:sz w:val="18"/>
                <w:szCs w:val="18"/>
                <w:color w:val="auto"/>
              </w:rPr>
              <w:t>50.05</w:t>
            </w: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759,116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551,661,025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03/01/15-03/31/15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944,787</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52.72</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944,787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501,849,195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gridSpan w:val="4"/>
          </w:tcPr>
          <w:p>
            <w:pPr>
              <w:ind w:left="46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2,186,240</w:t>
            </w:r>
          </w:p>
        </w:tc>
        <w:tc>
          <w:tcPr>
            <w:tcW w:w="300" w:type="dxa"/>
            <w:vAlign w:val="bottom"/>
          </w:tcPr>
          <w:p>
            <w:pPr>
              <w:spacing w:after="0"/>
              <w:rPr>
                <w:sz w:val="19"/>
                <w:szCs w:val="19"/>
                <w:color w:val="auto"/>
              </w:rPr>
            </w:pPr>
          </w:p>
        </w:tc>
        <w:tc>
          <w:tcPr>
            <w:tcW w:w="5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280"/>
              <w:spacing w:after="0"/>
              <w:rPr>
                <w:sz w:val="20"/>
                <w:szCs w:val="20"/>
                <w:color w:val="auto"/>
              </w:rPr>
            </w:pPr>
            <w:r>
              <w:rPr>
                <w:rFonts w:ascii="Arial" w:cs="Arial" w:eastAsia="Arial" w:hAnsi="Arial"/>
                <w:sz w:val="18"/>
                <w:szCs w:val="18"/>
                <w:color w:val="auto"/>
              </w:rPr>
              <w:t>50.56</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2,186,240</w:t>
            </w: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501,849,195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April 2014, our Board of Directors adopted a share repurchase plan authorizing the repurchase of up to $750.0 million of our outstanding ordinary shares, which has no expiration date. The authorization permits us to purchase our ordinary shares in open market or privately negotiated transactions at times and prices we consider appropriate.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Reports on Form 6-K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furnished or filed the following reports on Form 6-K during the three months ended March 31, 2015:</w:t>
      </w:r>
    </w:p>
    <w:p>
      <w:pPr>
        <w:spacing w:after="0" w:line="117" w:lineRule="exact"/>
        <w:rPr>
          <w:sz w:val="20"/>
          <w:szCs w:val="20"/>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6-K dated January 28, 2015</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6-K dated February 3, 2015</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6-K dated February 9, 2015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Matthew E. Smith</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 and Authorized Signatory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2015</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sectPr>
      <w:pgSz w:w="11900" w:h="16838" w:orient="portrait"/>
      <w:cols w:equalWidth="0" w:num="1">
        <w:col w:w="10740"/>
      </w:cols>
      <w:pgMar w:left="240" w:top="459"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4"/>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2019-12-07T04:22:36Z</dcterms:created>
  <dcterms:modified xsi:type="dcterms:W3CDTF">2019-12-07T04:22:36Z</dcterms:modified>
</cp:coreProperties>
</file>