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January 2023</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Hirzel House, Smith Street,</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St. Peter Port, Island of Guernsey, GY1 2NG</w:t>
      </w:r>
    </w:p>
    <w:p>
      <w:pPr>
        <w:spacing w:after="0" w:line="20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Amdocs, Inc.</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625 Maryville Centre Drive, Suite 200, Saint Louis, Missouri 63141</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0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Submission of Matters to a Vote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Voting Results.</w:t>
      </w:r>
    </w:p>
    <w:p>
      <w:pPr>
        <w:spacing w:after="0" w:line="1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At the 2023 Annual General Meeting of Shareholders of Amdocs Limited (the “Company”) held on January 27, 2023, the proposals listed below were submitted to a vote of the Company’s shareholders. The proposals are described in the Company’s proxy statement for the 2023 Annual General Meeting of Shareholders.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Proposal 1 – The election of ten nominees to the Company’s Board of Directors each for a term of one year.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10 nominees named in the proxy statement were elected to serve as directors until the Company’s 2024 Annual General Meeting of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as to the vote on each director standing for election is provided below:</w:t>
      </w:r>
    </w:p>
    <w:p>
      <w:pPr>
        <w:spacing w:after="0" w:line="21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10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Broker</w:t>
            </w:r>
          </w:p>
        </w:tc>
        <w:tc>
          <w:tcPr>
            <w:tcW w:w="0" w:type="dxa"/>
            <w:vAlign w:val="bottom"/>
          </w:tcPr>
          <w:p>
            <w:pPr>
              <w:spacing w:after="0"/>
              <w:rPr>
                <w:sz w:val="1"/>
                <w:szCs w:val="1"/>
                <w:color w:val="auto"/>
              </w:rPr>
            </w:pPr>
          </w:p>
        </w:tc>
      </w:tr>
      <w:tr>
        <w:trPr>
          <w:trHeight w:val="148"/>
        </w:trPr>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5520" w:type="dxa"/>
            <w:vAlign w:val="bottom"/>
            <w:vMerge w:val="restart"/>
          </w:tcPr>
          <w:p>
            <w:pPr>
              <w:spacing w:after="0"/>
              <w:rPr>
                <w:sz w:val="12"/>
                <w:szCs w:val="12"/>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2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5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80"/>
        </w:trPr>
        <w:tc>
          <w:tcPr>
            <w:tcW w:w="560" w:type="dxa"/>
            <w:vAlign w:val="bottom"/>
            <w:tcBorders>
              <w:bottom w:val="single" w:sz="8" w:color="auto"/>
            </w:tcBorders>
            <w:vMerge w:val="continue"/>
          </w:tcPr>
          <w:p>
            <w:pPr>
              <w:spacing w:after="0"/>
              <w:rPr>
                <w:sz w:val="15"/>
                <w:szCs w:val="15"/>
                <w:color w:val="auto"/>
              </w:rPr>
            </w:pPr>
          </w:p>
        </w:tc>
        <w:tc>
          <w:tcPr>
            <w:tcW w:w="5520" w:type="dxa"/>
            <w:vAlign w:val="bottom"/>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20" w:type="dxa"/>
            <w:vAlign w:val="bottom"/>
            <w:gridSpan w:val="2"/>
          </w:tcPr>
          <w:p>
            <w:pPr>
              <w:jc w:val="right"/>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Against</w:t>
            </w:r>
          </w:p>
        </w:tc>
        <w:tc>
          <w:tcPr>
            <w:tcW w:w="102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Abstaining</w:t>
            </w:r>
          </w:p>
        </w:tc>
        <w:tc>
          <w:tcPr>
            <w:tcW w:w="50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Votes</w:t>
            </w:r>
          </w:p>
        </w:tc>
        <w:tc>
          <w:tcPr>
            <w:tcW w:w="0" w:type="dxa"/>
            <w:vAlign w:val="bottom"/>
          </w:tcPr>
          <w:p>
            <w:pPr>
              <w:spacing w:after="0"/>
              <w:rPr>
                <w:sz w:val="1"/>
                <w:szCs w:val="1"/>
                <w:color w:val="auto"/>
              </w:rPr>
            </w:pPr>
          </w:p>
        </w:tc>
      </w:tr>
      <w:tr>
        <w:trPr>
          <w:trHeight w:val="203"/>
        </w:trPr>
        <w:tc>
          <w:tcPr>
            <w:tcW w:w="60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Robert A. Minicucci</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93,125,229</w:t>
            </w:r>
          </w:p>
        </w:tc>
        <w:tc>
          <w:tcPr>
            <w:tcW w:w="3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9,229,528</w:t>
            </w: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69,019</w:t>
            </w: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Adrian Gardner</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95,506,870</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6,835,674</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81,232</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Rafael de la Vega</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101,134,367</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1,208,922</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80,487</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 Gelman</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100,064,458</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2,292,135</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67,183</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T.C. LeFave</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84,977,816</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17,265,429</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180,531</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A. MacDonald</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97,723,580</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4,629,707</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70,489</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Shuky Sheffer</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101,110,135</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1,248,347</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65,598</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Yvette Kanouff</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101,987,075</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367,290</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69,411</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Ruth Davis</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102,199,740</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154,589</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69,447</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3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Amos Genish</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102,272,908</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68,791</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82,077</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Proposal 2 – The approval of Amdocs Limited 2023 Employee Share Purchase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shareholders approved the Amdocs Limited 2023 Employee Share Purchase Plan. The voting results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Abstaining</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2620" w:type="dxa"/>
            <w:vAlign w:val="bottom"/>
            <w:tcBorders>
              <w:top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102,304,522</w:t>
            </w:r>
          </w:p>
        </w:tc>
        <w:tc>
          <w:tcPr>
            <w:tcW w:w="160" w:type="dxa"/>
            <w:vAlign w:val="bottom"/>
          </w:tcPr>
          <w:p>
            <w:pPr>
              <w:spacing w:after="0"/>
              <w:rPr>
                <w:sz w:val="19"/>
                <w:szCs w:val="19"/>
                <w:color w:val="auto"/>
              </w:rPr>
            </w:pPr>
          </w:p>
        </w:tc>
        <w:tc>
          <w:tcPr>
            <w:tcW w:w="2620" w:type="dxa"/>
            <w:vAlign w:val="bottom"/>
            <w:tcBorders>
              <w:top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color w:val="auto"/>
              </w:rPr>
              <w:t>72,160</w:t>
            </w:r>
          </w:p>
        </w:tc>
        <w:tc>
          <w:tcPr>
            <w:tcW w:w="120" w:type="dxa"/>
            <w:vAlign w:val="bottom"/>
          </w:tcPr>
          <w:p>
            <w:pPr>
              <w:spacing w:after="0"/>
              <w:rPr>
                <w:sz w:val="19"/>
                <w:szCs w:val="19"/>
                <w:color w:val="auto"/>
              </w:rPr>
            </w:pPr>
          </w:p>
        </w:tc>
        <w:tc>
          <w:tcPr>
            <w:tcW w:w="2760" w:type="dxa"/>
            <w:vAlign w:val="bottom"/>
            <w:tcBorders>
              <w:top w:val="single" w:sz="8" w:color="auto"/>
            </w:tcBorders>
          </w:tcPr>
          <w:p>
            <w:pPr>
              <w:jc w:val="right"/>
              <w:ind w:right="1059"/>
              <w:spacing w:after="0"/>
              <w:rPr>
                <w:sz w:val="20"/>
                <w:szCs w:val="20"/>
                <w:color w:val="auto"/>
              </w:rPr>
            </w:pPr>
            <w:r>
              <w:rPr>
                <w:rFonts w:ascii="Times New Roman" w:cs="Times New Roman" w:eastAsia="Times New Roman" w:hAnsi="Times New Roman"/>
                <w:sz w:val="18"/>
                <w:szCs w:val="18"/>
                <w:color w:val="auto"/>
              </w:rPr>
              <w:t>47,094</w:t>
            </w:r>
          </w:p>
        </w:tc>
        <w:tc>
          <w:tcPr>
            <w:tcW w:w="100" w:type="dxa"/>
            <w:vAlign w:val="bottom"/>
          </w:tcPr>
          <w:p>
            <w:pPr>
              <w:spacing w:after="0"/>
              <w:rPr>
                <w:sz w:val="19"/>
                <w:szCs w:val="19"/>
                <w:color w:val="auto"/>
              </w:rPr>
            </w:pPr>
          </w:p>
        </w:tc>
        <w:tc>
          <w:tcPr>
            <w:tcW w:w="2640" w:type="dxa"/>
            <w:vAlign w:val="bottom"/>
            <w:tcBorders>
              <w:top w:val="single" w:sz="8" w:color="auto"/>
            </w:tcBorders>
          </w:tcPr>
          <w:p>
            <w:pPr>
              <w:jc w:val="right"/>
              <w:ind w:right="1099"/>
              <w:spacing w:after="0"/>
              <w:rPr>
                <w:sz w:val="20"/>
                <w:szCs w:val="20"/>
                <w:color w:val="auto"/>
              </w:rPr>
            </w:pPr>
            <w:r>
              <w:rPr>
                <w:rFonts w:ascii="Times New Roman" w:cs="Times New Roman" w:eastAsia="Times New Roman" w:hAnsi="Times New Roman"/>
                <w:sz w:val="18"/>
                <w:szCs w:val="18"/>
                <w:color w:val="auto"/>
              </w:rPr>
              <w:t>304</w:t>
            </w:r>
          </w:p>
        </w:tc>
      </w:tr>
    </w:tbl>
    <w:p>
      <w:pPr>
        <w:spacing w:after="0" w:line="177"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Proposal 3 – The approval of an increase in the dividend rate under the Company’s quarterly cash dividend program from $0.395 per share to $0.435 per share.</w:t>
      </w:r>
    </w:p>
    <w:p>
      <w:pPr>
        <w:spacing w:after="0" w:line="16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shareholders approved an increase in the dividend rate under the Company’s quarterly cash dividend program from $0.395 per share to $0.435 per share. The voting results were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Votes Abstaining</w:t>
            </w: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2960" w:type="dxa"/>
            <w:vAlign w:val="bottom"/>
            <w:tcBorders>
              <w:top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rPr>
              <w:t>102,371,525</w:t>
            </w:r>
          </w:p>
        </w:tc>
        <w:tc>
          <w:tcPr>
            <w:tcW w:w="80" w:type="dxa"/>
            <w:vAlign w:val="bottom"/>
          </w:tcPr>
          <w:p>
            <w:pPr>
              <w:spacing w:after="0"/>
              <w:rPr>
                <w:sz w:val="19"/>
                <w:szCs w:val="19"/>
                <w:color w:val="auto"/>
              </w:rPr>
            </w:pPr>
          </w:p>
        </w:tc>
        <w:tc>
          <w:tcPr>
            <w:tcW w:w="2640" w:type="dxa"/>
            <w:vAlign w:val="bottom"/>
            <w:tcBorders>
              <w:top w:val="single" w:sz="8" w:color="auto"/>
            </w:tcBorders>
          </w:tcPr>
          <w:p>
            <w:pPr>
              <w:jc w:val="right"/>
              <w:ind w:right="1039"/>
              <w:spacing w:after="0"/>
              <w:rPr>
                <w:sz w:val="20"/>
                <w:szCs w:val="20"/>
                <w:color w:val="auto"/>
              </w:rPr>
            </w:pPr>
            <w:r>
              <w:rPr>
                <w:rFonts w:ascii="Times New Roman" w:cs="Times New Roman" w:eastAsia="Times New Roman" w:hAnsi="Times New Roman"/>
                <w:sz w:val="18"/>
                <w:szCs w:val="18"/>
                <w:color w:val="auto"/>
              </w:rPr>
              <w:t>3,142</w:t>
            </w:r>
          </w:p>
        </w:tc>
        <w:tc>
          <w:tcPr>
            <w:tcW w:w="100" w:type="dxa"/>
            <w:vAlign w:val="bottom"/>
          </w:tcPr>
          <w:p>
            <w:pPr>
              <w:spacing w:after="0"/>
              <w:rPr>
                <w:sz w:val="19"/>
                <w:szCs w:val="19"/>
                <w:color w:val="auto"/>
              </w:rPr>
            </w:pPr>
          </w:p>
        </w:tc>
        <w:tc>
          <w:tcPr>
            <w:tcW w:w="2760" w:type="dxa"/>
            <w:vAlign w:val="bottom"/>
            <w:tcBorders>
              <w:top w:val="single" w:sz="8" w:color="auto"/>
            </w:tcBorders>
          </w:tcPr>
          <w:p>
            <w:pPr>
              <w:jc w:val="right"/>
              <w:ind w:right="1039"/>
              <w:spacing w:after="0"/>
              <w:rPr>
                <w:sz w:val="20"/>
                <w:szCs w:val="20"/>
                <w:color w:val="auto"/>
              </w:rPr>
            </w:pPr>
            <w:r>
              <w:rPr>
                <w:rFonts w:ascii="Times New Roman" w:cs="Times New Roman" w:eastAsia="Times New Roman" w:hAnsi="Times New Roman"/>
                <w:sz w:val="18"/>
                <w:szCs w:val="18"/>
                <w:color w:val="auto"/>
              </w:rPr>
              <w:t>49,109</w:t>
            </w:r>
          </w:p>
        </w:tc>
        <w:tc>
          <w:tcPr>
            <w:tcW w:w="160" w:type="dxa"/>
            <w:vAlign w:val="bottom"/>
          </w:tcPr>
          <w:p>
            <w:pPr>
              <w:spacing w:after="0"/>
              <w:rPr>
                <w:sz w:val="19"/>
                <w:szCs w:val="19"/>
                <w:color w:val="auto"/>
              </w:rPr>
            </w:pPr>
          </w:p>
        </w:tc>
        <w:tc>
          <w:tcPr>
            <w:tcW w:w="2320" w:type="dxa"/>
            <w:vAlign w:val="bottom"/>
            <w:tcBorders>
              <w:top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rPr>
              <w:t>304</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Proposal 4 – The approval of the Company’s Consolidated Financial Statements for the fiscal year ended September 30, 2022.</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shareholders approved the Company’s Consolidated Financial Statements for the fiscal year ended September 30, 2022. The voting results were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Votes Abstaining</w:t>
            </w: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2960" w:type="dxa"/>
            <w:vAlign w:val="bottom"/>
            <w:tcBorders>
              <w:top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rPr>
              <w:t>101,343,596</w:t>
            </w:r>
          </w:p>
        </w:tc>
        <w:tc>
          <w:tcPr>
            <w:tcW w:w="80" w:type="dxa"/>
            <w:vAlign w:val="bottom"/>
          </w:tcPr>
          <w:p>
            <w:pPr>
              <w:spacing w:after="0"/>
              <w:rPr>
                <w:sz w:val="19"/>
                <w:szCs w:val="19"/>
                <w:color w:val="auto"/>
              </w:rPr>
            </w:pPr>
          </w:p>
        </w:tc>
        <w:tc>
          <w:tcPr>
            <w:tcW w:w="2640" w:type="dxa"/>
            <w:vAlign w:val="bottom"/>
            <w:tcBorders>
              <w:top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rPr>
              <w:t>666,489</w:t>
            </w:r>
          </w:p>
        </w:tc>
        <w:tc>
          <w:tcPr>
            <w:tcW w:w="100" w:type="dxa"/>
            <w:vAlign w:val="bottom"/>
          </w:tcPr>
          <w:p>
            <w:pPr>
              <w:spacing w:after="0"/>
              <w:rPr>
                <w:sz w:val="19"/>
                <w:szCs w:val="19"/>
                <w:color w:val="auto"/>
              </w:rPr>
            </w:pPr>
          </w:p>
        </w:tc>
        <w:tc>
          <w:tcPr>
            <w:tcW w:w="2760" w:type="dxa"/>
            <w:vAlign w:val="bottom"/>
            <w:tcBorders>
              <w:top w:val="single" w:sz="8" w:color="auto"/>
            </w:tcBorders>
          </w:tcPr>
          <w:p>
            <w:pPr>
              <w:jc w:val="right"/>
              <w:ind w:right="999"/>
              <w:spacing w:after="0"/>
              <w:rPr>
                <w:sz w:val="20"/>
                <w:szCs w:val="20"/>
                <w:color w:val="auto"/>
              </w:rPr>
            </w:pPr>
            <w:r>
              <w:rPr>
                <w:rFonts w:ascii="Times New Roman" w:cs="Times New Roman" w:eastAsia="Times New Roman" w:hAnsi="Times New Roman"/>
                <w:sz w:val="18"/>
                <w:szCs w:val="18"/>
                <w:color w:val="auto"/>
              </w:rPr>
              <w:t>413,691</w:t>
            </w:r>
          </w:p>
        </w:tc>
        <w:tc>
          <w:tcPr>
            <w:tcW w:w="160" w:type="dxa"/>
            <w:vAlign w:val="bottom"/>
          </w:tcPr>
          <w:p>
            <w:pPr>
              <w:spacing w:after="0"/>
              <w:rPr>
                <w:sz w:val="19"/>
                <w:szCs w:val="19"/>
                <w:color w:val="auto"/>
              </w:rPr>
            </w:pPr>
          </w:p>
        </w:tc>
        <w:tc>
          <w:tcPr>
            <w:tcW w:w="2320" w:type="dxa"/>
            <w:vAlign w:val="bottom"/>
            <w:tcBorders>
              <w:top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rPr>
              <w:t>304</w:t>
            </w:r>
          </w:p>
        </w:tc>
      </w:tr>
    </w:tbl>
    <w:p>
      <w:pPr>
        <w:spacing w:after="0" w:line="177"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Proposal 5 – The ratification and approval of the appointment of Ernst &amp; Young LLP as the Company’s independent registered public accounting firm for the fiscal year ending September 30, 2023, and until the next annual general meeting, and authorization of the Audit Committee of the Board of Directors to fix the remuneration of such independent registered public accounting firm in accordance with the nature and extent of its services.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shareholders ratified and approved the appointment of Ernst &amp; Young LLP as the Company’s independent registered public accounting firm for the fiscal year ending September 30, 2023, and until the next annual general meeting, and authorized the Audit Committee of the Board of Directors to fix the remuneration of such independent registered public accounting firm in accordance with the nature and extent of its services. The voting results were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Votes Abstaining</w:t>
            </w: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2960" w:type="dxa"/>
            <w:vAlign w:val="bottom"/>
            <w:tcBorders>
              <w:top w:val="single" w:sz="8" w:color="auto"/>
            </w:tcBorders>
          </w:tcPr>
          <w:p>
            <w:pPr>
              <w:jc w:val="right"/>
              <w:ind w:right="999"/>
              <w:spacing w:after="0"/>
              <w:rPr>
                <w:sz w:val="20"/>
                <w:szCs w:val="20"/>
                <w:color w:val="auto"/>
              </w:rPr>
            </w:pPr>
            <w:r>
              <w:rPr>
                <w:rFonts w:ascii="Times New Roman" w:cs="Times New Roman" w:eastAsia="Times New Roman" w:hAnsi="Times New Roman"/>
                <w:sz w:val="18"/>
                <w:szCs w:val="18"/>
                <w:color w:val="auto"/>
              </w:rPr>
              <w:t>97,216,407</w:t>
            </w:r>
          </w:p>
        </w:tc>
        <w:tc>
          <w:tcPr>
            <w:tcW w:w="80" w:type="dxa"/>
            <w:vAlign w:val="bottom"/>
          </w:tcPr>
          <w:p>
            <w:pPr>
              <w:spacing w:after="0"/>
              <w:rPr>
                <w:sz w:val="19"/>
                <w:szCs w:val="19"/>
                <w:color w:val="auto"/>
              </w:rPr>
            </w:pPr>
          </w:p>
        </w:tc>
        <w:tc>
          <w:tcPr>
            <w:tcW w:w="264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rPr>
              <w:t>5,155,669</w:t>
            </w:r>
          </w:p>
        </w:tc>
        <w:tc>
          <w:tcPr>
            <w:tcW w:w="100" w:type="dxa"/>
            <w:vAlign w:val="bottom"/>
          </w:tcPr>
          <w:p>
            <w:pPr>
              <w:spacing w:after="0"/>
              <w:rPr>
                <w:sz w:val="19"/>
                <w:szCs w:val="19"/>
                <w:color w:val="auto"/>
              </w:rPr>
            </w:pPr>
          </w:p>
        </w:tc>
        <w:tc>
          <w:tcPr>
            <w:tcW w:w="2760" w:type="dxa"/>
            <w:vAlign w:val="bottom"/>
            <w:tcBorders>
              <w:top w:val="single" w:sz="8" w:color="auto"/>
            </w:tcBorders>
          </w:tcPr>
          <w:p>
            <w:pPr>
              <w:jc w:val="right"/>
              <w:ind w:right="1039"/>
              <w:spacing w:after="0"/>
              <w:rPr>
                <w:sz w:val="20"/>
                <w:szCs w:val="20"/>
                <w:color w:val="auto"/>
              </w:rPr>
            </w:pPr>
            <w:r>
              <w:rPr>
                <w:rFonts w:ascii="Times New Roman" w:cs="Times New Roman" w:eastAsia="Times New Roman" w:hAnsi="Times New Roman"/>
                <w:sz w:val="18"/>
                <w:szCs w:val="18"/>
                <w:color w:val="auto"/>
              </w:rPr>
              <w:t>51,700</w:t>
            </w:r>
          </w:p>
        </w:tc>
        <w:tc>
          <w:tcPr>
            <w:tcW w:w="160" w:type="dxa"/>
            <w:vAlign w:val="bottom"/>
          </w:tcPr>
          <w:p>
            <w:pPr>
              <w:spacing w:after="0"/>
              <w:rPr>
                <w:sz w:val="19"/>
                <w:szCs w:val="19"/>
                <w:color w:val="auto"/>
              </w:rPr>
            </w:pPr>
          </w:p>
        </w:tc>
        <w:tc>
          <w:tcPr>
            <w:tcW w:w="2320" w:type="dxa"/>
            <w:vAlign w:val="bottom"/>
            <w:tcBorders>
              <w:top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rPr>
              <w:t>304</w:t>
            </w:r>
          </w:p>
        </w:tc>
      </w:tr>
    </w:tbl>
    <w:p>
      <w:pPr>
        <w:sectPr>
          <w:pgSz w:w="11900" w:h="16838" w:orient="portrait"/>
          <w:cols w:equalWidth="0" w:num="1">
            <w:col w:w="11020"/>
          </w:cols>
          <w:pgMar w:left="440" w:top="266" w:right="4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AMDOCS LIMITED</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Matthew E. Smith</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Secretary and Authorized Signatory</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27, 2023</w:t>
      </w:r>
    </w:p>
    <w:sectPr>
      <w:pgSz w:w="11900" w:h="16838" w:orient="portrait"/>
      <w:cols w:equalWidth="0" w:num="1">
        <w:col w:w="10260"/>
      </w:cols>
      <w:pgMar w:left="440" w:top="266"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2023-01-27T17:01:59Z</dcterms:created>
  <dcterms:modified xsi:type="dcterms:W3CDTF">2023-01-27T17:01:59Z</dcterms:modified>
</cp:coreProperties>
</file>