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March 31, 2013</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00"/>
        <w:spacing w:after="0" w:line="207" w:lineRule="exact"/>
        <w:tabs>
          <w:tab w:leader="none" w:pos="5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86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-13970</wp:posOffset>
            </wp:positionV>
            <wp:extent cx="334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60" w:type="dxa"/>
            <w:vAlign w:val="bottom"/>
            <w:gridSpan w:val="3"/>
          </w:tcPr>
          <w:p>
            <w:pPr>
              <w:jc w:val="center"/>
              <w:ind w:right="2840"/>
              <w:spacing w:after="0"/>
              <w:rPr>
                <w:sz w:val="20"/>
                <w:szCs w:val="20"/>
                <w:color w:val="auto"/>
              </w:rPr>
            </w:pPr>
            <w:r>
              <w:rPr>
                <w:rFonts w:ascii="Arial" w:cs="Arial" w:eastAsia="Arial" w:hAnsi="Arial"/>
                <w:sz w:val="18"/>
                <w:szCs w:val="18"/>
                <w:color w:val="auto"/>
                <w:w w:val="98"/>
              </w:rPr>
              <w:t>AMDOCS LIMITED</w:t>
            </w:r>
          </w:p>
        </w:tc>
        <w:tc>
          <w:tcPr>
            <w:tcW w:w="200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gridSpan w:val="2"/>
          </w:tcPr>
          <w:p>
            <w:pPr>
              <w:jc w:val="center"/>
              <w:ind w:right="3060"/>
              <w:spacing w:after="0"/>
              <w:rPr>
                <w:sz w:val="20"/>
                <w:szCs w:val="20"/>
                <w:color w:val="auto"/>
              </w:rPr>
            </w:pPr>
            <w:r>
              <w:rPr>
                <w:rFonts w:ascii="Arial" w:cs="Arial" w:eastAsia="Arial" w:hAnsi="Arial"/>
                <w:sz w:val="18"/>
                <w:szCs w:val="18"/>
                <w:color w:val="auto"/>
                <w:w w:val="95"/>
              </w:rPr>
              <w:t>FORM 6-K</w:t>
            </w:r>
          </w:p>
        </w:tc>
        <w:tc>
          <w:tcPr>
            <w:tcW w:w="200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gridSpan w:val="5"/>
          </w:tcPr>
          <w:p>
            <w:pPr>
              <w:jc w:val="center"/>
              <w:ind w:right="1980"/>
              <w:spacing w:after="0"/>
              <w:rPr>
                <w:sz w:val="20"/>
                <w:szCs w:val="20"/>
                <w:color w:val="auto"/>
              </w:rPr>
            </w:pPr>
            <w:r>
              <w:rPr>
                <w:rFonts w:ascii="Arial" w:cs="Arial" w:eastAsia="Arial" w:hAnsi="Arial"/>
                <w:sz w:val="18"/>
                <w:szCs w:val="18"/>
                <w:color w:val="auto"/>
                <w:w w:val="90"/>
              </w:rPr>
              <w:t>REPORT OF FOREIGN PRIVATE ISSUER</w:t>
            </w:r>
          </w:p>
        </w:tc>
        <w:tc>
          <w:tcPr>
            <w:tcW w:w="200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20" w:type="dxa"/>
            <w:vAlign w:val="bottom"/>
            <w:gridSpan w:val="6"/>
          </w:tcPr>
          <w:p>
            <w:pPr>
              <w:jc w:val="center"/>
              <w:ind w:right="1700"/>
              <w:spacing w:after="0"/>
              <w:rPr>
                <w:sz w:val="20"/>
                <w:szCs w:val="20"/>
                <w:color w:val="auto"/>
              </w:rPr>
            </w:pPr>
            <w:r>
              <w:rPr>
                <w:rFonts w:ascii="Arial" w:cs="Arial" w:eastAsia="Arial" w:hAnsi="Arial"/>
                <w:sz w:val="18"/>
                <w:szCs w:val="18"/>
                <w:color w:val="auto"/>
                <w:w w:val="92"/>
              </w:rPr>
              <w:t>FOR THE QUARTER ENDED MARCH 31, 2013</w:t>
            </w:r>
          </w:p>
        </w:tc>
        <w:tc>
          <w:tcPr>
            <w:tcW w:w="200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gridSpan w:val="2"/>
          </w:tcPr>
          <w:p>
            <w:pPr>
              <w:jc w:val="center"/>
              <w:ind w:right="3060"/>
              <w:spacing w:after="0"/>
              <w:rPr>
                <w:sz w:val="20"/>
                <w:szCs w:val="20"/>
                <w:color w:val="auto"/>
              </w:rPr>
            </w:pPr>
            <w:r>
              <w:rPr>
                <w:rFonts w:ascii="Arial" w:cs="Arial" w:eastAsia="Arial" w:hAnsi="Arial"/>
                <w:sz w:val="18"/>
                <w:szCs w:val="18"/>
                <w:color w:val="auto"/>
                <w:w w:val="98"/>
              </w:rPr>
              <w:t>INDEX</w:t>
            </w:r>
          </w:p>
        </w:tc>
        <w:tc>
          <w:tcPr>
            <w:tcW w:w="2000" w:type="dxa"/>
            <w:vAlign w:val="bottom"/>
          </w:tcPr>
          <w:p>
            <w:pPr>
              <w:spacing w:after="0"/>
              <w:rPr>
                <w:sz w:val="24"/>
                <w:szCs w:val="24"/>
                <w:color w:val="auto"/>
              </w:rPr>
            </w:pPr>
          </w:p>
        </w:tc>
      </w:tr>
      <w:tr>
        <w:trPr>
          <w:trHeight w:val="380"/>
        </w:trPr>
        <w:tc>
          <w:tcPr>
            <w:tcW w:w="27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6540" w:type="dxa"/>
            <w:vAlign w:val="bottom"/>
            <w:gridSpan w:val="8"/>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360" w:type="dxa"/>
            <w:vAlign w:val="bottom"/>
            <w:gridSpan w:val="13"/>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8880" w:type="dxa"/>
            <w:vAlign w:val="bottom"/>
            <w:gridSpan w:val="14"/>
          </w:tcPr>
          <w:p>
            <w:pPr>
              <w:ind w:left="440"/>
              <w:spacing w:after="0"/>
              <w:rPr>
                <w:sz w:val="20"/>
                <w:szCs w:val="20"/>
                <w:color w:val="auto"/>
              </w:rPr>
            </w:pPr>
            <w:r>
              <w:rPr>
                <w:rFonts w:ascii="Arial" w:cs="Arial" w:eastAsia="Arial" w:hAnsi="Arial"/>
                <w:sz w:val="18"/>
                <w:szCs w:val="18"/>
                <w:color w:val="auto"/>
              </w:rPr>
              <w:t>Unaudited Consolidated Financial Statements</w:t>
            </w:r>
          </w:p>
        </w:tc>
        <w:tc>
          <w:tcPr>
            <w:tcW w:w="200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20" w:type="dxa"/>
            <w:vAlign w:val="bottom"/>
            <w:gridSpan w:val="1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00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Comprehensive Income</w:t>
              </w:r>
            </w:hyperlink>
          </w:p>
        </w:tc>
        <w:tc>
          <w:tcPr>
            <w:tcW w:w="436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Consolidated Financial Statements</w:t>
              </w:r>
            </w:hyperlink>
          </w:p>
        </w:tc>
        <w:tc>
          <w:tcPr>
            <w:tcW w:w="41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33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Operating and Financial Review and Prospects</w:t>
              </w:r>
            </w:hyperlink>
          </w:p>
        </w:tc>
        <w:tc>
          <w:tcPr>
            <w:tcW w:w="504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PART II OTHER INFORMATION</w:t>
              </w:r>
            </w:hyperlink>
          </w:p>
        </w:tc>
        <w:tc>
          <w:tcPr>
            <w:tcW w:w="684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572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Changes in Securities, Use of Proceeds and Issuer Purchases of Equity Securities</w:t>
              </w:r>
            </w:hyperlink>
          </w:p>
        </w:tc>
        <w:tc>
          <w:tcPr>
            <w:tcW w:w="264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8360" w:type="dxa"/>
            <w:vAlign w:val="bottom"/>
            <w:gridSpan w:val="13"/>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Reports on Form 6-K</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2"/>
              </w:rPr>
              <w:t>March 31,</w:t>
            </w:r>
          </w:p>
        </w:tc>
        <w:tc>
          <w:tcPr>
            <w:tcW w:w="3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661,788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316,369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239,019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669,531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and taxes receivable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123,428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166,347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1,937,463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2,041,070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268,962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116,230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1,741,786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1,741,786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121,019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308,217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4,493,677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4,645,223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121,841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279,095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186,615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160,681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33,126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781,358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310,024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252,723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1,344,105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Ordinary Shares — Authorized 700,000 shares; £0.01 par value; 256,401 and 251,690 issued and 160,972 and 162,454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respectively</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4,152</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2,760,058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2,625,250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95,429 and 89,236 ordinary shares, respectively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(2,630,522)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(2,418,010)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3,009,354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2,847,386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3,149,572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3,033,202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4,493,677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4,645,223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License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21,901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26,238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40,817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811,037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782,690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1,618,480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1,553,904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832,938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808,928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1,659,297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1,615,938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538,094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517,549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1,073,107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1,033,730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60,350</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119,419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106,842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710,083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699,056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1,423,785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1,397,018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122,855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109,872</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235,512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121,098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115,158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104,912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101,870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203,927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vMerge w:val="continue"/>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160,955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169,739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162,884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170,971</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163,239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17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10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$104,912</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$101,870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$203,927</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$194,601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gains on foreign currency hedging contracts (1)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22,453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420"/>
              <w:spacing w:after="0"/>
              <w:rPr>
                <w:sz w:val="20"/>
                <w:szCs w:val="20"/>
                <w:color w:val="auto"/>
              </w:rPr>
            </w:pPr>
            <w:r>
              <w:rPr>
                <w:rFonts w:ascii="Arial" w:cs="Arial" w:eastAsia="Arial" w:hAnsi="Arial"/>
                <w:sz w:val="18"/>
                <w:szCs w:val="18"/>
                <w:color w:val="auto"/>
              </w:rPr>
              <w:t>Unrealized gains (losses) on short-term interest-bearing investments (2)</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399</w:t>
            </w:r>
          </w:p>
        </w:tc>
        <w:tc>
          <w:tcPr>
            <w:tcW w:w="660" w:type="dxa"/>
            <w:vAlign w:val="bottom"/>
          </w:tcPr>
          <w:p>
            <w:pPr>
              <w:jc w:val="right"/>
              <w:spacing w:after="0"/>
              <w:rPr>
                <w:sz w:val="20"/>
                <w:szCs w:val="20"/>
                <w:color w:val="auto"/>
              </w:rPr>
            </w:pPr>
            <w:r>
              <w:rPr>
                <w:rFonts w:ascii="Arial" w:cs="Arial" w:eastAsia="Arial" w:hAnsi="Arial"/>
                <w:sz w:val="18"/>
                <w:szCs w:val="18"/>
                <w:color w:val="auto"/>
              </w:rPr>
              <w:t>516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 net of tax</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gridSpan w:val="3"/>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$ 117,651</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124,722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235,958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$(1,806) and $(2,062) for the three months ended March 31, 2013 and 2012, respectively, and of $(6,362) and $235 for the six months ended March 31, 2013 and 2012, respectively.</w:t>
      </w:r>
    </w:p>
    <w:p>
      <w:pPr>
        <w:ind w:left="460" w:right="10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benefit of $(24) and $(36) for the three months ended March 31, 2013 and 2012, respectively, and of $(49) and $17 for the six months ended March 31, 2013 and 2012,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203,927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73,623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Gain on sale of investment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changes in operating assets and liabilities: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(26,919)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Income taxes payable,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265,534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144,612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(223,077)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sale of investment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(140,430)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(30,517)</w:t>
            </w:r>
          </w:p>
        </w:tc>
        <w:tc>
          <w:tcPr>
            <w:tcW w:w="0" w:type="dxa"/>
            <w:vAlign w:val="bottom"/>
          </w:tcPr>
          <w:p>
            <w:pPr>
              <w:spacing w:after="0"/>
              <w:rPr>
                <w:sz w:val="1"/>
                <w:szCs w:val="1"/>
                <w:color w:val="auto"/>
              </w:rPr>
            </w:pPr>
          </w:p>
        </w:tc>
      </w:tr>
      <w:tr>
        <w:trPr>
          <w:trHeight w:val="221"/>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Repurchase of shares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(212,512)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(256,545)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112,849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Payments of dividends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and other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(342,474)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(453,078)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(217,370)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(259,113)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879,158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661,788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572,258</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Income taxes, net of refunds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16,683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and the United States.</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2012, set forth in the Company’s Annual Report on Form 20-F filed on December 11, 2012 with the U.S. Securities and Exchange Commission, or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February 2013, the Financial Accounting Standards Board, or FASB, issued an accounting standard update to require reclassification adjustments from other comprehensive income to be presented either in the financial statements or in the notes to the financial statements. This accounting standard update will be effective for the Company beginning in the first quarter of fiscal 2014 and will result in additional disclosures in the Company’s financial statements but will not affect the substantive content of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September 2011, the FASB issued a revised accounting standard update intended to simplify how an entity tests goodwill for impairment. The amendment allows an entity to first assess qualitative factors to determine whether it is necessary to perform the two-step quantitative goodwill impairment test. An entity no longer is required to calculate the fair value of a reporting unit unless the entity determines, based on a qualitative assessment, that it is more likely than not that its fair value is less than its carrying amount. This accounting standard update became effective for the Company beginning in the first quarter of fiscal 2013, and the Company expects its adoption will not have a material impact on the result of its annual goodwill impairment test or its financial statements.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June 2011, the FASB issued guidance to require an entity to present the components of other comprehensive income either in a single continuous statement of comprehensive income or in two separate but consecutive statements, thus eliminating the option to present the components of other comprehensive income as part of the statement of equity. The Company adopted this guidance in the first quarter of fiscal 2013 by including the required disclosures in two separate but consecutive statements.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40" w:lineRule="exact"/>
        <w:rPr>
          <w:sz w:val="20"/>
          <w:szCs w:val="20"/>
          <w:color w:val="auto"/>
        </w:rPr>
      </w:pPr>
    </w:p>
    <w:p>
      <w:pPr>
        <w:jc w:val="right"/>
        <w:ind w:right="5320"/>
        <w:spacing w:after="0"/>
        <w:rPr>
          <w:sz w:val="20"/>
          <w:szCs w:val="20"/>
          <w:color w:val="auto"/>
        </w:rPr>
      </w:pPr>
      <w:r>
        <w:rPr>
          <w:rFonts w:ascii="Arial" w:cs="Arial" w:eastAsia="Arial" w:hAnsi="Arial"/>
          <w:sz w:val="16"/>
          <w:szCs w:val="16"/>
          <w:color w:val="auto"/>
        </w:rPr>
        <w:t>The three levels of inputs that may be used to measure fair value are as follows:</w:t>
      </w:r>
    </w:p>
    <w:p>
      <w:pPr>
        <w:spacing w:after="0" w:line="113"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90"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Company’s assets and liabilities measured at fair value on a recurring basis as of March 31, 2013 and September 30, 2012:</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As of March 31, 2013</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4"/>
              </w:rPr>
              <w:t>Level 2</w:t>
            </w:r>
          </w:p>
        </w:tc>
        <w:tc>
          <w:tcPr>
            <w:tcW w:w="40" w:type="dxa"/>
            <w:vAlign w:val="bottom"/>
          </w:tcPr>
          <w:p>
            <w:pPr>
              <w:spacing w:after="0"/>
              <w:rPr>
                <w:sz w:val="12"/>
                <w:szCs w:val="12"/>
                <w:color w:val="auto"/>
              </w:rPr>
            </w:pPr>
          </w:p>
        </w:tc>
        <w:tc>
          <w:tcPr>
            <w:tcW w:w="68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040" w:type="dxa"/>
            <w:vAlign w:val="bottom"/>
            <w:gridSpan w:val="3"/>
          </w:tcPr>
          <w:p>
            <w:pPr>
              <w:jc w:val="right"/>
              <w:ind w:right="20"/>
              <w:spacing w:after="0"/>
              <w:rPr>
                <w:sz w:val="20"/>
                <w:szCs w:val="20"/>
                <w:color w:val="auto"/>
              </w:rPr>
            </w:pPr>
            <w:r>
              <w:rPr>
                <w:rFonts w:ascii="Arial" w:cs="Arial" w:eastAsia="Arial" w:hAnsi="Arial"/>
                <w:sz w:val="18"/>
                <w:szCs w:val="18"/>
                <w:color w:val="auto"/>
              </w:rPr>
              <w:t>$256,946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$256,946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200,122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200,122</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234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71,203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71,203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2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30,560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Government guaranteed debt</w:t>
            </w:r>
          </w:p>
        </w:tc>
        <w:tc>
          <w:tcPr>
            <w:tcW w:w="234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12,985</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12,985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2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7,733</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234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1,090</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2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3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463,242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128,123</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19,388</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463,242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$ 147,511</w:t>
            </w:r>
          </w:p>
        </w:tc>
        <w:tc>
          <w:tcPr>
            <w:tcW w:w="42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610,753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September 30, 2012</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4"/>
              </w:rPr>
              <w:t>Level 2</w:t>
            </w:r>
          </w:p>
        </w:tc>
        <w:tc>
          <w:tcPr>
            <w:tcW w:w="40" w:type="dxa"/>
            <w:vAlign w:val="bottom"/>
          </w:tcPr>
          <w:p>
            <w:pPr>
              <w:spacing w:after="0"/>
              <w:rPr>
                <w:sz w:val="12"/>
                <w:szCs w:val="12"/>
                <w:color w:val="auto"/>
              </w:rPr>
            </w:pPr>
          </w:p>
        </w:tc>
        <w:tc>
          <w:tcPr>
            <w:tcW w:w="68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040" w:type="dxa"/>
            <w:vAlign w:val="bottom"/>
            <w:gridSpan w:val="3"/>
          </w:tcPr>
          <w:p>
            <w:pPr>
              <w:jc w:val="right"/>
              <w:ind w:right="20"/>
              <w:spacing w:after="0"/>
              <w:rPr>
                <w:sz w:val="20"/>
                <w:szCs w:val="20"/>
                <w:color w:val="auto"/>
              </w:rPr>
            </w:pPr>
            <w:r>
              <w:rPr>
                <w:rFonts w:ascii="Arial" w:cs="Arial" w:eastAsia="Arial" w:hAnsi="Arial"/>
                <w:sz w:val="18"/>
                <w:szCs w:val="18"/>
                <w:color w:val="auto"/>
              </w:rPr>
              <w:t>$485,012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$485,012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treasuries</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93,387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93,387</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234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60,923</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60,923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agency securities</w:t>
            </w:r>
          </w:p>
        </w:tc>
        <w:tc>
          <w:tcPr>
            <w:tcW w:w="2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27,756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27,756</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Government guaranteed debt</w:t>
            </w:r>
          </w:p>
        </w:tc>
        <w:tc>
          <w:tcPr>
            <w:tcW w:w="234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32,689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32,689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Supranational and sovereign debt</w:t>
            </w:r>
          </w:p>
        </w:tc>
        <w:tc>
          <w:tcPr>
            <w:tcW w:w="2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11,644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Mortgages (including agencies and corporate)</w:t>
            </w:r>
          </w:p>
        </w:tc>
        <w:tc>
          <w:tcPr>
            <w:tcW w:w="234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5,134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backed obligations</w:t>
            </w:r>
          </w:p>
        </w:tc>
        <w:tc>
          <w:tcPr>
            <w:tcW w:w="2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3,417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23"/>
        </w:trPr>
        <w:tc>
          <w:tcPr>
            <w:tcW w:w="4200" w:type="dxa"/>
            <w:vAlign w:val="bottom"/>
          </w:tcPr>
          <w:p>
            <w:pPr>
              <w:ind w:left="440"/>
              <w:spacing w:after="0"/>
              <w:rPr>
                <w:sz w:val="20"/>
                <w:szCs w:val="20"/>
                <w:color w:val="auto"/>
              </w:rPr>
            </w:pPr>
            <w:r>
              <w:rPr>
                <w:rFonts w:ascii="Arial" w:cs="Arial" w:eastAsia="Arial" w:hAnsi="Arial"/>
                <w:sz w:val="18"/>
                <w:szCs w:val="18"/>
                <w:color w:val="auto"/>
              </w:rPr>
              <w:t>Commercial paper and certificates of deposit</w:t>
            </w:r>
          </w:p>
        </w:tc>
        <w:tc>
          <w:tcPr>
            <w:tcW w:w="2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584,554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143,064</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234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(23,928)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584,554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$ 119,136</w:t>
            </w:r>
          </w:p>
        </w:tc>
        <w:tc>
          <w:tcPr>
            <w:tcW w:w="4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703,690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340" w:type="dxa"/>
            <w:vAlign w:val="bottom"/>
            <w:vMerge w:val="restart"/>
          </w:tcPr>
          <w:p>
            <w:pPr>
              <w:jc w:val="right"/>
              <w:ind w:right="1612"/>
              <w:spacing w:after="0"/>
              <w:rPr>
                <w:sz w:val="20"/>
                <w:szCs w:val="20"/>
                <w:color w:val="auto"/>
              </w:rPr>
            </w:pPr>
            <w:r>
              <w:rPr>
                <w:rFonts w:ascii="Arial" w:cs="Arial" w:eastAsia="Arial" w:hAnsi="Arial"/>
                <w:sz w:val="18"/>
                <w:szCs w:val="18"/>
                <w:color w:val="auto"/>
              </w:rPr>
              <w:t>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six months ended March 31,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As of March 31, 2013</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5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5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6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$256,946</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$256,946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tcPr>
          <w:p>
            <w:pPr>
              <w:jc w:val="right"/>
              <w:spacing w:after="0"/>
              <w:rPr>
                <w:sz w:val="20"/>
                <w:szCs w:val="20"/>
                <w:color w:val="auto"/>
              </w:rPr>
            </w:pPr>
            <w:r>
              <w:rPr>
                <w:rFonts w:ascii="Arial" w:cs="Arial" w:eastAsia="Arial" w:hAnsi="Arial"/>
                <w:sz w:val="18"/>
                <w:szCs w:val="18"/>
                <w:color w:val="auto"/>
              </w:rPr>
              <w:t>199,927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195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200,122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382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71,203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30,535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w w:val="78"/>
              </w:rPr>
              <w:t>25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30,560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3"/>
              </w:rPr>
              <w:t>115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680" w:type="dxa"/>
            <w:vAlign w:val="bottom"/>
          </w:tcPr>
          <w:p>
            <w:pPr>
              <w:jc w:val="right"/>
              <w:spacing w:after="0"/>
              <w:rPr>
                <w:sz w:val="20"/>
                <w:szCs w:val="20"/>
                <w:color w:val="auto"/>
              </w:rPr>
            </w:pPr>
            <w:r>
              <w:rPr>
                <w:rFonts w:ascii="Arial" w:cs="Arial" w:eastAsia="Arial" w:hAnsi="Arial"/>
                <w:sz w:val="18"/>
                <w:szCs w:val="18"/>
                <w:color w:val="auto"/>
              </w:rPr>
              <w:t>7,733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10,726</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590,784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717</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136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591,365</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March 31, 2013, $316,369 of securities were classified as short term interest-bearing investments and $274,996 of securities were classified as cash and cash equivalents.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As of September 30, 2012</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48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6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$485,012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$485,012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tcPr>
          <w:p>
            <w:pPr>
              <w:jc w:val="right"/>
              <w:spacing w:after="0"/>
              <w:rPr>
                <w:sz w:val="20"/>
                <w:szCs w:val="20"/>
                <w:color w:val="auto"/>
              </w:rPr>
            </w:pPr>
            <w:r>
              <w:rPr>
                <w:rFonts w:ascii="Arial" w:cs="Arial" w:eastAsia="Arial" w:hAnsi="Arial"/>
                <w:sz w:val="18"/>
                <w:szCs w:val="18"/>
                <w:color w:val="auto"/>
              </w:rPr>
              <w:t>93,255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132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93,387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573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27,637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27,756</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guaranteed debt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205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32,689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680" w:type="dxa"/>
            <w:vAlign w:val="bottom"/>
          </w:tcPr>
          <w:p>
            <w:pPr>
              <w:jc w:val="right"/>
              <w:spacing w:after="0"/>
              <w:rPr>
                <w:sz w:val="20"/>
                <w:szCs w:val="20"/>
                <w:color w:val="auto"/>
              </w:rPr>
            </w:pPr>
            <w:r>
              <w:rPr>
                <w:rFonts w:ascii="Arial" w:cs="Arial" w:eastAsia="Arial" w:hAnsi="Arial"/>
                <w:sz w:val="18"/>
                <w:szCs w:val="18"/>
                <w:color w:val="auto"/>
              </w:rPr>
              <w:t>11,628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646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3,800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383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727,602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1,045</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1,029</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727,618</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2012, $239,019 of securities were classified as short term interest-bearing investments and $488,599 of securities were classified as cash and cash equivalents.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March 31, 2013, the unrealized losses attributable to the Company’s available-for-sale securities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an immaterial credit loss was recognized in the three and six months ended March 31, 2013 and 2012. As of March 31, 2013, temporary unrealized losses of $103 included in accumulated other comprehensive income (loss), were related to securities for which credit losses were previously recognized and that were considered other-than-temporarily impaired securities.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The following table presents a cumulative roll forward of credit losses recognized in earnings: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ind w:left="220"/>
              <w:spacing w:after="0"/>
              <w:rPr>
                <w:sz w:val="20"/>
                <w:szCs w:val="20"/>
                <w:color w:val="auto"/>
              </w:rPr>
            </w:pPr>
            <w:r>
              <w:rPr>
                <w:rFonts w:ascii="Arial" w:cs="Arial" w:eastAsia="Arial" w:hAnsi="Arial"/>
                <w:sz w:val="18"/>
                <w:szCs w:val="18"/>
                <w:color w:val="auto"/>
              </w:rPr>
              <w:t>previously recognized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5"/>
              </w:rPr>
              <w:t>Additional credit loss on debt securities for which an other-than-temporary impairment was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previously recognized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Reduction of credit loss for securities realized during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As of March 31, 2013, the Company’s available-for-sale securities had the following maturity dates: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436,645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106,089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591,365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The Company has elected to present the related assets and liabilities on a gross basis. Taking into account the Company’s contractual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$21,090 as of March 31, 2013. The Company has limited its credit risk by entering into derivative transactions exclusively with investment-grade rated financial institutions and monitors the creditworthiness of these financial institutions on an ongoing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March 31, 2013. Notional values are in U.S. dollars and are translated and calculated based on forward rates as of March 31, 2013 for forward contracts, and based on spot rates as of March 31, 2013 for options.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2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1,011,213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unaudited consolidated financial statements. The fair value of the open foreign currency exchange contracts recorded by the Company on its consolidated balance sheets as of March 31, 2013 and September 30, 2012, as an asset or a liability, is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March 31,</w:t>
            </w:r>
          </w:p>
        </w:tc>
        <w:tc>
          <w:tcPr>
            <w:tcW w:w="1340" w:type="dxa"/>
            <w:vAlign w:val="bottom"/>
            <w:gridSpan w:val="3"/>
          </w:tcPr>
          <w:p>
            <w:pPr>
              <w:ind w:left="5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13,037</w:t>
            </w:r>
          </w:p>
        </w:tc>
        <w:tc>
          <w:tcPr>
            <w:tcW w:w="120" w:type="dxa"/>
            <w:vAlign w:val="bottom"/>
          </w:tcPr>
          <w:p>
            <w:pPr>
              <w:spacing w:after="0"/>
              <w:rPr>
                <w:sz w:val="18"/>
                <w:szCs w:val="18"/>
                <w:color w:val="auto"/>
              </w:rPr>
            </w:pP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(2,760)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16,098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(21,945)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March 31, 2013, is expected to mature within the next 12 months).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and six months ended March 31, 2013 and 2012, respectively, which partially offsets the foreign currency impact from the underlying exposures, is summarized as follows:</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6"/>
              </w:rPr>
              <w:t>Gains (Losses) Reclassified from</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7"/>
          </w:tcPr>
          <w:p>
            <w:pPr>
              <w:jc w:val="right"/>
              <w:ind w:right="80"/>
              <w:spacing w:after="0" w:line="149" w:lineRule="exact"/>
              <w:rPr>
                <w:sz w:val="20"/>
                <w:szCs w:val="20"/>
                <w:color w:val="auto"/>
              </w:rPr>
            </w:pPr>
            <w:r>
              <w:rPr>
                <w:rFonts w:ascii="Arial" w:cs="Arial" w:eastAsia="Arial" w:hAnsi="Arial"/>
                <w:sz w:val="14"/>
                <w:szCs w:val="14"/>
                <w:b w:val="1"/>
                <w:bCs w:val="1"/>
                <w:color w:val="auto"/>
                <w:w w:val="87"/>
              </w:rPr>
              <w:t>Other Comprehensive Income (Effective Portion)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w w:val="95"/>
              </w:rPr>
              <w:t>Three months ended March 31,</w:t>
            </w:r>
          </w:p>
        </w:tc>
        <w:tc>
          <w:tcPr>
            <w:tcW w:w="120" w:type="dxa"/>
            <w:vAlign w:val="bottom"/>
          </w:tcPr>
          <w:p>
            <w:pPr>
              <w:spacing w:after="0"/>
              <w:rPr>
                <w:sz w:val="14"/>
                <w:szCs w:val="14"/>
                <w:color w:val="auto"/>
              </w:rPr>
            </w:pPr>
          </w:p>
        </w:tc>
        <w:tc>
          <w:tcPr>
            <w:tcW w:w="19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Six months ended March 31,</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1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Revenue</w:t>
            </w:r>
          </w:p>
        </w:tc>
        <w:tc>
          <w:tcPr>
            <w:tcW w:w="22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(91)</w:t>
            </w: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630</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1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(3,162)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(6,601)</w:t>
            </w: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166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131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vMerge w:val="continue"/>
          </w:tcPr>
          <w:p>
            <w:pPr>
              <w:spacing w:after="0"/>
              <w:rPr>
                <w:sz w:val="19"/>
                <w:szCs w:val="19"/>
                <w:color w:val="auto"/>
              </w:rPr>
            </w:pPr>
          </w:p>
        </w:tc>
        <w:tc>
          <w:tcPr>
            <w:tcW w:w="22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145</w:t>
            </w:r>
          </w:p>
        </w:tc>
        <w:tc>
          <w:tcPr>
            <w:tcW w:w="6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(3,382)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(4,222)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20" w:type="dxa"/>
            <w:vAlign w:val="bottom"/>
            <w:vMerge w:val="restart"/>
          </w:tcPr>
          <w:p>
            <w:pPr>
              <w:jc w:val="right"/>
              <w:ind w:right="312"/>
              <w:spacing w:after="0"/>
              <w:rPr>
                <w:sz w:val="20"/>
                <w:szCs w:val="20"/>
                <w:color w:val="auto"/>
              </w:rPr>
            </w:pPr>
            <w:r>
              <w:rPr>
                <w:rFonts w:ascii="Arial" w:cs="Arial" w:eastAsia="Arial" w:hAnsi="Arial"/>
                <w:sz w:val="18"/>
                <w:szCs w:val="18"/>
                <w:color w:val="auto"/>
              </w:rPr>
              <w:t>11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related to the changes in net unrealized gains (losses) on cash flow hedges, net of tax,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2013</w:t>
            </w:r>
          </w:p>
        </w:tc>
        <w:tc>
          <w:tcPr>
            <w:tcW w:w="116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210"/>
        </w:trPr>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on cash flow hedges, net of tax,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3"/>
              </w:rPr>
              <w:t>$ (17,942)</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(14,437)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27,637</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(3,544)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5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20" w:type="dxa"/>
            <w:vAlign w:val="bottom"/>
            <w:shd w:val="clear" w:color="auto" w:fill="CCEEFF"/>
          </w:tcPr>
          <w:p>
            <w:pPr>
              <w:spacing w:after="0"/>
              <w:rPr>
                <w:sz w:val="18"/>
                <w:szCs w:val="18"/>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$ 13,573</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 (11,938)</w:t>
            </w: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Gains (losses) from cash flow hedges recognized in other comprehensive income during the six months ended March 31, 2013 and 2012, were $33,655 and $(3,968), or $27,637 and $(3,544), net of taxes, respectively.</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Of the net gains related to derivatives designated as cash flow hedges and recorded in accumulated other comprehensive income (loss) as of March 31, 2013, a net gain of $8,726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six months ended March 31, 2013 and 2012, was not material.</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six months ended March 31, 2013 and 2012, respectively, which partially offsets the foreign currency impact from the underlying exposure, is summarized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84"/>
              </w:rPr>
              <w:t>Gains (Losses) Recognized in 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2"/>
                <w:szCs w:val="12"/>
                <w:color w:val="auto"/>
              </w:rPr>
            </w:pPr>
          </w:p>
        </w:tc>
        <w:tc>
          <w:tcPr>
            <w:tcW w:w="1460" w:type="dxa"/>
            <w:vAlign w:val="bottom"/>
            <w:gridSpan w:val="6"/>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4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2013</w:t>
            </w:r>
          </w:p>
        </w:tc>
        <w:tc>
          <w:tcPr>
            <w:tcW w:w="3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2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Revenue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3,526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Interest and other (expense) income, net</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4,414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(4,462)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3,297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(2,966)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vMerge w:val="continue"/>
          </w:tcPr>
          <w:p>
            <w:pPr>
              <w:spacing w:after="0"/>
              <w:rPr>
                <w:sz w:val="19"/>
                <w:szCs w:val="19"/>
                <w:color w:val="auto"/>
              </w:rPr>
            </w:pPr>
          </w:p>
        </w:tc>
        <w:tc>
          <w:tcPr>
            <w:tcW w:w="2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5,522</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(1,608)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7,571</w:t>
            </w:r>
          </w:p>
        </w:tc>
        <w:tc>
          <w:tcPr>
            <w:tcW w:w="3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(3,053)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60" w:type="dxa"/>
            <w:vAlign w:val="bottom"/>
            <w:vMerge w:val="restart"/>
          </w:tcPr>
          <w:p>
            <w:pPr>
              <w:jc w:val="right"/>
              <w:ind w:right="1652"/>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6"/>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March 31,</w:t>
            </w:r>
          </w:p>
        </w:tc>
        <w:tc>
          <w:tcPr>
            <w:tcW w:w="82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w w:val="75"/>
              </w:rPr>
              <w:t>September 30,</w:t>
            </w:r>
          </w:p>
        </w:tc>
        <w:tc>
          <w:tcPr>
            <w:tcW w:w="3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563,849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573,090</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124,415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130,697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w w:val="92"/>
              </w:rPr>
              <w:t>(18,733)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20" w:type="dxa"/>
            <w:vAlign w:val="bottom"/>
            <w:gridSpan w:val="2"/>
            <w:vMerge w:val="restart"/>
          </w:tcPr>
          <w:p>
            <w:pPr>
              <w:ind w:left="920"/>
              <w:spacing w:after="0"/>
              <w:rPr>
                <w:sz w:val="20"/>
                <w:szCs w:val="20"/>
                <w:color w:val="auto"/>
              </w:rPr>
            </w:pPr>
            <w:r>
              <w:rPr>
                <w:rFonts w:ascii="Arial" w:cs="Arial" w:eastAsia="Arial" w:hAnsi="Arial"/>
                <w:sz w:val="18"/>
                <w:szCs w:val="18"/>
                <w:color w:val="auto"/>
              </w:rPr>
              <w:t>Accounts receivable, net</w:t>
            </w: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220" w:type="dxa"/>
            <w:vAlign w:val="bottom"/>
            <w:gridSpan w:val="2"/>
            <w:vMerge w:val="continue"/>
          </w:tcPr>
          <w:p>
            <w:pPr>
              <w:spacing w:after="0"/>
              <w:rPr>
                <w:sz w:val="19"/>
                <w:szCs w:val="19"/>
                <w:color w:val="auto"/>
              </w:rPr>
            </w:pPr>
          </w:p>
        </w:tc>
        <w:tc>
          <w:tcPr>
            <w:tcW w:w="1220" w:type="dxa"/>
            <w:vAlign w:val="bottom"/>
            <w:gridSpan w:val="3"/>
          </w:tcPr>
          <w:p>
            <w:pPr>
              <w:jc w:val="right"/>
              <w:ind w:right="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669,531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687,223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Income Taxes</w:t>
            </w: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8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80" w:type="dxa"/>
            <w:vAlign w:val="bottom"/>
            <w:gridSpan w:val="3"/>
          </w:tcPr>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8"/>
              </w:rPr>
              <w:t>Three months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tcPr>
          <w:p>
            <w:pPr>
              <w:jc w:val="center"/>
              <w:ind w:right="740"/>
              <w:spacing w:after="0" w:line="149" w:lineRule="exact"/>
              <w:rPr>
                <w:sz w:val="20"/>
                <w:szCs w:val="20"/>
                <w:color w:val="auto"/>
              </w:rPr>
            </w:pPr>
            <w:r>
              <w:rPr>
                <w:rFonts w:ascii="Arial" w:cs="Arial" w:eastAsia="Arial" w:hAnsi="Arial"/>
                <w:sz w:val="14"/>
                <w:szCs w:val="14"/>
                <w:b w:val="1"/>
                <w:bCs w:val="1"/>
                <w:color w:val="auto"/>
                <w:w w:val="82"/>
              </w:rPr>
              <w:t>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69"/>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$17,089</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$15,795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$26,841</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$34,275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6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(903)</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(2,507)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6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16,186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13,288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29,720</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25,992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3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7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12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Foreign taxes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2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March 31, 2013, deferred tax assets of $115,120, derived primarily from tax credits, net capital and operating loss carry forwards related to some of the Company’s subsidiaries, were offset by valuation allowances related to the uncertainty of realizing tax benefit for such credits and losses. Releases of the valuation allowances, if any, will be recognized through earnings.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total amount of gross unrecognized tax benefits, which includes interest and penalties, was $140,959 as of March 31, 2013, all of which would affect the effective tax rate if realized.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2013, the Company had accrued $21,573 in income taxes payable for interest and penalties relating to unrecognized tax benefits.</w:t>
      </w:r>
    </w:p>
    <w:p>
      <w:pPr>
        <w:spacing w:after="0" w:line="19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8"/>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Numerator for basic and diluted earnings per share</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104,912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101,870</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203,927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194,601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20" w:type="dxa"/>
            <w:vAlign w:val="bottom"/>
          </w:tcPr>
          <w:p>
            <w:pPr>
              <w:ind w:left="440"/>
              <w:spacing w:after="0"/>
              <w:rPr>
                <w:sz w:val="20"/>
                <w:szCs w:val="20"/>
                <w:color w:val="auto"/>
              </w:rPr>
            </w:pPr>
            <w:r>
              <w:rPr>
                <w:rFonts w:ascii="Arial" w:cs="Arial" w:eastAsia="Arial" w:hAnsi="Arial"/>
                <w:sz w:val="18"/>
                <w:szCs w:val="18"/>
                <w:color w:val="auto"/>
                <w:w w:val="90"/>
              </w:rPr>
              <w:t>Denominator for basic earnings per share — weighted average number of shares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66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160,955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169,739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161,569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171,231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assumed conversion of 0.50% convertible notes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440"/>
              <w:spacing w:after="0"/>
              <w:rPr>
                <w:sz w:val="20"/>
                <w:szCs w:val="20"/>
                <w:color w:val="auto"/>
              </w:rPr>
            </w:pPr>
            <w:r>
              <w:rPr>
                <w:rFonts w:ascii="Arial" w:cs="Arial" w:eastAsia="Arial" w:hAnsi="Arial"/>
                <w:sz w:val="18"/>
                <w:szCs w:val="18"/>
                <w:color w:val="auto"/>
              </w:rPr>
              <w:t>Effect of dilutive stock options granted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Denominator for diluted earnings per share — adjusted weighted average shares</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and assumed conversions</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162,884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170,971</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163,239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172,397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4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vMerge w:val="continue"/>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For the three and six months ended March 31, 2013, 2,359 and 3,626 shares, respectively, were attributable to antidilutive outstanding stock options. For the three and six months ended March 31, 2012, 12,986 and 13,180 shares, respectively, were attributable to antidilutive outstanding stock options. Shares attributable to antidilutive outstanding stock options were not included in the calculation of diluted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of Shares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February 2011, the Company’s board of directors adopted a share repurchase plan authorizing the repurchase of up to $1,000,000 of the Company’s outstanding ordinary shares over the following 24 months. In November 2012, the Company’s board of directors adopted another share repurchase plan authorizing the repurchase of up to $500,000 of its outstanding ordinary shares. The November 2012 plan has no expiration date. The authorizations permit the Company to purchase its ordinary shares in open market or privately negotiated transactions at times and prices that it considers appropriate. In February 2013, the Company completed the repurchase of the remaining authorized amount under the February 2011 plan and started executing repurchases under the November 2012 plan. In the six months ended March 31, 2013, the Company repurchased approximately 6,193 ordinary shares at an average price of $34.30 per share (excluding broker and transaction fees). As of March 31, 2013, the Company had remaining authority to repurchase up to $490,353 of its outstanding ordinary shares under the November 2012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9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In December 2011, the Company entered into a $500,000 five-year revolving credit facility with a syndicate of banks.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In September 2012, the Company borrowed an aggregate of $200,000 under the facility and repaid it in October 2012. As of March 31, 2013, the Company was in compliance with the financial covenants under the revolving credit facility and had no outstanding borrowings under this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currently authorized to be granted under the Plan is 62,300. Awards granted under the Plan generally vest over a period of four years and stock options have a term of ten years.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six-month period ended March 31, 2013:</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Weighted</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Number of</w:t>
            </w:r>
          </w:p>
        </w:tc>
        <w:tc>
          <w:tcPr>
            <w:tcW w:w="28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Options</w:t>
            </w:r>
          </w:p>
        </w:tc>
        <w:tc>
          <w:tcPr>
            <w:tcW w:w="28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$ 29.27</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2,427</w:t>
            </w:r>
          </w:p>
        </w:tc>
        <w:tc>
          <w:tcPr>
            <w:tcW w:w="32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34.76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(4,071)</w:t>
            </w: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27.72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(549)</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29.65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$ 30.52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Exercisable as of March 31, 2013</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8,175</w:t>
            </w:r>
          </w:p>
        </w:tc>
        <w:tc>
          <w:tcPr>
            <w:tcW w:w="32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$ 30.49</w:t>
            </w:r>
          </w:p>
        </w:tc>
        <w:tc>
          <w:tcPr>
            <w:tcW w:w="7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information relating to awards of restricted shares, as well as changes to such awards during the six-month period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2013:</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unvested shares as of October 1, 2012</w:t>
            </w:r>
          </w:p>
        </w:tc>
        <w:tc>
          <w:tcPr>
            <w:tcW w:w="1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March 31, 2013</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six months ended March 31, 2013 and 2012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87"/>
              </w:rPr>
              <w:t>Three months ended March 31,</w:t>
            </w:r>
          </w:p>
        </w:tc>
        <w:tc>
          <w:tcPr>
            <w:tcW w:w="10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4"/>
                <w:szCs w:val="14"/>
                <w:b w:val="1"/>
                <w:bCs w:val="1"/>
                <w:color w:val="auto"/>
                <w:w w:val="96"/>
              </w:rPr>
              <w:t>Six months ended March 31,</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8,709</w:t>
            </w:r>
          </w:p>
        </w:tc>
        <w:tc>
          <w:tcPr>
            <w:tcW w:w="6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22,034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total income tax benefit recognized in the income statement for stock-based compensation (including restricted shares) for the three months ended March 31, 2013 and 2012, was $593 and $1,667, respectively, and for the six months ended March 31, 2013 and 2012, was $1,713 and $3,443, respectively.</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March 31, 2013, there was $54,509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4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6"/>
              </w:rPr>
              <w:t>Three months</w:t>
            </w:r>
          </w:p>
        </w:tc>
        <w:tc>
          <w:tcPr>
            <w:tcW w:w="4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Six months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45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ended</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4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 (1)</w:t>
            </w:r>
          </w:p>
        </w:tc>
        <w:tc>
          <w:tcPr>
            <w:tcW w:w="2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0.62%</w:t>
            </w:r>
          </w:p>
        </w:tc>
        <w:tc>
          <w:tcPr>
            <w:tcW w:w="104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0.70%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w w:val="85"/>
              </w:rPr>
              <w:t>4.50</w:t>
            </w:r>
          </w:p>
        </w:tc>
        <w:tc>
          <w:tcPr>
            <w:tcW w:w="6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w w:val="79"/>
              </w:rPr>
              <w:t>4.50</w:t>
            </w:r>
          </w:p>
        </w:tc>
        <w:tc>
          <w:tcPr>
            <w:tcW w:w="2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0.27</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0.29</w:t>
            </w:r>
          </w:p>
        </w:tc>
        <w:tc>
          <w:tcPr>
            <w:tcW w:w="2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None</w:t>
            </w:r>
          </w:p>
        </w:tc>
        <w:tc>
          <w:tcPr>
            <w:tcW w:w="1040" w:type="dxa"/>
            <w:vAlign w:val="bottom"/>
            <w:gridSpan w:val="2"/>
          </w:tcPr>
          <w:p>
            <w:pPr>
              <w:jc w:val="right"/>
              <w:ind w:right="427"/>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None</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7.00</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7.19</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7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six months ended March 31, 2013:</w:t>
      </w:r>
    </w:p>
    <w:p>
      <w:pPr>
        <w:spacing w:after="0" w:line="3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4000" w:type="dxa"/>
            <w:vAlign w:val="bottom"/>
            <w:vMerge w:val="restart"/>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Dividends Per</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Total</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14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Ordinary Share</w:t>
            </w:r>
          </w:p>
        </w:tc>
        <w:tc>
          <w:tcPr>
            <w:tcW w:w="1780" w:type="dxa"/>
            <w:vAlign w:val="bottom"/>
            <w:gridSpan w:val="2"/>
          </w:tcPr>
          <w:p>
            <w:pPr>
              <w:ind w:left="320"/>
              <w:spacing w:after="0" w:line="148" w:lineRule="exact"/>
              <w:rPr>
                <w:sz w:val="20"/>
                <w:szCs w:val="20"/>
                <w:color w:val="auto"/>
              </w:rPr>
            </w:pPr>
            <w:r>
              <w:rPr>
                <w:rFonts w:ascii="Arial" w:cs="Arial" w:eastAsia="Arial" w:hAnsi="Arial"/>
                <w:sz w:val="14"/>
                <w:szCs w:val="14"/>
                <w:b w:val="1"/>
                <w:bCs w:val="1"/>
                <w:color w:val="auto"/>
              </w:rPr>
              <w:t>Record Date</w:t>
            </w:r>
          </w:p>
        </w:tc>
        <w:tc>
          <w:tcPr>
            <w:tcW w:w="106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6"/>
              </w:rPr>
              <w:t>Amount</w:t>
            </w:r>
          </w:p>
        </w:tc>
        <w:tc>
          <w:tcPr>
            <w:tcW w:w="1220" w:type="dxa"/>
            <w:vAlign w:val="bottom"/>
          </w:tcPr>
          <w:p>
            <w:pPr>
              <w:ind w:left="20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November 6, 2012</w:t>
            </w: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0.13</w:t>
            </w:r>
          </w:p>
        </w:tc>
        <w:tc>
          <w:tcPr>
            <w:tcW w:w="5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December 31, 2012</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$21,032</w:t>
            </w:r>
          </w:p>
        </w:tc>
        <w:tc>
          <w:tcPr>
            <w:tcW w:w="4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January 18, 2013</w:t>
            </w: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January 30, 2013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0.13</w:t>
            </w:r>
          </w:p>
        </w:tc>
        <w:tc>
          <w:tcPr>
            <w:tcW w:w="1780" w:type="dxa"/>
            <w:vAlign w:val="bottom"/>
            <w:gridSpan w:val="2"/>
          </w:tcPr>
          <w:p>
            <w:pPr>
              <w:spacing w:after="0"/>
              <w:rPr>
                <w:sz w:val="20"/>
                <w:szCs w:val="20"/>
                <w:color w:val="auto"/>
              </w:rPr>
            </w:pPr>
            <w:r>
              <w:rPr>
                <w:rFonts w:ascii="Arial" w:cs="Arial" w:eastAsia="Arial" w:hAnsi="Arial"/>
                <w:sz w:val="18"/>
                <w:szCs w:val="18"/>
                <w:color w:val="auto"/>
              </w:rPr>
              <w:t>March 28, 2013</w:t>
            </w:r>
          </w:p>
        </w:tc>
        <w:tc>
          <w:tcPr>
            <w:tcW w:w="10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$20,927</w:t>
            </w:r>
          </w:p>
        </w:tc>
        <w:tc>
          <w:tcPr>
            <w:tcW w:w="1220" w:type="dxa"/>
            <w:vAlign w:val="bottom"/>
          </w:tcPr>
          <w:p>
            <w:pPr>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payable as a result of the January 30, 2013 declaration was included in other current liabilities as of March 31, 2013.</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April 30, 2013, the Company’s board of directors approved the next quarterly dividend payment, at the rate of $0.13 per share, and set June 28, 2013 as the record date for determining the shareholders entitled to receive the dividend, which is payable on July 19, 2013.</w:t>
      </w:r>
    </w:p>
    <w:p>
      <w:pPr>
        <w:spacing w:after="0" w:line="207" w:lineRule="exact"/>
        <w:rPr>
          <w:sz w:val="20"/>
          <w:szCs w:val="20"/>
          <w:color w:val="auto"/>
        </w:rPr>
      </w:pPr>
    </w:p>
    <w:p>
      <w:pPr>
        <w:ind w:left="460" w:right="9640" w:hanging="452"/>
        <w:spacing w:after="0" w:line="417" w:lineRule="auto"/>
        <w:tabs>
          <w:tab w:leader="none" w:pos="26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Contingencies </w:t>
      </w:r>
      <w:r>
        <w:rPr>
          <w:rFonts w:ascii="Arial" w:cs="Arial" w:eastAsia="Arial" w:hAnsi="Arial"/>
          <w:sz w:val="15"/>
          <w:szCs w:val="15"/>
          <w:i w:val="1"/>
          <w:iCs w:val="1"/>
          <w:color w:val="auto"/>
        </w:rPr>
        <w:t>Legal Proceedings</w:t>
      </w:r>
    </w:p>
    <w:p>
      <w:pPr>
        <w:spacing w:after="0" w:line="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is involved in various legal proceedings arising in the normal course of its business. The Company accrues for a loss contingency when it determines that it is more likely than not,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six months ended March 31, 2013 and 2012.</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2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2012, filed on December 11, 2012 with the U.S.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Amdocs is a leading provider of software and services for communications, media and entertainment industry service providers in developed and emerging markets. Emerging markets include markets such as those in Asia Pacific, Central and Latin America, the Commonwealth of Independent States and India.</w:t>
      </w:r>
    </w:p>
    <w:p>
      <w:pPr>
        <w:spacing w:after="0" w:line="6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product offerings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systems because of the crucial impact that these systems have on the service providers’ end-user experience.</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believe the demand for our customer experience systems is driven by the need of service providers to help their consumers navigate the increasing number of devices, services and plans available in the connected communications world, while coping with the rapidly growing demand for data these new devices and services have created. In fiscal 2012, we shifted our marketing focus from ‘what we do’ to ‘who we are’, based on our 30-year history that demonstrates how we are uniquely positioned to help our customers realize their vision regardless of how complex the solution may be. We embrace service providers’ biggest challenges, applying a strategy of innovation from the network and business support systems to the device and end user to ensure that our customers experience success. We continue to introduce and enhance products and services that enable service providers to simplify the customer experience, harness and capitalize on the data explosion, stay ahead of the competition with new digital services and improve operational efficiency. Our goal is to supply scalable offerings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w:t>
      </w:r>
    </w:p>
    <w:p>
      <w:pPr>
        <w:spacing w:after="0" w:line="12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also offer advertising and media products and services for local digital marketing and search providers and directory publishers. Our products and services support cost-effective digital media-centric operations from selling ads to the management of activities, consumer experiences and financial processes across online, print and mobile media.</w:t>
      </w:r>
    </w:p>
    <w:p>
      <w:pPr>
        <w:spacing w:after="0" w:line="14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conduct our business globally, and as a result we are subject to the effects of global economic conditions and, in particular, market conditions in the communications, media and entertainment industry. In the six months ended March 31, 2013, customers in North America accounted for 72.0% of our revenue, while customers in Europe and the rest of the world accounted for 12.0% and 16.0%, respectively. Customers in emerging markets accounted for 11.8% of our revenue in the six months ended March 31, 2013. We maintain development facilities in Brazil, Canada, Cyprus, India, Ireland, Israel and the United States.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32"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1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Revenue from managed services arrangements (for customer experience systems and advertising and media products, including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$439.8 million and $414.4 million in the three months ended March 31, 2013 and March 31, 2012, respectively, and $869.6 million and $834.1 million in the six months ended March 31, 2013 and March 31, 2012,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In February 2013, the Financial Accounting Standards Board, or FASB, issued an accounting standard update to require reclassification adjustments from other comprehensive income to be presented either in the financial statements or in the notes to the financial statements. This accounting standard update will be effective for us beginning in the first quarter of fiscal 2014 and will result in additional disclosures in our financial statements but will not affect the substantive content of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September 2011, the FASB issued a revised accounting standard update intended to simplify how an entity tests goodwill for impairment. The amendment allows an entity to first assess qualitative factors to determine whether it is necessary to perform the two-step quantitative goodwill impairment test. An entity no longer is required to calculate the fair value of a reporting unit unless the entity determines, based on a qualitative assessment, that it is more likely than not that its fair value is less than its carrying amount. This accounting standard update became effective for us beginning in the first quarter of fiscal 2013, and we expect its adoption will not have a material impact on the result of our annual goodwill impairment test or our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2011, the FASB issued guidance to require an entity to present the components of other comprehensive income either in a single continuous statement of comprehensive income or in two separate but consecutive statements, thus eliminating the option to present the components of other comprehensive income as part of the statement of equity. We adopted this guidance in the first quarter of fiscal 2013 by including the required disclosures in two separate but consecutive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sets forth for the three and six months ended March 31, 2013 and 2012, certain items in our consolidated statements of income reflected as a percentage of total revenue: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6"/>
              </w:rPr>
              <w:t>Three months</w:t>
            </w: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317"/>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License</w:t>
            </w:r>
          </w:p>
        </w:tc>
        <w:tc>
          <w:tcPr>
            <w:tcW w:w="3340" w:type="dxa"/>
            <w:vAlign w:val="bottom"/>
            <w:gridSpan w:val="3"/>
          </w:tcPr>
          <w:p>
            <w:pPr>
              <w:jc w:val="right"/>
              <w:ind w:right="332"/>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2.5%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97.5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5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460" w:type="dxa"/>
            <w:vAlign w:val="bottom"/>
          </w:tcPr>
          <w:p>
            <w:pPr>
              <w:spacing w:after="0"/>
              <w:rPr>
                <w:sz w:val="20"/>
                <w:szCs w:val="20"/>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100.0</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0.1</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64.6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8"/>
                <w:szCs w:val="18"/>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7.2</w:t>
            </w: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w w:val="98"/>
              </w:rPr>
              <w:t>Amortization of purchased intangible assets and other</w:t>
            </w:r>
          </w:p>
        </w:tc>
        <w:tc>
          <w:tcPr>
            <w:tcW w:w="2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1.2</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85.8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c>
          <w:tcPr>
            <w:tcW w:w="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9"/>
                <w:szCs w:val="19"/>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14.2</w:t>
            </w: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(expense) income, net</w:t>
            </w:r>
          </w:p>
        </w:tc>
        <w:tc>
          <w:tcPr>
            <w:tcW w:w="23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2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Pr>
          <w:p>
            <w:pPr>
              <w:spacing w:after="0"/>
              <w:rPr>
                <w:sz w:val="19"/>
                <w:szCs w:val="19"/>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14.1</w:t>
            </w: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1000" w:type="dxa"/>
            <w:vAlign w:val="bottom"/>
            <w:gridSpan w:val="2"/>
          </w:tcPr>
          <w:p>
            <w:pPr>
              <w:jc w:val="right"/>
              <w:ind w:right="332"/>
              <w:spacing w:after="0"/>
              <w:rPr>
                <w:sz w:val="20"/>
                <w:szCs w:val="20"/>
                <w:color w:val="auto"/>
              </w:rPr>
            </w:pPr>
            <w:r>
              <w:rPr>
                <w:rFonts w:ascii="Arial" w:cs="Arial" w:eastAsia="Arial" w:hAnsi="Arial"/>
                <w:sz w:val="18"/>
                <w:szCs w:val="18"/>
                <w:color w:val="auto"/>
              </w:rPr>
              <w:t>12.6%</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12.3%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vMerge w:val="restart"/>
          </w:tcPr>
          <w:p>
            <w:pPr>
              <w:jc w:val="right"/>
              <w:ind w:right="1612"/>
              <w:spacing w:after="0"/>
              <w:rPr>
                <w:sz w:val="20"/>
                <w:szCs w:val="20"/>
                <w:color w:val="auto"/>
              </w:rPr>
            </w:pPr>
            <w:r>
              <w:rPr>
                <w:rFonts w:ascii="Arial" w:cs="Arial" w:eastAsia="Arial" w:hAnsi="Arial"/>
                <w:sz w:val="18"/>
                <w:szCs w:val="18"/>
                <w:color w:val="auto"/>
              </w:rPr>
              <w:t>19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2013 and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tabular presentation of our results of operations for the six months ended March 31, 2013 compared to the six months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 Following the table is a discussion and analysis of our business and results of operations for such periods.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454"/>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5"/>
              </w:rPr>
              <w:t>Increase (Decrease)</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6"/>
              </w:rPr>
              <w:t>Amount</w:t>
            </w: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40,817</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62,034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(21,217)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1,618,480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1,553,904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64,576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1,659,297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1,615,938</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43,359</w:t>
            </w:r>
          </w:p>
        </w:tc>
        <w:tc>
          <w:tcPr>
            <w:tcW w:w="48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(648)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1,073,107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1,033,730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39,377</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119,419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121,657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(2,238)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(3,036)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26,526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(6,688)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1,423,785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1,397,018</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26,767</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r>
      <w:tr>
        <w:trPr>
          <w:trHeight w:val="221"/>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235,512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218,920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16,592</w:t>
            </w:r>
          </w:p>
        </w:tc>
        <w:tc>
          <w:tcPr>
            <w:tcW w:w="4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(3,538)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(211.5)</w:t>
            </w:r>
          </w:p>
        </w:tc>
      </w:tr>
      <w:tr>
        <w:trPr>
          <w:trHeight w:val="221"/>
        </w:trPr>
        <w:tc>
          <w:tcPr>
            <w:tcW w:w="60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233,647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220,593</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13,054</w:t>
            </w:r>
          </w:p>
        </w:tc>
        <w:tc>
          <w:tcPr>
            <w:tcW w:w="4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w:t>
            </w: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203,927</w:t>
            </w:r>
          </w:p>
        </w:tc>
        <w:tc>
          <w:tcPr>
            <w:tcW w:w="2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194,601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9,326</w:t>
            </w:r>
          </w:p>
        </w:tc>
        <w:tc>
          <w:tcPr>
            <w:tcW w:w="4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$43.4 million, or 2.7%, to $1,659.3 million in the six months ended March 31, 2013, from $1,615.9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2012. Service revenue in the six months ended March 31, 2013 increased by $64.6 million, or 4.2%, to $1,618.5 million, from $1,553.9 million in the six months ended March 31, 2012. The increase in service revenue was primarily attributable to our increased activity in North America, including for AT&amp;T, partially offset by a decrease in revenue from customers in Europe.</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License revenue in the six months ended March 31, 2013 decreased by $21.2 million, or 34.2%, to $40.8 million, from $62.0 million in the six months ended March 31, 2012. The decrease in license revenue was primarily attributable to the progress of certain transformation and implementation projects, which may fluctuate from period to period.</w:t>
      </w:r>
    </w:p>
    <w:p>
      <w:pPr>
        <w:spacing w:after="0" w:line="140"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Total revenue attributable to the sale of customer experience systems increased by $56.2 million, or 3.7%, to $1,573.1 million in the six months ended March 31, 2013, from $1,516.9 million in the six months ended March 31, 2012. The increase was primarily attributable to revenue related to our increased activity in North America, including for AT&amp;T. License and service revenue resulting from the sale of customer experience systems represented 94.8% and 93.9% of our total revenue in the six months ended March 31, 2013 and 2012, respectively.</w:t>
      </w:r>
    </w:p>
    <w:p>
      <w:pPr>
        <w:spacing w:after="0" w:line="11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Total revenue attributable to the sale of directory systems decreased by $12.8 million, or 12.9%, to $86.2 million in the six months ended March 31, 2013, from $99.0 million in the six months ended March 31, 2012. The decrease was primarily attributable to general slowness in the directory market leading to lower revenue from managed services arrangements in such market. License and service revenue from the sale of directory systems represented 5.2% and 6.1% of our total revenue in the six months ended March 31, 2013 and 2012, respectively.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six months ended March 31, 2013, revenue from customers in North America, Europe and the rest of the world accounted for 72.0%, 12.0% and 16.0%, respectively, of total revenue compared to 70.4%, 13.7% and 15.9%, respectively, in the six months ended March 31, 2012. Revenue from North American customers increased during the six months ended March 31, 2013, primarily from higher revenue from AT&amp;T and other key customers. The decrease in revenue from customers in Europe was primarily attributable to lower revenue related to the ramp down of transformation and implementation projects which was not offset by sufficient revenue from new deals. The increase in revenue from customers in the rest of the world was primarily attributable to our increased activity in emerging markets, partially offset by our activity in developed markets in the rest of the world.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Cost of License and Service</w:t>
      </w:r>
      <w:r>
        <w:rPr>
          <w:rFonts w:ascii="Arial" w:cs="Arial" w:eastAsia="Arial" w:hAnsi="Arial"/>
          <w:sz w:val="18"/>
          <w:szCs w:val="18"/>
          <w:color w:val="auto"/>
        </w:rPr>
        <w:t>. Cost of license includes fees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Cost of license and service increased by $38.7 million, or 3.7%, to $1,074.4 million in the six months ended March 31, 2013, from $1,035.7 million in the six months ended March 31, 2012. As a percentage of revenue, cost of license and service was 64.7% in the six months ended March 31, 2013, compared to 64.1% in the six months ended March 31, 2012. The decrease in our gross margin was primarily attributable to our activities in Asia Pacific and Central and Latin America, where we increased our level of investment in order to penetrate into these regions.</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$2.2 million, or 1.8%, to $119.4 million in the six months ended March 31, 2013, from $121.7 million in the six months ended March 31, 2012. Research and development expense decreased as a percentage of revenue from 7.5% in the six months ended March 31, 2012, to 7.2% in the six months ended March 31, 2013.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2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which is primarily comprised of compensation expense, decreased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million, or 1.4%, to $210.1 million in the six months ended March 31, 2013, from $213.2 million in the six months ended March 31, 2012. While selling, general and administrative expense decreased during the six months ended March 31, 2013, this expense may fluctuate from time to time, depending upon such factors as changes in our workforce and sales efforts and the results of any operational efficiency programs that we may undertake.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six months ended March 31,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$6.7 million to $19.8 million from $26.5 million in the six months ended March 31, 2012. The decrease in amortization of purchased intangible assets and other was primarily attributable to purchased intangible assets that were fully amortized in prior periods, as well as to the timing of amortization charges resulting from the use of accelerated amortization methods for certain intangible assets purchased in prior periods.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$16.6 million, or 7.6%, in the six months ended March 31, 2013, to $235.5 million, or 14.2%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$218.9 million, or 13.5% of revenue, in the six months ended March 31, 2012. The increase in operating income as a percentage of revenue was primarily attributable to revenue increasing at a higher rate than operating expenses.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and Other (Expense) Income, Net. </w:t>
      </w:r>
      <w:r>
        <w:rPr>
          <w:rFonts w:ascii="Arial" w:cs="Arial" w:eastAsia="Arial" w:hAnsi="Arial"/>
          <w:sz w:val="16"/>
          <w:szCs w:val="16"/>
          <w:color w:val="auto"/>
        </w:rPr>
        <w:t>Interest and other (expense) income, net, decreased by $3.5 million to an expense of $1.9 million in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2013, from an income of $1.7 million in the six months ended March 31, 2012. The decrease in interest and other (expense) income, net, during the six months ended March 31, 2013 was primarily attributable to a gain, resulting from the sale of our minority interest in Longshine, our former Chinese subsidiary, recorded in the three months ended March 31, 2012, partially offset by foreign exchange impacts.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six months ended March 31, 2013, were $29.7 million on pre-tax income of $233.6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12.7%, compared to 11.8% in the six months ended March 31, 2012. Our effective tax rate may fluctuate between quarters as a result of discrete items that may affect a specific quarter.</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$9.3 million, or 4.8%, to $203.9 million in the six months ended March 31, 2013, from $194.6 million in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2012. The increase in net income was primarily attributable to the increase in operating income, partially offset by the increase in income taxes and the decrease in interest and other (expense) income, net.</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Diluted Earnings Per Share. </w:t>
      </w:r>
      <w:r>
        <w:rPr>
          <w:rFonts w:ascii="Arial" w:cs="Arial" w:eastAsia="Arial" w:hAnsi="Arial"/>
          <w:sz w:val="16"/>
          <w:szCs w:val="16"/>
          <w:color w:val="auto"/>
        </w:rPr>
        <w:t>Diluted earnings per share increased by $0.12, or 10.6%, to $1.25 in the six months ended March 31, 2013, from $1.13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March 31, 2012. The increase in diluted earnings per share resulted from the decrease in the diluted weighted average number of shares outstanding resulting from our repurchase of ordinary shares in fiscal 2012 and in the six months ended March 31, 2013 and from the increase in net income.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and 2012</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three months ended March 31, 2013 compared to the three months ended March 31, 2012. Following the table is a discussion and analysis of our business and results of operations for such periods.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9"/>
              </w:rPr>
              <w:t>Increase (Decrease)</w:t>
            </w: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21,901</w:t>
            </w:r>
          </w:p>
        </w:tc>
        <w:tc>
          <w:tcPr>
            <w:tcW w:w="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26,238</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(4,337)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811,037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782,690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28,347</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832,938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808,928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24,010</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538,094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517,549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20,545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(291)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106,842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(4,159)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r>
      <w:tr>
        <w:trPr>
          <w:trHeight w:val="223"/>
        </w:trPr>
        <w:tc>
          <w:tcPr>
            <w:tcW w:w="20" w:type="dxa"/>
            <w:vAlign w:val="bottom"/>
          </w:tcPr>
          <w:p>
            <w:pPr>
              <w:spacing w:after="0"/>
              <w:rPr>
                <w:sz w:val="19"/>
                <w:szCs w:val="19"/>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(4,715)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(35.4)</w:t>
            </w: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710,083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699,056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11,027</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r>
      <w:tr>
        <w:trPr>
          <w:trHeight w:val="221"/>
        </w:trPr>
        <w:tc>
          <w:tcPr>
            <w:tcW w:w="6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122,855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12,983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(7,043)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(133.2)</w:t>
            </w:r>
          </w:p>
        </w:tc>
      </w:tr>
      <w:tr>
        <w:trPr>
          <w:trHeight w:val="221"/>
        </w:trPr>
        <w:tc>
          <w:tcPr>
            <w:tcW w:w="6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121,098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115,158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4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104,912</w:t>
            </w:r>
          </w:p>
        </w:tc>
        <w:tc>
          <w:tcPr>
            <w:tcW w:w="1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101,870</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3,042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increased by $24.0 million, or 3.0%, to $832.9 million in the three months ended March 31, 2013, from $808.9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2012. The increase in revenue was primarily attributable to revenue related to our increased activity in North America, including for AT&amp;T, partially offset by a decrease in revenue from customers in Europe.</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Total revenue attributable to the sale of customer experience systems increased by $30.4 million, or 4.0%, to $789.3 million in the three months ended March 31, 2013, from $758.9 million in the three months ended March 31, 2012. The increase was primarily attributable to our increased activity in North America, including for AT&amp;T. License and service revenue resulting from the sale of customer experience systems represented 94.8% and 93.8% of our total revenue in the three months ended March 31, 2013 and 2012, respectively.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Total revenue attributable to the sale of directory systems decreased by $6.4 million, or 12.8%, to $43.6 million in the three months ended March 31, 2013, from $50.0 million in the three months ended March 31, 2012. The decrease was primarily attributable to general slowness in the directory systems market leading to lower revenue from managed services arrangements in such market. License and service revenue from the sale of directory systems represented 5.2% and 6.2% of our total revenue in the three months ended March 31, 2013 and 2012, respectively.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three months ended March 31, 2013, revenue from customers in North America, Europe and the rest of the world accounted for 72.2%, 11.9% and 15.9%, respectively, of total revenue, compared to 69.6%, 13.8% and 16.6%, respectively, in the three months ended March 31, 2012. Revenue from North American customers increased during the three months ended March 31, 2013, primarily from higher revenue from AT&amp;T and other key customers. The decrease in revenue from customers in Europe was primarily attributable to lower revenue related to the ramp down of transformation and implementation projects which was not offset by sufficient revenue from new deals.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Cost of License and Service</w:t>
      </w:r>
      <w:r>
        <w:rPr>
          <w:rFonts w:ascii="Arial" w:cs="Arial" w:eastAsia="Arial" w:hAnsi="Arial"/>
          <w:sz w:val="16"/>
          <w:szCs w:val="16"/>
          <w:color w:val="auto"/>
        </w:rPr>
        <w:t>. Cost of license and service increased by $20.2 million, or 3.9%, to $538.7 million in the three months ended March 31,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$518.5 million in the three months ended March 31, 2012. As a percentage of revenue, cost of license and service was 64.7% in the three months ended March 31, 2013, compared to 64.1% in the three months ended March 31, 2012. The decrease in our gross margin was primarily attributable to our activities in Asia Pacific and Central and Latin America, where we increased our level of investment in order to penetrate into these regions.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b w:val="1"/>
          <w:bCs w:val="1"/>
          <w:i w:val="1"/>
          <w:iCs w:val="1"/>
          <w:color w:val="auto"/>
        </w:rPr>
        <w:t>Research and Development</w:t>
      </w:r>
      <w:r>
        <w:rPr>
          <w:rFonts w:ascii="Arial" w:cs="Arial" w:eastAsia="Arial" w:hAnsi="Arial"/>
          <w:sz w:val="15"/>
          <w:szCs w:val="15"/>
          <w:color w:val="auto"/>
        </w:rPr>
        <w:t>. Research and development expense decreased by $0.3 million, or 0.5%, to $60.1 million in the three months ended March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2013, from $60.4 million in the three months ended March 31, 2012. Research and development expense decreased as a percentage of revenue from 7.5% in the three months ended March 31, 2012, to 7.2% in the three months ended March 31, 2013.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decreased by $4.2 million, or 3.9%, to $102.7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2013, from $106.8 million in the three months ended March 31, 2012. While selling, general and administrative expense decreased during the three months ended March 31, 2013, this expense may fluctuate from time to time, depending upon such factors as changes in our workforce and sales efforts and the results of any operational efficiency programs that we may undertake.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three months ended March 31,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$4.7 million to $8.6 million from $13.3 million in the three months ended March 31, 2012. The decrease in amortization of purchased intangible assets and other was primarily attributable to purchased intangible assets that were fully amortized in prior periods, as well as to the timing of amortization charges resulting from the use of accelerated amortization methods for certain intangible assets purchased in prior periods.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$13.0 million, or 11.8%, in the three months ended March 31, 2013, to $122.9 million, or 14.7%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$109.9 million, or 13.6% of revenue, in the three months ended March 31, 2012. The increase in operating income as a percentage of revenue was primarily attributable to revenue increasing at a higher rate than operating expenses.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and Other (Expense) Income, Net. </w:t>
      </w:r>
      <w:r>
        <w:rPr>
          <w:rFonts w:ascii="Arial" w:cs="Arial" w:eastAsia="Arial" w:hAnsi="Arial"/>
          <w:sz w:val="18"/>
          <w:szCs w:val="18"/>
          <w:color w:val="auto"/>
        </w:rPr>
        <w:t>Interest and other (expense) income, net, decreased by $7.0 million to an expense of $1.8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2013, from an income of $5.3 million in the three months ended March 31, 2012. The decrease in interest and other (expense) income, net, was primarily attributable to a gain, resulting from the sale of our minority interest in Longshine, our former Chinese subsidiary, recorded in the three months ended March 31, 2012.</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March 31, 2013, were $16.2 million on pre-tax income of $121.1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13.4%, compared to 11.5% in the three months ended March 31, 2012. Our effective tax rate may fluctuate between quarters as a result of discrete items that may affect a specific quarter.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$3.0 million, or 3.0%, to $104.9 million in the three months ended March 31, 2013, from $101.9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2012. The increase in net income was primarily attributable to the increase in operating income, partially offset by the decrease in interest and other (expense) income, net, and the increase in income taxes.</w:t>
      </w:r>
    </w:p>
    <w:p>
      <w:pPr>
        <w:spacing w:after="0" w:line="140"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b w:val="1"/>
          <w:bCs w:val="1"/>
          <w:i w:val="1"/>
          <w:iCs w:val="1"/>
          <w:color w:val="auto"/>
        </w:rPr>
        <w:t xml:space="preserve">Diluted Earnings Per Share. </w:t>
      </w:r>
      <w:r>
        <w:rPr>
          <w:rFonts w:ascii="Arial" w:cs="Arial" w:eastAsia="Arial" w:hAnsi="Arial"/>
          <w:sz w:val="15"/>
          <w:szCs w:val="15"/>
          <w:color w:val="auto"/>
        </w:rPr>
        <w:t>Diluted earnings per share increased by $0.04, or 6.7%, to $0.64 in the three months ended March 31, 2013, from $0.60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March 31, 2012. The increase in diluted earnings per share resulted from the decrease in the diluted weighted average number of shares outstanding resulting from our repurchase of ordinary shares in fiscal 2012 and in the six months ended March 31, 2013 and from the increase in net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cash equivalents and short-term interest-bearing investments, net of short-term debt, totaled $978.2 million as of March 31, 2013,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$918.2 million as of September 30, 2012. The increase in the six months ended March 31, 2013, was mainly attributable to $265.5 million in positive cash flow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operations and $112.8 million of proceeds from employee stock options exercised, partially offset by $212.5 million used to repurchase our ordinary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share repurchase programs, $58.4 million for capital expenditures, net and $42.2 million for payments of cash dividends. Net cash provided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 amounted to $265.5 million and $224.5 million for the six months ended March 31, 2013 and 2012, respectively.</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including roughly 30% towards share repurchases and 20% in the form of dividends. Our actual share repurchase activity and payment of future dividends, if any, may vary quarterly or annually and will be based on several factors including our financial performance, outlook and liquidity.</w:t>
      </w:r>
    </w:p>
    <w:p>
      <w:pPr>
        <w:spacing w:after="0" w:line="11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interest-bearing investments are classified as available-for-sale securities. Such short-term interest-bearing investments consist primarily of money market funds, U.S. government treasuries, corporate bonds, U.S. agency securities and government guaranteed debt. We believe we have conservative investment policy guidelines. Our interest-bearing investments are stated at fair value with the unrealized gains or losses reported as a separate component of accumulated other comprehensive income (loss), net of tax. Our interest-bearing investments are priced by pricing vendors and are classified as Level 1 or Level 2 investments, since these vendors either provide a quoted market price in an active market or use other observable inputs to price these securities. During the three and six months ended March 31, 2013 and 2012, we recognized immaterial credit losses. For further information, please see Notes 4 and 5 to the consolidated financial statements.</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December 2011, we entered into an unsecured $500.0 million five-year revolving credit facility with a syndicate of banks.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March 31, 2013, we were in compliance with the financial covenants under the revolving credit facility and had no outstanding borrowings under this facility. In September 2012, we borrowed an aggregate of $200.0 million under the facility and repaid it in October 2012.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2013, we had outstanding letters of credit and bank guarantees from various banks totaling $65.9 million.</w:t>
      </w:r>
    </w:p>
    <w:p>
      <w:pPr>
        <w:spacing w:after="0" w:line="171"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have contractual obligations for our non-cancelable operating leases, purchase obligations, pension funding and convertible notes summarized in the tabular disclosure of contractual obligations set forth in our Annual Report on Form 20-F for the fiscal year ended September 30, 2012, filed on December 11, 2012 with the SEC. Since September 30, 2012, there have been no material changes in our contractual obligations.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capital expenditures were approximately $58.4 million in the six months ended March 31, 2013. Approximately 80% of these expenditures consisted of purchases of computer equipment, and the remainder was attributable mainly to leasehold improvements. The capital expenditures in the six months ended March 31, 2013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February 2011, our board of directors adopted a share repurchase plan authorizing the repurchase of up to $1.0 billion of our outstanding ordinary shares over the following 24 months. In November 2012, our board of directors adopted another share repurchase plan authorizing the repurchase of up to $500.0 million of our outstanding ordinary shares. The November 2012 plan has no expiration date. The authorizations permit us to purchase our ordinary shares in open market or privately negotiated transactions at times and prices we consider appropriate. In February 2013, we completed the repurchase of the remaining authorized amount under the February 2011 plan and started executing repurchases under the November 2012 plan. In the six months ended March 31, 2013, we repurchased approximately 6.2 million ordinary shares at an average price of $34.30 per share (excluding broker and transaction fees). As of March 31, 2013, we had remaining authority to repurchase up to $490.4 million of our outstanding ordinary shares under the November 2012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declared the following dividends during the six months ended March 31, 2013:</w:t>
      </w:r>
    </w:p>
    <w:p>
      <w:pPr>
        <w:spacing w:after="0" w:line="3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1800" w:type="dxa"/>
            <w:vAlign w:val="bottom"/>
            <w:vMerge w:val="restart"/>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Ordinary Share</w:t>
            </w:r>
          </w:p>
        </w:tc>
        <w:tc>
          <w:tcPr>
            <w:tcW w:w="1940" w:type="dxa"/>
            <w:vAlign w:val="bottom"/>
            <w:gridSpan w:val="2"/>
          </w:tcPr>
          <w:p>
            <w:pPr>
              <w:ind w:left="340"/>
              <w:spacing w:after="0" w:line="148" w:lineRule="exact"/>
              <w:rPr>
                <w:sz w:val="20"/>
                <w:szCs w:val="20"/>
                <w:color w:val="auto"/>
              </w:rPr>
            </w:pPr>
            <w:r>
              <w:rPr>
                <w:rFonts w:ascii="Arial" w:cs="Arial" w:eastAsia="Arial" w:hAnsi="Arial"/>
                <w:sz w:val="14"/>
                <w:szCs w:val="14"/>
                <w:b w:val="1"/>
                <w:bCs w:val="1"/>
                <w:color w:val="auto"/>
              </w:rPr>
              <w:t>Record Date</w:t>
            </w:r>
          </w:p>
        </w:tc>
        <w:tc>
          <w:tcPr>
            <w:tcW w:w="142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(In millions)</w:t>
            </w:r>
          </w:p>
        </w:tc>
        <w:tc>
          <w:tcPr>
            <w:tcW w:w="1220" w:type="dxa"/>
            <w:vAlign w:val="bottom"/>
          </w:tcPr>
          <w:p>
            <w:pPr>
              <w:ind w:left="20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2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November 6, 2012</w:t>
            </w:r>
          </w:p>
        </w:tc>
        <w:tc>
          <w:tcPr>
            <w:tcW w:w="1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0.13</w:t>
            </w:r>
          </w:p>
        </w:tc>
        <w:tc>
          <w:tcPr>
            <w:tcW w:w="6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December 31, 2012</w:t>
            </w:r>
          </w:p>
        </w:tc>
        <w:tc>
          <w:tcPr>
            <w:tcW w:w="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w:t>
            </w:r>
          </w:p>
        </w:tc>
        <w:tc>
          <w:tcPr>
            <w:tcW w:w="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January 18, 2013</w:t>
            </w: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January 30, 2013</w:t>
            </w:r>
          </w:p>
        </w:tc>
        <w:tc>
          <w:tcPr>
            <w:tcW w:w="18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0.13</w:t>
            </w:r>
          </w:p>
        </w:tc>
        <w:tc>
          <w:tcPr>
            <w:tcW w:w="1940" w:type="dxa"/>
            <w:vAlign w:val="bottom"/>
            <w:gridSpan w:val="2"/>
          </w:tcPr>
          <w:p>
            <w:pPr>
              <w:spacing w:after="0"/>
              <w:rPr>
                <w:sz w:val="20"/>
                <w:szCs w:val="20"/>
                <w:color w:val="auto"/>
              </w:rPr>
            </w:pPr>
            <w:r>
              <w:rPr>
                <w:rFonts w:ascii="Arial" w:cs="Arial" w:eastAsia="Arial" w:hAnsi="Arial"/>
                <w:sz w:val="18"/>
                <w:szCs w:val="18"/>
                <w:color w:val="auto"/>
              </w:rPr>
              <w:t>March 28, 2013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20.9</w:t>
            </w:r>
          </w:p>
        </w:tc>
        <w:tc>
          <w:tcPr>
            <w:tcW w:w="1220" w:type="dxa"/>
            <w:vAlign w:val="bottom"/>
          </w:tcPr>
          <w:p>
            <w:pPr>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April 30, 2013, our board of directors approved the next dividend payment, at the rate of $0.13 per share, and set June 28, 2013 as the record date for determining the shareholders entitled to receive the dividend, which is payable on July 19,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six months ended March 31, 2013 and 2012,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March 31, 2013 of equity securities that are registered by us pursuant to Section 12 of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6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Number of</w:t>
            </w:r>
          </w:p>
        </w:tc>
        <w:tc>
          <w:tcPr>
            <w:tcW w:w="62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62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(b)</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62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260" w:type="dxa"/>
            <w:vAlign w:val="bottom"/>
            <w:gridSpan w:val="2"/>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620" w:type="dxa"/>
            <w:vAlign w:val="bottom"/>
          </w:tcPr>
          <w:p>
            <w:pPr>
              <w:spacing w:after="0"/>
              <w:rPr>
                <w:sz w:val="14"/>
                <w:szCs w:val="14"/>
                <w:color w:val="auto"/>
              </w:rPr>
            </w:pPr>
          </w:p>
        </w:tc>
        <w:tc>
          <w:tcPr>
            <w:tcW w:w="15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w:t>
            </w: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or Programs(1)</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6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01/01/13-01/31/13</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1,325,752</w:t>
            </w: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34.74</w:t>
            </w:r>
          </w:p>
        </w:tc>
        <w:tc>
          <w:tcPr>
            <w:tcW w:w="6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1,325,752</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553,049,836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02/01/13-02/28/13</w:t>
            </w:r>
          </w:p>
        </w:tc>
        <w:tc>
          <w:tcPr>
            <w:tcW w:w="840" w:type="dxa"/>
            <w:vAlign w:val="bottom"/>
          </w:tcPr>
          <w:p>
            <w:pPr>
              <w:jc w:val="right"/>
              <w:spacing w:after="0"/>
              <w:rPr>
                <w:sz w:val="20"/>
                <w:szCs w:val="20"/>
                <w:color w:val="auto"/>
              </w:rPr>
            </w:pPr>
            <w:r>
              <w:rPr>
                <w:rFonts w:ascii="Arial" w:cs="Arial" w:eastAsia="Arial" w:hAnsi="Arial"/>
                <w:sz w:val="18"/>
                <w:szCs w:val="18"/>
                <w:color w:val="auto"/>
              </w:rPr>
              <w:t>1,477,892</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35.93</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1,477,892</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499,951,184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03/01/13-03/31/13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266,231</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266,231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490,352,620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3,069,875</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35.43</w:t>
            </w:r>
          </w:p>
        </w:tc>
        <w:tc>
          <w:tcPr>
            <w:tcW w:w="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3,069,875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490,352,620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12"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February 2011, our board of directors adopted a share repurchase plan authorizing the repurchase of up to $1.0 billion of our outstanding ordinary shares over the following 24 months. In November 2012, our board of directors adopted another share repurchase plan authorizing the repurchase of up to $500.0 million of our outstanding ordinary shares. The November 2012 plan has no expiration date. The authorizations permit us to purchase our ordinary shares in open market or privately negotiated transactions at times and prices we consider appropriate. In February 2013, we completed the repurchase of the remaining authorized amount under the February 2011 plan and started executing repurchases under the November 2012 plan. In the three months ended March 31, 2013, we repurchased approximately 3.1 million ordinary shares at an average price of $35.43 per share (excluding broker and transaction fees). As of March 31, 2013, we had remaining authority to repurchase up to $490.4 million of our outstanding ordinary shares under the November 2012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9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on Form 6-K</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furnished or filed the following reports on Form 6-K during the three months ended March 31, 2013: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Form 6-K dated January 30, 2013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Form 6-K dated February 12,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16,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sectPr>
      <w:pgSz w:w="11900" w:h="16838" w:orient="portrait"/>
      <w:cols w:equalWidth="0" w:num="1">
        <w:col w:w="10500"/>
      </w:cols>
      <w:pgMar w:left="240" w:top="45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2019-12-06T21:06:09Z</dcterms:created>
  <dcterms:modified xsi:type="dcterms:W3CDTF">2019-12-06T21:06:09Z</dcterms:modified>
</cp:coreProperties>
</file>