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8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8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0"/>
          <w:szCs w:val="20"/>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December 31, 2009</w:t>
      </w:r>
    </w:p>
    <w:p>
      <w:pPr>
        <w:spacing w:after="0" w:line="225"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0"/>
          <w:szCs w:val="20"/>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Suite 5, Tower Hill House Le Bordage</w:t>
      </w:r>
    </w:p>
    <w:p>
      <w:pPr>
        <w:spacing w:after="0" w:line="7"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St. Peter Port, Island of Guernsey, GY1 3QT Channel Islands</w:t>
      </w:r>
    </w:p>
    <w:p>
      <w:pPr>
        <w:spacing w:after="0" w:line="211"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31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91" w:lineRule="exact"/>
        <w:rPr>
          <w:sz w:val="20"/>
          <w:szCs w:val="20"/>
          <w:color w:val="auto"/>
        </w:rPr>
      </w:pPr>
    </w:p>
    <w:p>
      <w:pPr>
        <w:ind w:left="454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70" w:lineRule="exact"/>
        <w:rPr>
          <w:sz w:val="20"/>
          <w:szCs w:val="20"/>
          <w:color w:val="auto"/>
        </w:rPr>
      </w:pPr>
    </w:p>
    <w:p>
      <w:pPr>
        <w:ind w:left="5140"/>
        <w:spacing w:after="0" w:line="207" w:lineRule="exact"/>
        <w:tabs>
          <w:tab w:leader="none" w:pos="58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-10160</wp:posOffset>
            </wp:positionV>
            <wp:extent cx="571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0580"/>
          </w:cols>
          <w:pgMar w:left="240" w:top="122" w:right="10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60" w:type="dxa"/>
            <w:vAlign w:val="bottom"/>
            <w:gridSpan w:val="3"/>
          </w:tcPr>
          <w:p>
            <w:pPr>
              <w:jc w:val="center"/>
              <w:ind w:right="2540"/>
              <w:spacing w:after="0"/>
              <w:rPr>
                <w:sz w:val="20"/>
                <w:szCs w:val="20"/>
                <w:color w:val="auto"/>
              </w:rPr>
            </w:pPr>
            <w:r>
              <w:rPr>
                <w:rFonts w:ascii="Arial" w:cs="Arial" w:eastAsia="Arial" w:hAnsi="Arial"/>
                <w:sz w:val="18"/>
                <w:szCs w:val="18"/>
                <w:color w:val="auto"/>
              </w:rPr>
              <w:t>AMDOCS LIMITED</w:t>
            </w:r>
          </w:p>
        </w:tc>
        <w:tc>
          <w:tcPr>
            <w:tcW w:w="1900" w:type="dxa"/>
            <w:vAlign w:val="bottom"/>
          </w:tcPr>
          <w:p>
            <w:pPr>
              <w:spacing w:after="0"/>
              <w:rPr>
                <w:sz w:val="20"/>
                <w:szCs w:val="20"/>
                <w:color w:val="auto"/>
              </w:rPr>
            </w:pPr>
          </w:p>
        </w:tc>
      </w:tr>
      <w:tr>
        <w:trPr>
          <w:trHeight w:val="324"/>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80" w:type="dxa"/>
            <w:vAlign w:val="bottom"/>
            <w:gridSpan w:val="2"/>
          </w:tcPr>
          <w:p>
            <w:pPr>
              <w:jc w:val="center"/>
              <w:ind w:right="2920"/>
              <w:spacing w:after="0"/>
              <w:rPr>
                <w:sz w:val="20"/>
                <w:szCs w:val="20"/>
                <w:color w:val="auto"/>
              </w:rPr>
            </w:pPr>
            <w:r>
              <w:rPr>
                <w:rFonts w:ascii="Arial" w:cs="Arial" w:eastAsia="Arial" w:hAnsi="Arial"/>
                <w:sz w:val="18"/>
                <w:szCs w:val="18"/>
                <w:color w:val="auto"/>
                <w:w w:val="97"/>
              </w:rPr>
              <w:t>FORM 6-K</w:t>
            </w:r>
          </w:p>
        </w:tc>
        <w:tc>
          <w:tcPr>
            <w:tcW w:w="1900" w:type="dxa"/>
            <w:vAlign w:val="bottom"/>
          </w:tcPr>
          <w:p>
            <w:pPr>
              <w:spacing w:after="0"/>
              <w:rPr>
                <w:sz w:val="24"/>
                <w:szCs w:val="24"/>
                <w:color w:val="auto"/>
              </w:rPr>
            </w:pPr>
          </w:p>
        </w:tc>
      </w:tr>
      <w:tr>
        <w:trPr>
          <w:trHeight w:val="324"/>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40" w:type="dxa"/>
            <w:vAlign w:val="bottom"/>
            <w:gridSpan w:val="5"/>
          </w:tcPr>
          <w:p>
            <w:pPr>
              <w:jc w:val="center"/>
              <w:ind w:right="1460"/>
              <w:spacing w:after="0"/>
              <w:rPr>
                <w:sz w:val="20"/>
                <w:szCs w:val="20"/>
                <w:color w:val="auto"/>
              </w:rPr>
            </w:pPr>
            <w:r>
              <w:rPr>
                <w:rFonts w:ascii="Arial" w:cs="Arial" w:eastAsia="Arial" w:hAnsi="Arial"/>
                <w:sz w:val="18"/>
                <w:szCs w:val="18"/>
                <w:color w:val="auto"/>
                <w:w w:val="92"/>
              </w:rPr>
              <w:t>REPORT OF FOREIGN PRIVATE ISSUER</w:t>
            </w:r>
          </w:p>
        </w:tc>
        <w:tc>
          <w:tcPr>
            <w:tcW w:w="1900" w:type="dxa"/>
            <w:vAlign w:val="bottom"/>
          </w:tcPr>
          <w:p>
            <w:pPr>
              <w:spacing w:after="0"/>
              <w:rPr>
                <w:sz w:val="24"/>
                <w:szCs w:val="24"/>
                <w:color w:val="auto"/>
              </w:rPr>
            </w:pPr>
          </w:p>
        </w:tc>
      </w:tr>
      <w:tr>
        <w:trPr>
          <w:trHeight w:val="324"/>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40" w:type="dxa"/>
            <w:vAlign w:val="bottom"/>
            <w:gridSpan w:val="5"/>
          </w:tcPr>
          <w:p>
            <w:pPr>
              <w:jc w:val="center"/>
              <w:ind w:right="1480"/>
              <w:spacing w:after="0"/>
              <w:rPr>
                <w:sz w:val="20"/>
                <w:szCs w:val="20"/>
                <w:color w:val="auto"/>
              </w:rPr>
            </w:pPr>
            <w:r>
              <w:rPr>
                <w:rFonts w:ascii="Arial" w:cs="Arial" w:eastAsia="Arial" w:hAnsi="Arial"/>
                <w:sz w:val="18"/>
                <w:szCs w:val="18"/>
                <w:color w:val="auto"/>
                <w:w w:val="94"/>
              </w:rPr>
              <w:t>FOR THE QUARTER ENDED DECEMBER 31, 2009</w:t>
            </w:r>
          </w:p>
        </w:tc>
        <w:tc>
          <w:tcPr>
            <w:tcW w:w="1900" w:type="dxa"/>
            <w:vAlign w:val="bottom"/>
          </w:tcPr>
          <w:p>
            <w:pPr>
              <w:spacing w:after="0"/>
              <w:rPr>
                <w:sz w:val="24"/>
                <w:szCs w:val="24"/>
                <w:color w:val="auto"/>
              </w:rPr>
            </w:pPr>
          </w:p>
        </w:tc>
      </w:tr>
      <w:tr>
        <w:trPr>
          <w:trHeight w:val="324"/>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80" w:type="dxa"/>
            <w:vAlign w:val="bottom"/>
            <w:gridSpan w:val="2"/>
          </w:tcPr>
          <w:p>
            <w:pPr>
              <w:jc w:val="center"/>
              <w:ind w:right="2920"/>
              <w:spacing w:after="0"/>
              <w:rPr>
                <w:sz w:val="20"/>
                <w:szCs w:val="20"/>
                <w:color w:val="auto"/>
              </w:rPr>
            </w:pPr>
            <w:r>
              <w:rPr>
                <w:rFonts w:ascii="Arial" w:cs="Arial" w:eastAsia="Arial" w:hAnsi="Arial"/>
                <w:sz w:val="18"/>
                <w:szCs w:val="18"/>
                <w:color w:val="auto"/>
              </w:rPr>
              <w:t>INDEX</w:t>
            </w:r>
          </w:p>
        </w:tc>
        <w:tc>
          <w:tcPr>
            <w:tcW w:w="1900" w:type="dxa"/>
            <w:vAlign w:val="bottom"/>
          </w:tcPr>
          <w:p>
            <w:pPr>
              <w:spacing w:after="0"/>
              <w:rPr>
                <w:sz w:val="24"/>
                <w:szCs w:val="24"/>
                <w:color w:val="auto"/>
              </w:rPr>
            </w:pPr>
          </w:p>
        </w:tc>
      </w:tr>
      <w:tr>
        <w:trPr>
          <w:trHeight w:val="392"/>
        </w:trPr>
        <w:tc>
          <w:tcPr>
            <w:tcW w:w="94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220" w:type="dxa"/>
            <w:vAlign w:val="bottom"/>
            <w:tcBorders>
              <w:top w:val="single" w:sz="8" w:color="0000EE"/>
            </w:tcBorders>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54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560" w:type="dxa"/>
            <w:vAlign w:val="bottom"/>
            <w:tcBorders>
              <w:top w:val="single" w:sz="8" w:color="0000EE"/>
            </w:tcBorders>
            <w:gridSpan w:val="4"/>
          </w:tcPr>
          <w:p>
            <w:pPr>
              <w:spacing w:after="0"/>
              <w:rPr>
                <w:sz w:val="17"/>
                <w:szCs w:val="17"/>
                <w:color w:val="auto"/>
              </w:rPr>
            </w:pPr>
          </w:p>
        </w:tc>
        <w:tc>
          <w:tcPr>
            <w:tcW w:w="6580" w:type="dxa"/>
            <w:vAlign w:val="bottom"/>
            <w:gridSpan w:val="7"/>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22"/>
        </w:trPr>
        <w:tc>
          <w:tcPr>
            <w:tcW w:w="220" w:type="dxa"/>
            <w:vAlign w:val="bottom"/>
          </w:tcPr>
          <w:p>
            <w:pPr>
              <w:spacing w:after="0"/>
              <w:rPr>
                <w:sz w:val="19"/>
                <w:szCs w:val="19"/>
                <w:color w:val="auto"/>
              </w:rPr>
            </w:pPr>
          </w:p>
        </w:tc>
        <w:tc>
          <w:tcPr>
            <w:tcW w:w="9200" w:type="dxa"/>
            <w:vAlign w:val="bottom"/>
            <w:gridSpan w:val="15"/>
          </w:tcPr>
          <w:p>
            <w:pPr>
              <w:ind w:left="200"/>
              <w:spacing w:after="0"/>
              <w:rPr>
                <w:sz w:val="20"/>
                <w:szCs w:val="20"/>
                <w:color w:val="auto"/>
              </w:rPr>
            </w:pPr>
            <w:r>
              <w:rPr>
                <w:rFonts w:ascii="Arial" w:cs="Arial" w:eastAsia="Arial" w:hAnsi="Arial"/>
                <w:sz w:val="18"/>
                <w:szCs w:val="18"/>
                <w:color w:val="auto"/>
              </w:rPr>
              <w:t>Unaudited Consolidated Financial Statements</w:t>
            </w:r>
          </w:p>
        </w:tc>
        <w:tc>
          <w:tcPr>
            <w:tcW w:w="1900" w:type="dxa"/>
            <w:vAlign w:val="bottom"/>
          </w:tcPr>
          <w:p>
            <w:pPr>
              <w:spacing w:after="0"/>
              <w:rPr>
                <w:sz w:val="19"/>
                <w:szCs w:val="19"/>
                <w:color w:val="auto"/>
              </w:rPr>
            </w:pPr>
          </w:p>
        </w:tc>
      </w:tr>
      <w:tr>
        <w:trPr>
          <w:trHeight w:val="190"/>
        </w:trPr>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0" w:type="dxa"/>
            <w:vAlign w:val="bottom"/>
            <w:gridSpan w:val="14"/>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19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Income</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 of Changes in Shareholders’ Equity</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4480" w:type="dxa"/>
            <w:vAlign w:val="bottom"/>
            <w:gridSpan w:val="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340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Operating and Financial Review and Prospects</w:t>
              </w:r>
            </w:hyperlink>
          </w:p>
        </w:tc>
        <w:tc>
          <w:tcPr>
            <w:tcW w:w="5280" w:type="dxa"/>
            <w:vAlign w:val="bottom"/>
            <w:gridSpan w:val="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54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PART II OTHER INFORMATION</w:t>
              </w:r>
            </w:hyperlink>
          </w:p>
        </w:tc>
        <w:tc>
          <w:tcPr>
            <w:tcW w:w="6880" w:type="dxa"/>
            <w:vAlign w:val="bottom"/>
            <w:gridSpan w:val="9"/>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2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1.</w:t>
              </w:r>
            </w:hyperlink>
          </w:p>
        </w:tc>
        <w:tc>
          <w:tcPr>
            <w:tcW w:w="8680" w:type="dxa"/>
            <w:vAlign w:val="bottom"/>
            <w:gridSpan w:val="13"/>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Changes in Securities, Use of Proceeds and Issuer Purchases of Equity Securities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20" w:type="dxa"/>
            <w:vAlign w:val="bottom"/>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158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Reports on Form 6-K</w:t>
              </w:r>
            </w:hyperlink>
          </w:p>
        </w:tc>
        <w:tc>
          <w:tcPr>
            <w:tcW w:w="4280" w:type="dxa"/>
            <w:vAlign w:val="bottom"/>
            <w:tcBorders>
              <w:top w:val="single" w:sz="8" w:color="0000EE"/>
            </w:tcBorders>
            <w:gridSpan w:val="9"/>
          </w:tcPr>
          <w:p>
            <w:pPr>
              <w:spacing w:after="0"/>
              <w:rPr>
                <w:sz w:val="17"/>
                <w:szCs w:val="17"/>
                <w:color w:val="auto"/>
              </w:rPr>
            </w:pPr>
          </w:p>
        </w:tc>
        <w:tc>
          <w:tcPr>
            <w:tcW w:w="2820" w:type="dxa"/>
            <w:vAlign w:val="bottom"/>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9420" w:type="dxa"/>
            <w:vAlign w:val="bottom"/>
            <w:gridSpan w:val="1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8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54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776,784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728,762</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Short-term interest-bearing investments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515,366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444,279</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486,783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454,965</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Deferred income taxes and taxes receivable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131,507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117,848</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112,169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126,704</w:t>
            </w:r>
          </w:p>
        </w:tc>
      </w:tr>
      <w:tr>
        <w:trPr>
          <w:trHeight w:val="223"/>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b w:val="1"/>
                <w:bCs w:val="1"/>
                <w:color w:val="auto"/>
              </w:rPr>
              <w:t>Total current assets</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2,022,609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1,872,558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266,224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279,659</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131,361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137,662</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1,581,862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1,539,424</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Intangible assets, net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238,885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227,337</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285,155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271,777</w:t>
            </w:r>
          </w:p>
        </w:tc>
      </w:tr>
      <w:tr>
        <w:trPr>
          <w:trHeight w:val="223"/>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b w:val="1"/>
                <w:bCs w:val="1"/>
                <w:color w:val="auto"/>
              </w:rPr>
              <w:t>Total assets</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4,526,096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4,328,417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99,403</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86,189</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169,107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174,341</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Accrued personnel costs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170,245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154,841</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Deferred revenue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214,091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186,158</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14,516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9,338</w:t>
            </w:r>
          </w:p>
        </w:tc>
      </w:tr>
      <w:tr>
        <w:trPr>
          <w:trHeight w:val="223"/>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b w:val="1"/>
                <w:bCs w:val="1"/>
                <w:color w:val="auto"/>
              </w:rPr>
              <w:t>Total current liabilities</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667,362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610,867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291,663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273,110</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and other</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255,516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230,367</w:t>
            </w:r>
          </w:p>
        </w:tc>
      </w:tr>
      <w:tr>
        <w:trPr>
          <w:trHeight w:val="230"/>
        </w:trPr>
        <w:tc>
          <w:tcPr>
            <w:tcW w:w="20" w:type="dxa"/>
            <w:vAlign w:val="bottom"/>
          </w:tcPr>
          <w:p>
            <w:pPr>
              <w:spacing w:after="0"/>
              <w:rPr>
                <w:sz w:val="20"/>
                <w:szCs w:val="20"/>
                <w:color w:val="auto"/>
              </w:rPr>
            </w:pPr>
          </w:p>
        </w:tc>
        <w:tc>
          <w:tcPr>
            <w:tcW w:w="8380" w:type="dxa"/>
            <w:vAlign w:val="bottom"/>
          </w:tcPr>
          <w:p>
            <w:pPr>
              <w:ind w:left="200"/>
              <w:spacing w:after="0"/>
              <w:rPr>
                <w:sz w:val="20"/>
                <w:szCs w:val="20"/>
                <w:color w:val="auto"/>
              </w:rPr>
            </w:pPr>
            <w:r>
              <w:rPr>
                <w:rFonts w:ascii="Arial" w:cs="Arial" w:eastAsia="Arial" w:hAnsi="Arial"/>
                <w:sz w:val="18"/>
                <w:szCs w:val="18"/>
                <w:b w:val="1"/>
                <w:bCs w:val="1"/>
                <w:color w:val="auto"/>
              </w:rPr>
              <w:t>Total liabilities</w:t>
            </w:r>
          </w:p>
        </w:tc>
        <w:tc>
          <w:tcPr>
            <w:tcW w:w="5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1,215,561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1,115,364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Ordinary Shares — Authorized 700,000 shares; £0.01 par value; 243,068 and 242,466 issued and 205,681and</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205,079 outstanding, respectively</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3,930</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2,350,074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2,334,090</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—37,387 Ordinary Shares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(919,874)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(919,874)</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8,343</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1,874,917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1,786,564</w:t>
            </w:r>
          </w:p>
        </w:tc>
      </w:tr>
      <w:tr>
        <w:trPr>
          <w:trHeight w:val="230"/>
        </w:trPr>
        <w:tc>
          <w:tcPr>
            <w:tcW w:w="20" w:type="dxa"/>
            <w:vAlign w:val="bottom"/>
          </w:tcPr>
          <w:p>
            <w:pPr>
              <w:spacing w:after="0"/>
              <w:rPr>
                <w:sz w:val="20"/>
                <w:szCs w:val="20"/>
                <w:color w:val="auto"/>
              </w:rPr>
            </w:pPr>
          </w:p>
        </w:tc>
        <w:tc>
          <w:tcPr>
            <w:tcW w:w="8380" w:type="dxa"/>
            <w:vAlign w:val="bottom"/>
          </w:tcPr>
          <w:p>
            <w:pPr>
              <w:ind w:left="200"/>
              <w:spacing w:after="0"/>
              <w:rPr>
                <w:sz w:val="20"/>
                <w:szCs w:val="20"/>
                <w:color w:val="auto"/>
              </w:rPr>
            </w:pPr>
            <w:r>
              <w:rPr>
                <w:rFonts w:ascii="Arial" w:cs="Arial" w:eastAsia="Arial" w:hAnsi="Arial"/>
                <w:sz w:val="18"/>
                <w:szCs w:val="18"/>
                <w:b w:val="1"/>
                <w:bCs w:val="1"/>
                <w:color w:val="auto"/>
              </w:rPr>
              <w:t>Total shareholders’ equity</w:t>
            </w:r>
          </w:p>
        </w:tc>
        <w:tc>
          <w:tcPr>
            <w:tcW w:w="5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3,310,535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3,213,053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liabilities and shareholders’ equity</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4,526,096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4,328,417</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2"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jc w:val="center"/>
        <w:ind w:left="91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24,150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700,661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709,238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724,811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753,839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462,215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484,051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50,106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91,580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21,319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and in-process research and development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625,662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672,570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99,149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(expense) income and other, net</w:t>
            </w:r>
          </w:p>
        </w:tc>
        <w:tc>
          <w:tcPr>
            <w:tcW w:w="1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(715)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98,434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88,353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 (1)</w:t>
            </w: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number of shares outstanding (1)</w:t>
            </w: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205,430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203,578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 (1)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206,656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213,069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60" w:hanging="452"/>
        <w:spacing w:after="0" w:line="279"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basic and diluted weighted average number of shares outstanding for the three months ended December 31, 2008 has been retroactively adjusted to reflect the adoption of new earnings per share authoritative guidance requiring the inclusion of unvested share-based payment awards containing nonforfeiture rights to dividends or dividend equivalents in the calculation of basic weighted average number of shares outstanding. This adjustment reduced basic earnings per share by $0.01 for the three months ended December 31, 2008.</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 (UNAUDITED)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4"/>
                <w:szCs w:val="14"/>
                <w:color w:val="auto"/>
                <w:w w:val="96"/>
              </w:rPr>
              <w:t>Accumulated</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360" w:type="dxa"/>
            <w:vAlign w:val="bottom"/>
            <w:gridSpan w:val="6"/>
            <w:vMerge w:val="restart"/>
          </w:tcPr>
          <w:p>
            <w:pPr>
              <w:ind w:left="460"/>
              <w:spacing w:after="0"/>
              <w:rPr>
                <w:sz w:val="20"/>
                <w:szCs w:val="20"/>
                <w:color w:val="auto"/>
              </w:rPr>
            </w:pPr>
            <w:r>
              <w:rPr>
                <w:rFonts w:ascii="Arial" w:cs="Arial" w:eastAsia="Arial" w:hAnsi="Arial"/>
                <w:sz w:val="14"/>
                <w:szCs w:val="14"/>
                <w:color w:val="auto"/>
              </w:rPr>
              <w:t>Ordinary Shares</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color w:val="auto"/>
              </w:rPr>
              <w:t>Additional</w:t>
            </w: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color w:val="auto"/>
                <w:w w:val="96"/>
              </w:rPr>
              <w:t>Other</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360" w:type="dxa"/>
            <w:vAlign w:val="bottom"/>
            <w:gridSpan w:val="6"/>
            <w:vMerge w:val="continue"/>
          </w:tcPr>
          <w:p>
            <w:pPr>
              <w:spacing w:after="0"/>
              <w:rPr>
                <w:sz w:val="13"/>
                <w:szCs w:val="13"/>
                <w:color w:val="auto"/>
              </w:rPr>
            </w:pPr>
          </w:p>
        </w:tc>
        <w:tc>
          <w:tcPr>
            <w:tcW w:w="1340" w:type="dxa"/>
            <w:vAlign w:val="bottom"/>
            <w:gridSpan w:val="2"/>
          </w:tcPr>
          <w:p>
            <w:pPr>
              <w:jc w:val="center"/>
              <w:ind w:right="520"/>
              <w:spacing w:after="0" w:line="154" w:lineRule="exact"/>
              <w:rPr>
                <w:sz w:val="20"/>
                <w:szCs w:val="20"/>
                <w:color w:val="auto"/>
              </w:rPr>
            </w:pPr>
            <w:r>
              <w:rPr>
                <w:rFonts w:ascii="Arial" w:cs="Arial" w:eastAsia="Arial" w:hAnsi="Arial"/>
                <w:sz w:val="14"/>
                <w:szCs w:val="14"/>
                <w:color w:val="auto"/>
                <w:w w:val="96"/>
              </w:rPr>
              <w:t>Paid-in</w:t>
            </w:r>
          </w:p>
        </w:tc>
        <w:tc>
          <w:tcPr>
            <w:tcW w:w="1240" w:type="dxa"/>
            <w:vAlign w:val="bottom"/>
            <w:gridSpan w:val="2"/>
          </w:tcPr>
          <w:p>
            <w:pPr>
              <w:jc w:val="right"/>
              <w:ind w:right="620"/>
              <w:spacing w:after="0" w:line="154" w:lineRule="exact"/>
              <w:rPr>
                <w:sz w:val="20"/>
                <w:szCs w:val="20"/>
                <w:color w:val="auto"/>
              </w:rPr>
            </w:pPr>
            <w:r>
              <w:rPr>
                <w:rFonts w:ascii="Arial" w:cs="Arial" w:eastAsia="Arial" w:hAnsi="Arial"/>
                <w:sz w:val="14"/>
                <w:szCs w:val="14"/>
                <w:color w:val="auto"/>
              </w:rPr>
              <w:t>Treasury</w:t>
            </w:r>
          </w:p>
        </w:tc>
        <w:tc>
          <w:tcPr>
            <w:tcW w:w="1400" w:type="dxa"/>
            <w:vAlign w:val="bottom"/>
            <w:gridSpan w:val="3"/>
          </w:tcPr>
          <w:p>
            <w:pPr>
              <w:jc w:val="center"/>
              <w:ind w:right="500"/>
              <w:spacing w:after="0" w:line="154" w:lineRule="exact"/>
              <w:rPr>
                <w:sz w:val="20"/>
                <w:szCs w:val="20"/>
                <w:color w:val="auto"/>
              </w:rPr>
            </w:pPr>
            <w:r>
              <w:rPr>
                <w:rFonts w:ascii="Arial" w:cs="Arial" w:eastAsia="Arial" w:hAnsi="Arial"/>
                <w:sz w:val="14"/>
                <w:szCs w:val="14"/>
                <w:color w:val="auto"/>
                <w:w w:val="91"/>
              </w:rPr>
              <w:t>Comprehensive</w:t>
            </w:r>
          </w:p>
        </w:tc>
        <w:tc>
          <w:tcPr>
            <w:tcW w:w="1340" w:type="dxa"/>
            <w:vAlign w:val="bottom"/>
            <w:gridSpan w:val="2"/>
          </w:tcPr>
          <w:p>
            <w:pPr>
              <w:ind w:left="160"/>
              <w:spacing w:after="0" w:line="154" w:lineRule="exact"/>
              <w:rPr>
                <w:sz w:val="20"/>
                <w:szCs w:val="20"/>
                <w:color w:val="auto"/>
              </w:rPr>
            </w:pPr>
            <w:r>
              <w:rPr>
                <w:rFonts w:ascii="Arial" w:cs="Arial" w:eastAsia="Arial" w:hAnsi="Arial"/>
                <w:sz w:val="14"/>
                <w:szCs w:val="14"/>
                <w:color w:val="auto"/>
              </w:rPr>
              <w:t>Retained</w:t>
            </w:r>
          </w:p>
        </w:tc>
        <w:tc>
          <w:tcPr>
            <w:tcW w:w="94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4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color w:val="auto"/>
              </w:rPr>
              <w:t>Shares</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w w:val="95"/>
              </w:rPr>
              <w:t>Amount</w:t>
            </w:r>
          </w:p>
        </w:tc>
        <w:tc>
          <w:tcPr>
            <w:tcW w:w="500" w:type="dxa"/>
            <w:vAlign w:val="bottom"/>
          </w:tcPr>
          <w:p>
            <w:pPr>
              <w:spacing w:after="0"/>
              <w:rPr>
                <w:sz w:val="12"/>
                <w:szCs w:val="12"/>
                <w:color w:val="auto"/>
              </w:rPr>
            </w:pPr>
          </w:p>
        </w:tc>
        <w:tc>
          <w:tcPr>
            <w:tcW w:w="1340" w:type="dxa"/>
            <w:vAlign w:val="bottom"/>
            <w:gridSpan w:val="2"/>
          </w:tcPr>
          <w:p>
            <w:pPr>
              <w:jc w:val="center"/>
              <w:ind w:right="520"/>
              <w:spacing w:after="0" w:line="142" w:lineRule="exact"/>
              <w:rPr>
                <w:sz w:val="20"/>
                <w:szCs w:val="20"/>
                <w:color w:val="auto"/>
              </w:rPr>
            </w:pPr>
            <w:r>
              <w:rPr>
                <w:rFonts w:ascii="Arial" w:cs="Arial" w:eastAsia="Arial" w:hAnsi="Arial"/>
                <w:sz w:val="14"/>
                <w:szCs w:val="14"/>
                <w:color w:val="auto"/>
                <w:w w:val="96"/>
              </w:rPr>
              <w:t>Capital</w:t>
            </w:r>
          </w:p>
        </w:tc>
        <w:tc>
          <w:tcPr>
            <w:tcW w:w="1240" w:type="dxa"/>
            <w:vAlign w:val="bottom"/>
            <w:gridSpan w:val="2"/>
          </w:tcPr>
          <w:p>
            <w:pPr>
              <w:jc w:val="right"/>
              <w:ind w:right="700"/>
              <w:spacing w:after="0" w:line="142" w:lineRule="exact"/>
              <w:rPr>
                <w:sz w:val="20"/>
                <w:szCs w:val="20"/>
                <w:color w:val="auto"/>
              </w:rPr>
            </w:pPr>
            <w:r>
              <w:rPr>
                <w:rFonts w:ascii="Arial" w:cs="Arial" w:eastAsia="Arial" w:hAnsi="Arial"/>
                <w:sz w:val="14"/>
                <w:szCs w:val="14"/>
                <w:color w:val="auto"/>
              </w:rPr>
              <w:t>Stock</w:t>
            </w:r>
          </w:p>
        </w:tc>
        <w:tc>
          <w:tcPr>
            <w:tcW w:w="160" w:type="dxa"/>
            <w:vAlign w:val="bottom"/>
          </w:tcPr>
          <w:p>
            <w:pPr>
              <w:spacing w:after="0"/>
              <w:rPr>
                <w:sz w:val="12"/>
                <w:szCs w:val="12"/>
                <w:color w:val="auto"/>
              </w:rPr>
            </w:pPr>
          </w:p>
        </w:tc>
        <w:tc>
          <w:tcPr>
            <w:tcW w:w="124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91"/>
              </w:rPr>
              <w:t>Income</w:t>
            </w:r>
          </w:p>
        </w:tc>
        <w:tc>
          <w:tcPr>
            <w:tcW w:w="134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Earnings</w:t>
            </w:r>
          </w:p>
        </w:tc>
        <w:tc>
          <w:tcPr>
            <w:tcW w:w="94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8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as of September 30,</w:t>
            </w: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205,079</w:t>
            </w:r>
          </w:p>
        </w:tc>
        <w:tc>
          <w:tcPr>
            <w:tcW w:w="2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3,930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$ 2,334,090</w:t>
            </w:r>
          </w:p>
        </w:tc>
        <w:tc>
          <w:tcPr>
            <w:tcW w:w="5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 (919,874)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8,343</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$ 1,786,564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$ 3,213,053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88,353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ind w:left="200"/>
              <w:spacing w:after="0" w:line="201" w:lineRule="exact"/>
              <w:rPr>
                <w:sz w:val="20"/>
                <w:szCs w:val="20"/>
                <w:color w:val="auto"/>
              </w:rPr>
            </w:pPr>
            <w:r>
              <w:rPr>
                <w:rFonts w:ascii="Arial" w:cs="Arial" w:eastAsia="Arial" w:hAnsi="Arial"/>
                <w:sz w:val="18"/>
                <w:szCs w:val="18"/>
                <w:color w:val="auto"/>
              </w:rPr>
              <w:t>Unrealized loss on foreign</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400"/>
              <w:spacing w:after="0"/>
              <w:rPr>
                <w:sz w:val="20"/>
                <w:szCs w:val="20"/>
                <w:color w:val="auto"/>
              </w:rPr>
            </w:pPr>
            <w:r>
              <w:rPr>
                <w:rFonts w:ascii="Arial" w:cs="Arial" w:eastAsia="Arial" w:hAnsi="Arial"/>
                <w:sz w:val="18"/>
                <w:szCs w:val="18"/>
                <w:color w:val="auto"/>
              </w:rPr>
              <w:t>currency hedging contracts,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400"/>
              <w:spacing w:after="0"/>
              <w:rPr>
                <w:sz w:val="20"/>
                <w:szCs w:val="20"/>
                <w:color w:val="auto"/>
              </w:rPr>
            </w:pPr>
            <w:r>
              <w:rPr>
                <w:rFonts w:ascii="Arial" w:cs="Arial" w:eastAsia="Arial" w:hAnsi="Arial"/>
                <w:sz w:val="18"/>
                <w:szCs w:val="18"/>
                <w:color w:val="auto"/>
              </w:rPr>
              <w:t>net of $(1,291) tax</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(7,194)</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Unrealized gain on short-term</w:t>
            </w: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interest-bearing</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investments, net of $(52)</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329</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Employee stock options</w:t>
            </w: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5,131</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418"/>
        </w:trPr>
        <w:tc>
          <w:tcPr>
            <w:tcW w:w="2800" w:type="dxa"/>
            <w:vAlign w:val="bottom"/>
            <w:gridSpan w:val="2"/>
          </w:tcPr>
          <w:p>
            <w:pPr>
              <w:spacing w:after="0"/>
              <w:rPr>
                <w:sz w:val="20"/>
                <w:szCs w:val="20"/>
                <w:color w:val="auto"/>
              </w:rPr>
            </w:pPr>
            <w:r>
              <w:rPr>
                <w:rFonts w:ascii="Arial" w:cs="Arial" w:eastAsia="Arial" w:hAnsi="Arial"/>
                <w:sz w:val="18"/>
                <w:szCs w:val="18"/>
                <w:color w:val="auto"/>
              </w:rPr>
              <w:t>Issuance of restricted stock, net</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of forfeitures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352</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Equity-based compensation</w:t>
            </w: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related to employees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10,853</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10,853</w:t>
            </w:r>
          </w:p>
        </w:tc>
        <w:tc>
          <w:tcPr>
            <w:tcW w:w="0" w:type="dxa"/>
            <w:vAlign w:val="bottom"/>
          </w:tcPr>
          <w:p>
            <w:pPr>
              <w:spacing w:after="0"/>
              <w:rPr>
                <w:sz w:val="1"/>
                <w:szCs w:val="1"/>
                <w:color w:val="auto"/>
              </w:rPr>
            </w:pPr>
          </w:p>
        </w:tc>
      </w:tr>
      <w:tr>
        <w:trPr>
          <w:trHeight w:val="205"/>
        </w:trPr>
        <w:tc>
          <w:tcPr>
            <w:tcW w:w="28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Balance as of December 31,</w:t>
            </w: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gridSpan w:val="2"/>
          </w:tcPr>
          <w:p>
            <w:pPr>
              <w:ind w:left="220"/>
              <w:spacing w:after="0"/>
              <w:rPr>
                <w:sz w:val="20"/>
                <w:szCs w:val="20"/>
                <w:color w:val="auto"/>
              </w:rPr>
            </w:pPr>
            <w:r>
              <w:rPr>
                <w:rFonts w:ascii="Arial" w:cs="Arial" w:eastAsia="Arial" w:hAnsi="Arial"/>
                <w:sz w:val="18"/>
                <w:szCs w:val="18"/>
                <w:b w:val="1"/>
                <w:bCs w:val="1"/>
                <w:color w:val="auto"/>
              </w:rPr>
              <w:t>2009</w:t>
            </w:r>
          </w:p>
        </w:tc>
        <w:tc>
          <w:tcPr>
            <w:tcW w:w="700" w:type="dxa"/>
            <w:vAlign w:val="bottom"/>
          </w:tcPr>
          <w:p>
            <w:pPr>
              <w:jc w:val="right"/>
              <w:spacing w:after="0"/>
              <w:rPr>
                <w:sz w:val="20"/>
                <w:szCs w:val="20"/>
                <w:color w:val="auto"/>
              </w:rPr>
            </w:pPr>
            <w:r>
              <w:rPr>
                <w:rFonts w:ascii="Arial" w:cs="Arial" w:eastAsia="Arial" w:hAnsi="Arial"/>
                <w:sz w:val="18"/>
                <w:szCs w:val="18"/>
                <w:color w:val="auto"/>
              </w:rPr>
              <w:t>205,681</w:t>
            </w:r>
          </w:p>
        </w:tc>
        <w:tc>
          <w:tcPr>
            <w:tcW w:w="24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3,940</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$ 2,350,074</w:t>
            </w:r>
          </w:p>
        </w:tc>
        <w:tc>
          <w:tcPr>
            <w:tcW w:w="50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(919,874)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1,478</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$ 1,874,917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$ 3,310,535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of December 31, 2009 and September 30, 2009, accumulated other comprehensive income is comprised of unrealized gain on derivatives, net of tax, of $5,742 and $12,936, respectively, unrealized loss on cash equivalents and short-term interest-bearing investments, net of tax, of $(6,088) and $(6,417), respectively, and unrealized gain on defined benefit plan, net of tax, of $1,824.</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Three months ended</w:t>
      </w:r>
    </w:p>
    <w:p>
      <w:pPr>
        <w:jc w:val="center"/>
        <w:ind w:left="90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88,353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50,050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expenses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Equity-based compensation expense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10,853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Gain on repurchase of convertible notes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(Gain) loss from short-term interest-bearing investments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(22,161)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Other noncurrent assets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(14,409)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28,258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47,599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Noncurrent liabilities and other</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3,118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(24,969)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193,507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142,484</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equipment, vehicles and leasehold improvements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Payments for purchase of equipment and leasehold improvements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(23,801)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278,183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(348,662)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(248,538)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(56,454)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(55,543)</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(150,522)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(221,821)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Borrowing under long-term financing arrangements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convertible notes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Repurchase of shares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 borrowing under short-term financing arrangements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5,141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equity-based compensation</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(16,252)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48,022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728,762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718,850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776,784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623,261</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Income taxes, net of refunds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14,704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ind w:firstLine="215"/>
        <w:spacing w:after="0" w:line="297" w:lineRule="auto"/>
        <w:rPr>
          <w:sz w:val="20"/>
          <w:szCs w:val="20"/>
          <w:color w:val="auto"/>
        </w:rPr>
      </w:pPr>
      <w:r>
        <w:rPr>
          <w:rFonts w:ascii="Arial" w:cs="Arial" w:eastAsia="Arial" w:hAnsi="Arial"/>
          <w:sz w:val="16"/>
          <w:szCs w:val="16"/>
          <w:color w:val="auto"/>
        </w:rPr>
        <w:t>Amdocs Limited (“Amdocs” or the “Company”) is a leading provider of software and services for communications, media and entertainment industry service providers. The Company and its subsidiaries operate in one segment, providing integrated products and services. The Company designs, develops, markets, supports, implements and operates customer experience systems, including revenue management, customer management, service and resource management (OSS), personalized portal and value-added services, portfolio management, and consulting and managed services, primarily to leading wireless, wireline, cable and satellite service providers throughout the world. Amdocs also offers a full range of directory sales and publishing systems.</w:t>
      </w:r>
    </w:p>
    <w:p>
      <w:pPr>
        <w:spacing w:after="0" w:line="50"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Company is a Guernsey corporation, which directly or indirectly holds numerous wholly-owned subsidiaries around the world. The majority of the Company’s customers are in North America, Europe, Latin America and the Asia-Pacific region. The Company’s main production and operating facilities are located in Canada, China, Cyprus, India, Ireland, Israel, and the United States.</w:t>
      </w:r>
    </w:p>
    <w:p>
      <w:pPr>
        <w:spacing w:after="0" w:line="73" w:lineRule="exact"/>
        <w:rPr>
          <w:sz w:val="20"/>
          <w:szCs w:val="20"/>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U.S. GAAP. In the opinion of the Company’s management, all adjustments considered necessary for a fair presentation of the unaudited interim consolidated financial statements have been included herein and are of a normal recurring nature.</w:t>
      </w:r>
    </w:p>
    <w:p>
      <w:pPr>
        <w:spacing w:after="0" w:line="73"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73"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2009, set forth in the Company’s Annual Report on Form 20-F filed on December 7, 2009 with the U.S. Securities and Exchange Commission, or the SEC. Subsequent events were evaluated through February 8, 2010, the date these financial statements were issued.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immaterial amounts in prior year financial statements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In January 2010, the Financial Accounting Standards Board, or FASB, issued guidance to amend the disclosure requirements of fair value measurements. The guidance requires new disclosures on the transfers of assets and liabilities between Level 1 and Level 2 of the fair value measurement hierarchy, including the reasons for the transfers, the reasons for any transfer in or out of Level 3 of the fair value measurement hierarchy and a roll forward of activities on purchases, sales, issuance, and settlements of recurring assets and liabilities measured at Level 3 of the fair value measurement hierarchy. In addition to these new disclosure requirements the new guidance also clarifies certain existing disclosure requirements. The guidance became effective for the Company beginning January 1, 2010, except for the disclosure on the roll forward activities for Level 3 fair value measurements, which will become effective for the Company beginning October 1, 2011. Other than requiring additional disclosures, adoption of this new guidance will not have a material impact on the Company’s financial statements.</w:t>
      </w:r>
    </w:p>
    <w:p>
      <w:pPr>
        <w:spacing w:after="0" w:line="84"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In June 2009, FASB issued authoritative guidance on the consolidation of variable interest entities, which is effective for the Company beginning October 1, 2010. The new guidance requires revised evaluations of whether entities represent variable interest entities, ongoing assessments of control over such entities, and additional disclosures for variable interests. Based on its current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operations the Company believes that the adoption of this new guidance will not have a material impact on its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121"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In October 2009, the FASB issued authoritative guidance for revenue recognition relating to arrangements containing both hardware and software elements. Under the new guidance, tangible products that have software components that are essential to the functionality of the tangible product will no longer be within the scope of the software revenue recognition guidance, and will now be subject to other relevant revenue recognition guidance. Additionally, the FASB updated its authoritative guidance for revenue arrangements with multiple deliverables that are outside the scope of the software revenue recognition guidance. The revised guidance eliminates the requirement that “objective and reliable” evidence of fair value exist for an undelivered item in order for a delivered item to be treated as a specific unit of accounting. In addition, the guidance modifies the methodology to allocate transaction consideration to each identified unit of accounting by allowing the use of management’s best estimate of selling price for individual elements of an arrangement when vendor specific objective evidence, or VSOE, of fair value or third-party evidence of selling price is unavailable. This results in the elimination of the residual method of allocating revenue consideration. The Company elected to early adopt the pronouncements at the beginning of its first quarter of fiscal 2010 on a prospective basis for applicable transactions originating or materially modified after October 1, 2009. This guidance does not generally change the units of accounting in the Company’s revenue arrangements or the methodology by which transaction consideration is allocated to the various units of accounting due to the fact that for the majority of the Company’s multiple deliverables arrangements entered into prior to the first quarter of fiscal 2010, the Company allocated transaction consideration for purposes of revenue recognition to each identified unit of accounting based upon its relative fair value, determined using VSOE. The new accounting standards for revenue recognition if applied to the year ended September 30, 2009 would not have had a material impact on the Company’s results of operations or financial position for that fiscal year. In addition, the adoption of the new guidance did not have a material impact on the Company’s results of operations or financial position in the first quarter of fiscal 2010.</w:t>
      </w:r>
    </w:p>
    <w:p>
      <w:pPr>
        <w:spacing w:after="0" w:line="70"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Effective October 1, 2009, the Company adopted the new earnings per share authoritative guidance that provides that unvested share-based payment awards that contain nonforfeitable rights to dividends or dividend equivalents are considered participating securities. As such, they should be included in the computation of basic earnings per share, or EPS, using the two-class method. Prior-period EPS data presented have been adjusted retroactively, and this adjustment reduced basic earnings per share by $0.01 for the three months ended December 31, 2008.</w:t>
      </w:r>
    </w:p>
    <w:p>
      <w:pPr>
        <w:spacing w:after="0" w:line="63"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Effective October 1, 2009, the Company adopted the fair value measurements guidance for non-financial assets and non-financial liabilities, except those that are recognized or disclosed in the financial statements at fair value on a recurring basis (at least annually). The adoption of this guidance did not have a material impact on the Company’s results of operations or financial position.</w:t>
      </w:r>
    </w:p>
    <w:p>
      <w:pPr>
        <w:spacing w:after="0" w:line="73"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Effective October 1, 2009, the Company adopted the revised accounting guidance for business combinations. This guidance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Among the more significant changes, acquired in-process research and development will be capitalized and upon completion amortized over its useful life; acquisition costs will be expensed as incurred; restructuring costs will generally be expensed in periods after the acquisition date; contingent consideration will be recognized at fair value at the acquisition date with subsequent changes recognized in earnings, and reductions in deferred tax valuation allowance relating to a business acquisition will be recognized in earnings. In April 2009, the FASB issued an amendment to the revised business combination guidance regarding the accounting for assets acquired and liabilities assumed in a business combination that arise from contingencies. The impact of this accounting guidance on the Company’s results of operations or financial position will vary depending on each specific business combination. This guidance did not have a material impact on the Company’s results of operations or financial position in the first quarter of fiscal 2010.</w:t>
      </w:r>
    </w:p>
    <w:p>
      <w:pPr>
        <w:spacing w:after="0" w:line="75"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Effective October 1, 2009, the Company adopted the guidance that changes the accounting and reporting for noncontrolling (minority) interests in consolidated financial statements, including the requirement to classify noncontrolling interests as a component of consolidated stockholders’ equity, the elimination of “minority interest” accounting in results of operations and changes in the accounting for both increases and decreases in a parent’s controlling ownership interest. The adoption of this guidance had no impact</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on the Company’s consolidated results of operations or financial position.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jc w:val="both"/>
        <w:ind w:right="180" w:firstLine="222"/>
        <w:spacing w:after="0" w:line="279" w:lineRule="auto"/>
        <w:rPr>
          <w:sz w:val="20"/>
          <w:szCs w:val="20"/>
          <w:color w:val="auto"/>
        </w:rPr>
      </w:pPr>
      <w:r>
        <w:rPr>
          <w:rFonts w:ascii="Arial" w:cs="Arial" w:eastAsia="Arial" w:hAnsi="Arial"/>
          <w:sz w:val="17"/>
          <w:szCs w:val="17"/>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63" w:lineRule="exact"/>
        <w:rPr>
          <w:sz w:val="20"/>
          <w:szCs w:val="20"/>
          <w:color w:val="auto"/>
        </w:rPr>
      </w:pPr>
    </w:p>
    <w:p>
      <w:pPr>
        <w:ind w:right="440" w:firstLine="222"/>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240" w:right="24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129"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color w:val="auto"/>
        </w:rPr>
        <w:t>The following tables presents the Company’s assets and liabilities measured at fair value on a recurring basis as of December 31, 2009 and September 30,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As of December 31, 2009</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Level 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74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31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4000" w:type="dxa"/>
            <w:vAlign w:val="bottom"/>
            <w:gridSpan w:val="3"/>
          </w:tcPr>
          <w:p>
            <w:pPr>
              <w:jc w:val="right"/>
              <w:ind w:right="180"/>
              <w:spacing w:after="0"/>
              <w:rPr>
                <w:sz w:val="20"/>
                <w:szCs w:val="20"/>
                <w:color w:val="auto"/>
              </w:rPr>
            </w:pPr>
            <w:r>
              <w:rPr>
                <w:rFonts w:ascii="Arial" w:cs="Arial" w:eastAsia="Arial" w:hAnsi="Arial"/>
                <w:sz w:val="18"/>
                <w:szCs w:val="18"/>
                <w:color w:val="auto"/>
              </w:rPr>
              <w:t>$ 625,986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625,986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4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272,581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U.S. agencies</w:t>
            </w:r>
          </w:p>
        </w:tc>
        <w:tc>
          <w:tcPr>
            <w:tcW w:w="3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69,682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69,682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guaranteed debt</w:t>
            </w:r>
          </w:p>
        </w:tc>
        <w:tc>
          <w:tcPr>
            <w:tcW w:w="3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90,163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Supranational and sovereign debt</w:t>
            </w:r>
          </w:p>
        </w:tc>
        <w:tc>
          <w:tcPr>
            <w:tcW w:w="3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24,398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3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25,009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Asset backed obligations</w:t>
            </w:r>
          </w:p>
        </w:tc>
        <w:tc>
          <w:tcPr>
            <w:tcW w:w="3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13,361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Mortgages (including agencies and corporate)</w:t>
            </w:r>
          </w:p>
        </w:tc>
        <w:tc>
          <w:tcPr>
            <w:tcW w:w="3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26,315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Other</w:t>
            </w:r>
          </w:p>
        </w:tc>
        <w:tc>
          <w:tcPr>
            <w:tcW w:w="3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3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906,567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248,942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1,155,509</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3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7,851</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$ 906,567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256,793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1,163,360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120" w:type="dxa"/>
            <w:vAlign w:val="bottom"/>
            <w:vMerge w:val="restart"/>
          </w:tcPr>
          <w:p>
            <w:pPr>
              <w:jc w:val="right"/>
              <w:ind w:right="1870"/>
              <w:spacing w:after="0"/>
              <w:rPr>
                <w:sz w:val="20"/>
                <w:szCs w:val="20"/>
                <w:color w:val="auto"/>
              </w:rPr>
            </w:pPr>
            <w:r>
              <w:rPr>
                <w:rFonts w:ascii="Arial" w:cs="Arial" w:eastAsia="Arial" w:hAnsi="Arial"/>
                <w:sz w:val="18"/>
                <w:szCs w:val="18"/>
                <w:color w:val="auto"/>
              </w:rPr>
              <w:t>9</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As of September 30, 2009</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8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74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$ 465,249</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465,249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272,405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U.S. agencies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93,211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guaranteed debt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83,949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Supranational and sovereign debt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15,751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32,130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Asset backed obligations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16,645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Mortgages (including agencies and corporate)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32,392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Other</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745,654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274,092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1,019,746</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13,882</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$ 745,654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287,974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1,033,628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15"/>
        <w:spacing w:after="0" w:line="279" w:lineRule="auto"/>
        <w:rPr>
          <w:sz w:val="20"/>
          <w:szCs w:val="20"/>
          <w:color w:val="auto"/>
        </w:rPr>
      </w:pPr>
      <w:r>
        <w:rPr>
          <w:rFonts w:ascii="Arial" w:cs="Arial" w:eastAsia="Arial" w:hAnsi="Arial"/>
          <w:sz w:val="17"/>
          <w:szCs w:val="17"/>
          <w:color w:val="auto"/>
        </w:rPr>
        <w:t>Available for 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and discounted cash flow techniques. The Company’s derivative instruments are classified as Level 2 as they represent foreign currency forward and option contracts valued primarily based on observable inputs including forward rates and yield curves.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500" w:firstLine="222"/>
        <w:spacing w:after="0" w:line="264" w:lineRule="auto"/>
        <w:rPr>
          <w:sz w:val="20"/>
          <w:szCs w:val="20"/>
          <w:color w:val="auto"/>
        </w:rPr>
      </w:pPr>
      <w:r>
        <w:rPr>
          <w:rFonts w:ascii="Arial" w:cs="Arial" w:eastAsia="Arial" w:hAnsi="Arial"/>
          <w:sz w:val="18"/>
          <w:szCs w:val="18"/>
          <w:color w:val="auto"/>
        </w:rPr>
        <w:t>The financial instruments of the Company consist mainly of cash and cash equivalents, short-term interest-bearing investments, accounts receivable, accounts payable, foreign currency forward exchange contracts and options. The fair value of the financial instruments included in the accounts of the Company does not significantly vary from their carrying amount.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jc w:val="right"/>
              <w:ind w:right="1260"/>
              <w:spacing w:after="0"/>
              <w:rPr>
                <w:sz w:val="20"/>
                <w:szCs w:val="20"/>
                <w:color w:val="auto"/>
              </w:rPr>
            </w:pPr>
            <w:r>
              <w:rPr>
                <w:rFonts w:ascii="Arial" w:cs="Arial" w:eastAsia="Arial" w:hAnsi="Arial"/>
                <w:sz w:val="14"/>
                <w:szCs w:val="14"/>
                <w:b w:val="1"/>
                <w:bCs w:val="1"/>
                <w:color w:val="auto"/>
              </w:rPr>
              <w:t>As of December 31, 2009</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6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8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4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625,986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625,986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U.S. government treasuries</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272,656</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272,581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U.S. agencies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68,801</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916</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69,682</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Government guaranteed debt</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89,697</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90,163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24,356</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24,398</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25,689</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1,425</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25,009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15,752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2,482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Mortgages (including agencies and corporate)</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30,768</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4,874</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26,315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8,127</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Total(1)</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1,161,832</w:t>
            </w: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9,357</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1,155,509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308"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Available-for-sale securities are classified as short term interest-bearing investments on the Company’s balance sheet, except for $640,143 of securities with original maturities of 90 days or less which are included in cash and cash equivalents as of December 31, 2009.</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jc w:val="right"/>
              <w:ind w:right="1240"/>
              <w:spacing w:after="0"/>
              <w:rPr>
                <w:sz w:val="20"/>
                <w:szCs w:val="20"/>
                <w:color w:val="auto"/>
              </w:rPr>
            </w:pPr>
            <w:r>
              <w:rPr>
                <w:rFonts w:ascii="Arial" w:cs="Arial" w:eastAsia="Arial" w:hAnsi="Arial"/>
                <w:sz w:val="14"/>
                <w:szCs w:val="14"/>
                <w:b w:val="1"/>
                <w:bCs w:val="1"/>
                <w:color w:val="auto"/>
              </w:rPr>
              <w:t>As of September 30, 2009</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6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8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4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465,249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465,249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U.S. government treasuries</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271,483</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922</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272,405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U.S. agencies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91,772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1,439</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93,211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Government guaranteed debt</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83,212</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764</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83,949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15,610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32,924</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730</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1,524</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32,130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19,630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3,164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Mortgages (including agencies and corporate)</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38,339</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6,499</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32,392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8,127</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Total(1)</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1,026,346</w:t>
            </w: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11,327</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1,019,746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308"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Available-for-sale securities are classified as short term interest-bearing investments on the Company’s balance sheet, except for $575,467 of securities with original maturities of 90 days or less which are included in cash and cash equivalents as of September 30, 2009.</w:t>
      </w:r>
    </w:p>
    <w:p>
      <w:pPr>
        <w:spacing w:after="0" w:line="38" w:lineRule="exact"/>
        <w:rPr>
          <w:sz w:val="20"/>
          <w:szCs w:val="20"/>
          <w:color w:val="auto"/>
        </w:rPr>
      </w:pPr>
    </w:p>
    <w:p>
      <w:pPr>
        <w:ind w:right="40" w:firstLine="215"/>
        <w:spacing w:after="0" w:line="289" w:lineRule="auto"/>
        <w:rPr>
          <w:sz w:val="20"/>
          <w:szCs w:val="20"/>
          <w:color w:val="auto"/>
        </w:rPr>
      </w:pPr>
      <w:r>
        <w:rPr>
          <w:rFonts w:ascii="Arial" w:cs="Arial" w:eastAsia="Arial" w:hAnsi="Arial"/>
          <w:sz w:val="16"/>
          <w:szCs w:val="16"/>
          <w:color w:val="auto"/>
        </w:rPr>
        <w:t>As of December 31, 2009, the unrealized losses were primarily due to credit market conditions and interest rate movements. A significant portion of the unrealized losses has been in a continuous loss position for 12 months or greater. The Company assessed whether such unrealized losses for the investments in its portfolio were other-than-temporary. For securities the Company intends to sell or it is more likely than not that it will be required to sell the securities before recovery, the entire difference between amortized cost and fair value is recognized in earnings. For securities that do not meet these criteria, the Company used a discounted cash flow analysis to determine the portion of the impairment that relates to credit loss. To the extent that the net present value of the projected cash flows is less than the amortized cost of the security, the difference is considered a credit loss and is recorded through earnings. The inputs on the future performance of the underlying assets used in the cash flow models include prepayments, defaults and loss severity assumptions. Based on this assessment, the Company recognized through earnings a credit loss of $280 in the first quarter ended December 31, 2009. As of December 31, 2009, unrealized losses of $2,773 related to other-than-temporarily impaired securities are included in accumulated other comprehensive loss.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 cumulative roll forward of credit losses recognized in earnings as of December 31, 2009: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1, 2009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Credit loss on debt securities for which an other-than-temporary impairment was not previously recognized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Additional credit loss on debt securities for which an other-than-temporary impairment was previously recognized</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Reductions for securities realized during the period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vMerge w:val="restart"/>
          </w:tcPr>
          <w:p>
            <w:pPr>
              <w:jc w:val="right"/>
              <w:ind w:right="2630"/>
              <w:spacing w:after="0"/>
              <w:rPr>
                <w:sz w:val="20"/>
                <w:szCs w:val="20"/>
                <w:color w:val="auto"/>
              </w:rPr>
            </w:pPr>
            <w:r>
              <w:rPr>
                <w:rFonts w:ascii="Arial" w:cs="Arial" w:eastAsia="Arial" w:hAnsi="Arial"/>
                <w:sz w:val="18"/>
                <w:szCs w:val="18"/>
                <w:color w:val="auto"/>
                <w:w w:val="93"/>
              </w:rPr>
              <w:t>As of December 31, 2009, the Company’s available-for-sale securities had the following maturity dates:</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20" w:type="dxa"/>
            <w:vAlign w:val="bottom"/>
          </w:tcPr>
          <w:p>
            <w:pPr>
              <w:spacing w:after="0"/>
              <w:rPr>
                <w:sz w:val="24"/>
                <w:szCs w:val="24"/>
                <w:color w:val="auto"/>
              </w:rPr>
            </w:pPr>
          </w:p>
        </w:tc>
        <w:tc>
          <w:tcPr>
            <w:tcW w:w="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7"/>
              </w:rPr>
              <w:t>Market Value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919,255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Due within two years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Due within three years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Due within four years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20" w:type="dxa"/>
            <w:vAlign w:val="bottom"/>
          </w:tcPr>
          <w:p>
            <w:pPr>
              <w:spacing w:after="0"/>
              <w:rPr>
                <w:sz w:val="19"/>
                <w:szCs w:val="19"/>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$ 1,155,509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40" w:type="dxa"/>
            <w:vAlign w:val="bottom"/>
            <w:gridSpan w:val="2"/>
            <w:vMerge w:val="restart"/>
          </w:tcPr>
          <w:p>
            <w:pPr>
              <w:jc w:val="right"/>
              <w:ind w:right="455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04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121" w:lineRule="exact"/>
        <w:rPr>
          <w:sz w:val="20"/>
          <w:szCs w:val="20"/>
          <w:color w:val="auto"/>
        </w:rPr>
      </w:pPr>
    </w:p>
    <w:p>
      <w:pPr>
        <w:ind w:right="20" w:firstLine="222"/>
        <w:spacing w:after="0" w:line="308" w:lineRule="auto"/>
        <w:rPr>
          <w:sz w:val="20"/>
          <w:szCs w:val="20"/>
          <w:color w:val="auto"/>
        </w:rPr>
      </w:pPr>
      <w:r>
        <w:rPr>
          <w:rFonts w:ascii="Arial" w:cs="Arial" w:eastAsia="Arial" w:hAnsi="Arial"/>
          <w:sz w:val="17"/>
          <w:szCs w:val="17"/>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38"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Company’s derivatives expose it to credit risks from possible non-performance by counterparties. The maximum amount of loss due to credit risk that the Company would incur if counterparties to the derivative financial instruments failed completely to perform according to the terms of the contracts, based on the gross fair value of the Company’s derivative contracts that are favorable to the Company, was approximately $11,867 as of December 31, 2009. The Company has limited its credit risk by entering into derivative transactions exclusively with investment-grade rated financial institutions and monitors the creditworthiness of these financial institutions on an ongoing basis.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140"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December 31, 2009. Notional values are U.S. dollar translated and calculated based on forward rates as of December 31, 2009 for forward contracts, and based on spot rates as of December 31, 2009 for options.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980" w:type="dxa"/>
            <w:vAlign w:val="bottom"/>
            <w:vMerge w:val="restart"/>
          </w:tcPr>
          <w:p>
            <w:pPr>
              <w:spacing w:after="0"/>
              <w:rPr>
                <w:sz w:val="20"/>
                <w:szCs w:val="20"/>
                <w:color w:val="auto"/>
              </w:rPr>
            </w:pPr>
            <w:r>
              <w:rPr>
                <w:rFonts w:ascii="Arial" w:cs="Arial" w:eastAsia="Arial" w:hAnsi="Arial"/>
                <w:sz w:val="18"/>
                <w:szCs w:val="18"/>
                <w:color w:val="auto"/>
              </w:rPr>
              <w:t>Foreign exchange contracts</w:t>
            </w: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Notional Value*</w:t>
            </w:r>
          </w:p>
        </w:tc>
        <w:tc>
          <w:tcPr>
            <w:tcW w:w="0" w:type="dxa"/>
            <w:vAlign w:val="bottom"/>
          </w:tcPr>
          <w:p>
            <w:pPr>
              <w:spacing w:after="0"/>
              <w:rPr>
                <w:sz w:val="1"/>
                <w:szCs w:val="1"/>
                <w:color w:val="auto"/>
              </w:rPr>
            </w:pPr>
          </w:p>
        </w:tc>
      </w:tr>
      <w:tr>
        <w:trPr>
          <w:trHeight w:val="224"/>
        </w:trPr>
        <w:tc>
          <w:tcPr>
            <w:tcW w:w="9980" w:type="dxa"/>
            <w:vAlign w:val="bottom"/>
            <w:vMerge w:val="continue"/>
          </w:tcPr>
          <w:p>
            <w:pPr>
              <w:spacing w:after="0"/>
              <w:rPr>
                <w:sz w:val="19"/>
                <w:szCs w:val="19"/>
                <w:color w:val="auto"/>
              </w:rPr>
            </w:pPr>
          </w:p>
        </w:tc>
        <w:tc>
          <w:tcPr>
            <w:tcW w:w="1440" w:type="dxa"/>
            <w:vAlign w:val="bottom"/>
          </w:tcPr>
          <w:p>
            <w:pPr>
              <w:jc w:val="right"/>
              <w:ind w:right="339"/>
              <w:spacing w:after="0"/>
              <w:rPr>
                <w:sz w:val="20"/>
                <w:szCs w:val="20"/>
                <w:color w:val="auto"/>
              </w:rPr>
            </w:pPr>
            <w:r>
              <w:rPr>
                <w:rFonts w:ascii="Arial" w:cs="Arial" w:eastAsia="Arial" w:hAnsi="Arial"/>
                <w:sz w:val="18"/>
                <w:szCs w:val="18"/>
                <w:color w:val="auto"/>
              </w:rPr>
              <w:t>$621,152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3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62"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Please see Note 4 to the consolidated financial statements. The fair value of the open foreign exchange contracts recorded by the Company on its consolidated balance sheets as of December 31, 2009 and September 30, 2009, as an asset or a liability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54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780" w:type="dxa"/>
            <w:vAlign w:val="bottom"/>
            <w:gridSpan w:val="2"/>
          </w:tcPr>
          <w:p>
            <w:pPr>
              <w:ind w:left="26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10,272</w:t>
            </w: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19,023</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(2,422)</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(3,709)</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 liabilities and other</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492</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(1,432)</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(2,007)</w:t>
            </w:r>
          </w:p>
        </w:tc>
      </w:t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278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13,882</w:t>
            </w: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contracts and options contracts to purchase and sell foreign currencies in order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significant portion of the forward contracts and options outstanding as of December 31, 2009 are expected to mature within the next 12 months).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effective portion of the gain or loss on the derivative instruments is initially recorded as a component of other comprehensive</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income, a separate component of shareholders’ equity, and subsequently reclassified into earnings to the same line item as the related forecasted transaction and in the same period or periods during which the hedged exposure affects earnings. The cash flow hedges are evaluated for effectiveness at least quarterly. As the critical terms of the forward contract or options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receipts from customers, are recognized immediately in interest (expense) income and other, net.</w:t>
      </w:r>
    </w:p>
    <w:p>
      <w:pPr>
        <w:spacing w:after="0" w:line="57" w:lineRule="exact"/>
        <w:rPr>
          <w:sz w:val="20"/>
          <w:szCs w:val="20"/>
          <w:color w:val="auto"/>
        </w:rPr>
      </w:pPr>
    </w:p>
    <w:p>
      <w:pPr>
        <w:ind w:right="320" w:firstLine="225"/>
        <w:spacing w:after="0" w:line="257" w:lineRule="auto"/>
        <w:rPr>
          <w:sz w:val="20"/>
          <w:szCs w:val="20"/>
          <w:color w:val="auto"/>
        </w:rPr>
      </w:pPr>
      <w:r>
        <w:rPr>
          <w:rFonts w:ascii="Arial" w:cs="Arial" w:eastAsia="Arial" w:hAnsi="Arial"/>
          <w:sz w:val="18"/>
          <w:szCs w:val="18"/>
          <w:color w:val="auto"/>
        </w:rPr>
        <w:t>Gains or losses on the derivative instruments, which partially offset the foreign currency impact from the underlying exposures, reclassified from other comprehensive income into revenue, cost of service, research and development and selling, general and administrative for the three months ended December 31, 2009, were losses of $1,950, and gains of $2,500, $696 and $306, respectively (an aggregate gain of $1,285, net of taxes). The ineffective portion of the change in fair value of a cash flow hedge, including the time value portion excluded from effectiveness testing for the three months ended December 31, 2009, was not material.</w:t>
      </w:r>
    </w:p>
    <w:p>
      <w:pPr>
        <w:spacing w:after="0" w:line="80" w:lineRule="exact"/>
        <w:rPr>
          <w:sz w:val="20"/>
          <w:szCs w:val="20"/>
          <w:color w:val="auto"/>
        </w:rPr>
      </w:pPr>
    </w:p>
    <w:p>
      <w:pPr>
        <w:ind w:right="20" w:firstLine="215"/>
        <w:spacing w:after="0" w:line="279" w:lineRule="auto"/>
        <w:rPr>
          <w:sz w:val="20"/>
          <w:szCs w:val="20"/>
          <w:color w:val="auto"/>
        </w:rPr>
      </w:pPr>
      <w:r>
        <w:rPr>
          <w:rFonts w:ascii="Arial" w:cs="Arial" w:eastAsia="Arial" w:hAnsi="Arial"/>
          <w:sz w:val="17"/>
          <w:szCs w:val="17"/>
          <w:color w:val="auto"/>
        </w:rPr>
        <w:t>As of December 31, 2009, amounts related to derivatives designated as cash flow hedges and recorded in accumulated other comprehensive income totaled $5,742 which will be reclassified into earnings within the next 12 months and will partially offset the foreign currency impact from the underlying exposures. The amount ultimately realized in earnings will likely differ due to future changes in foreign exchange rates. Losses from cash flow hedges recognized in other comprehensive income during the three months ended December 31, 2009 were $6,933, or $5,909, net of taxes.</w:t>
      </w:r>
    </w:p>
    <w:p>
      <w:pPr>
        <w:spacing w:after="0" w:line="63"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activity related to the changes in net unrealized gains on cash flow hedges, net of tax,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cash flow hedges, net of tax, as of October 1, 2009</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12,936</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Changes associated with hedging transactions, net of tax $(1,024)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(5,909)</w:t>
            </w: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into earnings, net of tax $(267)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(1,285)</w:t>
            </w: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Net unrealized gains on cash flow hedges, net of tax, as of December 31, 2009</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jc w:val="both"/>
        <w:ind w:right="40" w:firstLine="222"/>
        <w:spacing w:after="0" w:line="277" w:lineRule="auto"/>
        <w:rPr>
          <w:sz w:val="20"/>
          <w:szCs w:val="20"/>
          <w:color w:val="auto"/>
        </w:rPr>
      </w:pPr>
      <w:r>
        <w:rPr>
          <w:rFonts w:ascii="Arial" w:cs="Arial" w:eastAsia="Arial" w:hAnsi="Arial"/>
          <w:sz w:val="18"/>
          <w:szCs w:val="18"/>
          <w:color w:val="auto"/>
        </w:rPr>
        <w:t>The Company also enters into foreign currency exchange forward contracts that are not designated as hedging instruments under hedge accounting and are used to reduce the impact of foreign currency on certain balance sheet exposures and certain revenue and expense.</w:t>
      </w:r>
    </w:p>
    <w:p>
      <w:pPr>
        <w:spacing w:after="0" w:line="62"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These instruments are generally short term in nature, with typical maturities of less than one year, and are subject to fluctuations in foreign exchange rates. Gains or losses on these derivatives, which partially offset the foreign currency impact from the underlying exposures, classified into revenue, cost of service, interest (expense) income and other, net and income taxes for the three months ended December 31, 2009 were losses of $331, $242, $307 and gains of $29,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Accounts Receivable, Net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receivable, net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54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5120" w:type="dxa"/>
            <w:vAlign w:val="bottom"/>
            <w:gridSpan w:val="2"/>
            <w:shd w:val="clear" w:color="auto" w:fill="CCEEFF"/>
          </w:tcPr>
          <w:p>
            <w:pPr>
              <w:ind w:left="49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475,765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443,094</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25,421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21,749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4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(14,403)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(9,878)</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4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486,783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940" w:type="dxa"/>
            <w:vAlign w:val="bottom"/>
            <w:vMerge w:val="restart"/>
          </w:tcPr>
          <w:p>
            <w:pPr>
              <w:jc w:val="right"/>
              <w:ind w:right="303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8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980" w:type="dxa"/>
            <w:vAlign w:val="bottom"/>
            <w:tcBorders>
              <w:bottom w:val="single" w:sz="8" w:color="808080"/>
            </w:tcBorders>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w:t>
      </w:r>
    </w:p>
    <w:p>
      <w:pPr>
        <w:spacing w:after="0" w:line="121" w:lineRule="exact"/>
        <w:rPr>
          <w:sz w:val="20"/>
          <w:szCs w:val="20"/>
          <w:color w:val="auto"/>
        </w:rPr>
      </w:pPr>
    </w:p>
    <w:p>
      <w:pPr>
        <w:ind w:right="760" w:firstLine="225"/>
        <w:spacing w:after="0" w:line="342" w:lineRule="auto"/>
        <w:rPr>
          <w:sz w:val="20"/>
          <w:szCs w:val="20"/>
          <w:color w:val="auto"/>
        </w:rPr>
      </w:pPr>
      <w:r>
        <w:rPr>
          <w:rFonts w:ascii="Arial" w:cs="Arial" w:eastAsia="Arial" w:hAnsi="Arial"/>
          <w:sz w:val="16"/>
          <w:szCs w:val="16"/>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reconciliation from net income to comprehensive income for the following periods:</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88,353</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74,247</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on foreign currency hedging contracts, net of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(7,194)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(5,363)</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Unrealized gain (loss) on short-term interest-bearing investments, net of tax</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329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(2,327)</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defined benefit plan, net of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81,488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66,908</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provision for income taxes for the following periods consisted of:</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ind w:right="128"/>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8"/>
              </w:rPr>
              <w:t>18,582</w:t>
            </w:r>
          </w:p>
        </w:tc>
        <w:tc>
          <w:tcPr>
            <w:tcW w:w="5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8,395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5"/>
          </w:tcPr>
          <w:p>
            <w:pPr>
              <w:jc w:val="right"/>
              <w:ind w:right="540"/>
              <w:spacing w:after="0"/>
              <w:rPr>
                <w:sz w:val="20"/>
                <w:szCs w:val="20"/>
                <w:color w:val="auto"/>
              </w:rPr>
            </w:pPr>
            <w:r>
              <w:rPr>
                <w:rFonts w:ascii="Arial" w:cs="Arial" w:eastAsia="Arial" w:hAnsi="Arial"/>
                <w:sz w:val="18"/>
                <w:szCs w:val="18"/>
                <w:color w:val="auto"/>
              </w:rPr>
              <w:t>(8,501)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8"/>
              </w:rPr>
              <w:t>10,081</w:t>
            </w:r>
          </w:p>
        </w:tc>
        <w:tc>
          <w:tcPr>
            <w:tcW w:w="5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9,257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200"/>
              <w:spacing w:after="0"/>
              <w:rPr>
                <w:sz w:val="20"/>
                <w:szCs w:val="20"/>
                <w:color w:val="auto"/>
              </w:rPr>
            </w:pPr>
            <w:r>
              <w:rPr>
                <w:rFonts w:ascii="Arial" w:cs="Arial" w:eastAsia="Arial" w:hAnsi="Arial"/>
                <w:sz w:val="18"/>
                <w:szCs w:val="18"/>
                <w:color w:val="auto"/>
                <w:w w:val="92"/>
              </w:rPr>
              <w:t>The Company’s effective income tax rate varied from the statutory Guernsey tax rate as follows for the following periods:</w:t>
            </w: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10"/>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right"/>
              <w:ind w:right="168"/>
              <w:spacing w:after="0" w:line="142" w:lineRule="exact"/>
              <w:rPr>
                <w:sz w:val="20"/>
                <w:szCs w:val="20"/>
                <w:color w:val="auto"/>
              </w:rPr>
            </w:pPr>
            <w:r>
              <w:rPr>
                <w:rFonts w:ascii="Arial" w:cs="Arial" w:eastAsia="Arial" w:hAnsi="Arial"/>
                <w:sz w:val="14"/>
                <w:szCs w:val="14"/>
                <w:b w:val="1"/>
                <w:bCs w:val="1"/>
                <w:color w:val="auto"/>
                <w:w w:val="96"/>
              </w:rPr>
              <w:t>2009</w:t>
            </w:r>
          </w:p>
        </w:tc>
        <w:tc>
          <w:tcPr>
            <w:tcW w:w="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Foreign taxes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88"/>
              </w:rPr>
              <w:t>10%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129" w:lineRule="exact"/>
        <w:rPr>
          <w:sz w:val="20"/>
          <w:szCs w:val="20"/>
          <w:color w:val="auto"/>
        </w:rPr>
      </w:pPr>
    </w:p>
    <w:p>
      <w:pPr>
        <w:jc w:val="both"/>
        <w:ind w:right="500" w:firstLine="215"/>
        <w:spacing w:after="0" w:line="264" w:lineRule="auto"/>
        <w:rPr>
          <w:sz w:val="20"/>
          <w:szCs w:val="20"/>
          <w:color w:val="auto"/>
        </w:rPr>
      </w:pPr>
      <w:r>
        <w:rPr>
          <w:rFonts w:ascii="Arial" w:cs="Arial" w:eastAsia="Arial" w:hAnsi="Arial"/>
          <w:sz w:val="18"/>
          <w:szCs w:val="18"/>
          <w:color w:val="auto"/>
        </w:rPr>
        <w:t>As of December 31, 2009, deferred tax assets of $81,891, derived primarily from net capital and operating loss carry forwards related to some of the Company’s subsidiaries, were offset by valuation allowances related to the uncertainty of realizing tax benefit for such losses. Releases of the valuation allowances will be recognized through earnings.</w:t>
      </w:r>
    </w:p>
    <w:p>
      <w:pPr>
        <w:spacing w:after="0" w:line="73"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$115,796 as of December 31, 2009, all of which would affect the effective tax rate if realized.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of December 31, 2009, the Company has accrued $15,502 in income taxes payable for interest and penalties relating to unrecognized tax benefits.</w:t>
      </w:r>
    </w:p>
    <w:p>
      <w:pPr>
        <w:spacing w:after="0" w:line="140" w:lineRule="exact"/>
        <w:rPr>
          <w:sz w:val="20"/>
          <w:szCs w:val="20"/>
          <w:color w:val="auto"/>
        </w:rPr>
      </w:pPr>
    </w:p>
    <w:p>
      <w:pPr>
        <w:ind w:right="300" w:firstLine="222"/>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2001 and onwards. Timing of the resolution of audits is highly uncertain and therefore the Company cannot estimate the change in unrecognized tax benefits resulting from these audits within the next 12 months.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1"/>
              </w:rPr>
              <w:t>2008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Numerator for basic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88,353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74,247</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assumed conversion of 0.5% convertible notes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23"/>
        </w:trPr>
        <w:tc>
          <w:tcPr>
            <w:tcW w:w="9240" w:type="dxa"/>
            <w:vAlign w:val="bottom"/>
          </w:tcPr>
          <w:p>
            <w:pPr>
              <w:ind w:left="220"/>
              <w:spacing w:after="0"/>
              <w:rPr>
                <w:sz w:val="20"/>
                <w:szCs w:val="20"/>
                <w:color w:val="auto"/>
              </w:rPr>
            </w:pPr>
            <w:r>
              <w:rPr>
                <w:rFonts w:ascii="Arial" w:cs="Arial" w:eastAsia="Arial" w:hAnsi="Arial"/>
                <w:sz w:val="18"/>
                <w:szCs w:val="18"/>
                <w:color w:val="auto"/>
              </w:rPr>
              <w:t>Numerator for diluted earnings per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88,353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Denominator for basic earnings per share— weighted average number of shares outstanding</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205,430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203,578</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assumed conversion of 0.5% convertible notes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9,158</w:t>
            </w:r>
          </w:p>
        </w:tc>
        <w:tc>
          <w:tcPr>
            <w:tcW w:w="0" w:type="dxa"/>
            <w:vAlign w:val="bottom"/>
          </w:tcPr>
          <w:p>
            <w:pPr>
              <w:spacing w:after="0"/>
              <w:rPr>
                <w:sz w:val="1"/>
                <w:szCs w:val="1"/>
                <w:color w:val="auto"/>
              </w:rPr>
            </w:pPr>
          </w:p>
        </w:tc>
      </w:tr>
      <w:tr>
        <w:trPr>
          <w:trHeight w:val="223"/>
        </w:trPr>
        <w:tc>
          <w:tcPr>
            <w:tcW w:w="9240" w:type="dxa"/>
            <w:vAlign w:val="bottom"/>
          </w:tcPr>
          <w:p>
            <w:pPr>
              <w:ind w:left="220"/>
              <w:spacing w:after="0"/>
              <w:rPr>
                <w:sz w:val="20"/>
                <w:szCs w:val="20"/>
                <w:color w:val="auto"/>
              </w:rPr>
            </w:pPr>
            <w:r>
              <w:rPr>
                <w:rFonts w:ascii="Arial" w:cs="Arial" w:eastAsia="Arial" w:hAnsi="Arial"/>
                <w:sz w:val="18"/>
                <w:szCs w:val="18"/>
                <w:color w:val="auto"/>
              </w:rPr>
              <w:t>Effect of dilutive stock options granted</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Denominator for diluted earnings per share — adjusted weighted average shares and assumed conversions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206,656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213,069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60" w:hanging="452"/>
        <w:spacing w:after="0" w:line="30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basic and diluted weighted average number of shares outstanding for the three months ended December 31, 2008 has been retroactively adjusted to reflect the adoption of new earnings per share authoritative guidance requiring the inclusion of unvested share-based payment awards containing nonforfeiture rights to dividends or dividend equivalents in the calculation of basic weighted average number of shares outstanding. This adjustment reduced basic earnings per share by $0.01 for the three months ended December 31, 2008. See note 2 to the consolidated financial statements.</w:t>
      </w:r>
    </w:p>
    <w:p>
      <w:pPr>
        <w:spacing w:after="0" w:line="46"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For the three months ended December 31, 2009 and 2008, 16,955 and 21,948 shares, respectively, were attributable to antidilutive outstanding stock options and therefore were not included in the calculation of diluted earnings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w:t>
      </w:r>
    </w:p>
    <w:p>
      <w:pPr>
        <w:spacing w:after="0" w:line="121"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In November 2007, the Company entered into an unsecured $500,000 five-year revolving credit facility with a syndicate of banks, which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depends on the circumstances of any advance and is based on the Company’s credit ratings. As of December 31, 2009, the Company was in compliance with financial covenants under the revolving credit facility and had no outstanding borrowings under this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and Incentive Plan</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2008, the maximum number of ordinary shares authorized to be granted under the Plan was increased from 46,300 to 55,300. Awards granted under the Plan generally vest over a period of four years and stock options have a term of ten years.</w:t>
      </w:r>
    </w:p>
    <w:p>
      <w:pPr>
        <w:spacing w:after="0" w:line="81" w:lineRule="exact"/>
        <w:rPr>
          <w:sz w:val="20"/>
          <w:szCs w:val="20"/>
          <w:color w:val="auto"/>
        </w:rPr>
      </w:pPr>
    </w:p>
    <w:p>
      <w:pPr>
        <w:ind w:right="160" w:firstLine="222"/>
        <w:spacing w:after="0" w:line="282"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three-month period ended December 31, 2009:</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Options</w:t>
            </w:r>
          </w:p>
        </w:tc>
        <w:tc>
          <w:tcPr>
            <w:tcW w:w="38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October 1, 2009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21,321</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30.93</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2,662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26.29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20.55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(431)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34.38</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30.45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2009</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14,076</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6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summarizes information relating to awards of restricted shares, as well as changes to such awards during the three-month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3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Date 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October 1, 2009</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December 31, 2009</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firstLine="215"/>
        <w:spacing w:after="0" w:line="286" w:lineRule="auto"/>
        <w:rPr>
          <w:sz w:val="20"/>
          <w:szCs w:val="20"/>
          <w:color w:val="auto"/>
        </w:rPr>
      </w:pPr>
      <w:r>
        <w:rPr>
          <w:rFonts w:ascii="Arial" w:cs="Arial" w:eastAsia="Arial" w:hAnsi="Arial"/>
          <w:sz w:val="17"/>
          <w:szCs w:val="17"/>
          <w:color w:val="auto"/>
        </w:rPr>
        <w:t>As of December 31, 2009, there was $50,899 of unrecognized compensation expense related to nonvested stock options and nonvested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Employee equity-based compensation pre-tax expense for the three months ended December 31, 2009 and 2008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8980" w:type="dxa"/>
            <w:vAlign w:val="bottom"/>
          </w:tcPr>
          <w:p>
            <w:pPr>
              <w:spacing w:after="0"/>
              <w:rPr>
                <w:sz w:val="10"/>
                <w:szCs w:val="10"/>
                <w:color w:val="auto"/>
              </w:rPr>
            </w:pPr>
          </w:p>
        </w:tc>
        <w:tc>
          <w:tcPr>
            <w:tcW w:w="150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8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5,711</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1,133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1,062</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6,644</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10,853</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13,417</w:t>
            </w:r>
          </w:p>
        </w:tc>
        <w:tc>
          <w:tcPr>
            <w:tcW w:w="10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total income tax benefit recognized in the income statement for stock-based compensation (including restricted shares) for the three months ended December 31, 2009 and 2008 was $1,183 and $1,583, respectively.</w:t>
      </w:r>
    </w:p>
    <w:p>
      <w:pPr>
        <w:spacing w:after="0" w:line="62"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Company selected the Black-Scholes option pricing model as the most appropriate fair value method for its equity-based awards and recognizes compensation costs using the graded vesting attribution method. The Black-Scholes option pricing model assumptions used are noted in the following table (all in weighted averages for options granted during the period):</w:t>
      </w:r>
    </w:p>
    <w:p>
      <w:pPr>
        <w:spacing w:after="0" w:line="173" w:lineRule="exact"/>
        <w:rPr>
          <w:sz w:val="20"/>
          <w:szCs w:val="20"/>
          <w:color w:val="auto"/>
        </w:rPr>
      </w:pPr>
    </w:p>
    <w:p>
      <w:pPr>
        <w:jc w:val="center"/>
        <w:ind w:left="8860"/>
        <w:spacing w:after="0"/>
        <w:rPr>
          <w:sz w:val="20"/>
          <w:szCs w:val="20"/>
          <w:color w:val="auto"/>
        </w:rPr>
      </w:pPr>
      <w:r>
        <w:rPr>
          <w:rFonts w:ascii="Arial" w:cs="Arial" w:eastAsia="Arial" w:hAnsi="Arial"/>
          <w:sz w:val="14"/>
          <w:szCs w:val="14"/>
          <w:b w:val="1"/>
          <w:bCs w:val="1"/>
          <w:color w:val="auto"/>
        </w:rPr>
        <w:t>Three months ended</w:t>
      </w:r>
    </w:p>
    <w:p>
      <w:pPr>
        <w:jc w:val="center"/>
        <w:ind w:left="88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8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(1)</w:t>
            </w: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1.93%</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2.09%</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4.24</w:t>
            </w:r>
          </w:p>
        </w:tc>
        <w:tc>
          <w:tcPr>
            <w:tcW w:w="1560" w:type="dxa"/>
            <w:vAlign w:val="bottom"/>
            <w:gridSpan w:val="2"/>
          </w:tcPr>
          <w:p>
            <w:pPr>
              <w:jc w:val="right"/>
              <w:ind w:right="259"/>
              <w:spacing w:after="0"/>
              <w:rPr>
                <w:sz w:val="20"/>
                <w:szCs w:val="20"/>
                <w:color w:val="auto"/>
              </w:rPr>
            </w:pPr>
            <w:r>
              <w:rPr>
                <w:rFonts w:ascii="Arial" w:cs="Arial" w:eastAsia="Arial" w:hAnsi="Arial"/>
                <w:sz w:val="18"/>
                <w:szCs w:val="18"/>
                <w:color w:val="auto"/>
              </w:rPr>
              <w:t>4.44</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10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0.32</w:t>
            </w:r>
          </w:p>
        </w:tc>
        <w:tc>
          <w:tcPr>
            <w:tcW w:w="156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0.51</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10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$7.52</w:t>
            </w:r>
          </w:p>
        </w:tc>
        <w:tc>
          <w:tcPr>
            <w:tcW w:w="156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$8.36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w:t>
      </w:r>
      <w:r>
        <w:rPr>
          <w:rFonts w:ascii="Arial" w:cs="Arial" w:eastAsia="Arial" w:hAnsi="Arial"/>
          <w:sz w:val="18"/>
          <w:szCs w:val="18"/>
          <w:b w:val="1"/>
          <w:bCs w:val="1"/>
          <w:color w:val="auto"/>
        </w:rPr>
        <w:t>‘</w:t>
      </w:r>
      <w:r>
        <w:rPr>
          <w:rFonts w:ascii="Arial" w:cs="Arial" w:eastAsia="Arial" w:hAnsi="Arial"/>
          <w:sz w:val="18"/>
          <w:szCs w:val="18"/>
          <w:color w:val="auto"/>
        </w:rPr>
        <w:t>s employee stock options.</w:t>
      </w:r>
    </w:p>
    <w:p>
      <w:pPr>
        <w:spacing w:after="0" w:line="8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4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73"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The Company generally sells its products with a limited warranty for a period of 90 days. The Company’s policy is to account for warranty costs, if needed, based on historical trends in product failure. Based on the Company’s experience, only minimal warranty charges have been required and, as a result, the Company did not accrue any amounts for product warranty liability during the three months ended December 31, 2009 and 2008.</w:t>
      </w:r>
    </w:p>
    <w:p>
      <w:pPr>
        <w:spacing w:after="0" w:line="57" w:lineRule="exact"/>
        <w:rPr>
          <w:sz w:val="20"/>
          <w:szCs w:val="20"/>
          <w:color w:val="auto"/>
        </w:rPr>
      </w:pPr>
    </w:p>
    <w:p>
      <w:pPr>
        <w:ind w:right="260" w:firstLine="222"/>
        <w:spacing w:after="0" w:line="264" w:lineRule="auto"/>
        <w:rPr>
          <w:sz w:val="20"/>
          <w:szCs w:val="20"/>
          <w:color w:val="auto"/>
        </w:rPr>
      </w:pPr>
      <w:r>
        <w:rPr>
          <w:rFonts w:ascii="Arial" w:cs="Arial" w:eastAsia="Arial" w:hAnsi="Arial"/>
          <w:sz w:val="18"/>
          <w:szCs w:val="18"/>
          <w:color w:val="auto"/>
        </w:rPr>
        <w:t>The Company generally indemnifies its customers against claims of intellectual property infringement made by third parties arising from the use of the Company’s software. To date, the Company has incurred and recorded in its consolidated financial statements only minimal costs as a result of such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58"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2009 that we filed on December 7, 2009 with the U.S.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360" w:firstLine="215"/>
        <w:spacing w:after="0" w:line="277" w:lineRule="auto"/>
        <w:rPr>
          <w:sz w:val="20"/>
          <w:szCs w:val="20"/>
          <w:color w:val="auto"/>
        </w:rPr>
      </w:pPr>
      <w:r>
        <w:rPr>
          <w:rFonts w:ascii="Arial" w:cs="Arial" w:eastAsia="Arial" w:hAnsi="Arial"/>
          <w:sz w:val="18"/>
          <w:szCs w:val="18"/>
          <w:color w:val="auto"/>
        </w:rPr>
        <w:t>Amdocs is a leading provider of software and services for communications, media and entertainment industry service providers. Although our market focus has traditionally been primarily on Tier 1 and Tier 2 service providers in developed markets, we have also</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focused in the last several years on Tier 3 and Tier 4 providers in developed markets, and on providers in emerging markets throughout the world.</w:t>
      </w:r>
    </w:p>
    <w:p>
      <w:pPr>
        <w:spacing w:after="0" w:line="129"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develop, implement and manage software and services associated with business support systems, or BSS, operational support systems, or OSS, and service delivery platforms that enable service providers to personalize customer interactions, process orders more efficiently, optimize network capacity, support new business models and manage the evolution of service providers’ networks. We refer to these systems collectively as customer experience systems because of the impact they have on the service providers’ end-user experience.</w:t>
      </w:r>
    </w:p>
    <w:p>
      <w:pPr>
        <w:spacing w:after="0" w:line="79"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We believe the demand for our customer experience systems is driven by the need of service providers to anticipate and respond to consumer demands. In a global communications industry impacted by the move toward convergence of services and devices and increasing network capacity, consumers expect immediate and constant connectivity to personalized services, information and applications. We refer to these developments as the evolution to the “Connected World.”</w:t>
      </w:r>
    </w:p>
    <w:p>
      <w:pPr>
        <w:spacing w:after="0" w:line="79" w:lineRule="exact"/>
        <w:rPr>
          <w:sz w:val="20"/>
          <w:szCs w:val="20"/>
          <w:color w:val="auto"/>
        </w:rPr>
      </w:pPr>
    </w:p>
    <w:p>
      <w:pPr>
        <w:ind w:right="100" w:firstLine="225"/>
        <w:spacing w:after="0" w:line="289" w:lineRule="auto"/>
        <w:rPr>
          <w:sz w:val="20"/>
          <w:szCs w:val="20"/>
          <w:color w:val="auto"/>
        </w:rPr>
      </w:pPr>
      <w:r>
        <w:rPr>
          <w:rFonts w:ascii="Arial" w:cs="Arial" w:eastAsia="Arial" w:hAnsi="Arial"/>
          <w:sz w:val="16"/>
          <w:szCs w:val="16"/>
          <w:color w:val="auto"/>
        </w:rPr>
        <w:t>In established markets, service providers are transforming their businesses as they attempt to derive revenue and profit from IP-based content services, while confronting increased competition from non-traditional competitors, including major Internet companies and handset manufacturers. In emerging markets, many startup operations are introducing communications services to markets for the first time, coping with massive scale and rapid growth; other companies are undergoing consolidations as providers with global brands seek to do business in these new geographies. Regardless of whether providers are bringing their first offerings to market, scaling for growth, consolidating systems or transforming the way they do business, we believe they will succeed in differentiating their offerings by delivering a customer experience that is simple, personal and valuable at every point of service. We refer to this type of customer experience as the “intentional customer experience.” We seek to address these market forces through a strategy of forward-looking product development and holistic, vertical integration encompassing all systems from the customer to the network. Our goal is to supply cost-effective, scalable software products and services that provide functionality and flexibility to service providers as they — and their markets — grow and change.</w:t>
      </w:r>
    </w:p>
    <w:p>
      <w:pPr>
        <w:spacing w:after="0" w:line="59"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We also offer a full range of directory systems and related services for publishers of both traditional printed Yellow Page and white page directories and electronic Internet directories, which we refer to as directory systems.</w:t>
      </w:r>
    </w:p>
    <w:p>
      <w:pPr>
        <w:spacing w:after="0" w:line="62" w:lineRule="exact"/>
        <w:rPr>
          <w:sz w:val="20"/>
          <w:szCs w:val="20"/>
          <w:color w:val="auto"/>
        </w:rPr>
      </w:pPr>
    </w:p>
    <w:p>
      <w:pPr>
        <w:ind w:right="40" w:firstLine="215"/>
        <w:spacing w:after="0" w:line="272" w:lineRule="auto"/>
        <w:rPr>
          <w:sz w:val="20"/>
          <w:szCs w:val="20"/>
          <w:color w:val="auto"/>
        </w:rPr>
      </w:pPr>
      <w:r>
        <w:rPr>
          <w:rFonts w:ascii="Arial" w:cs="Arial" w:eastAsia="Arial" w:hAnsi="Arial"/>
          <w:sz w:val="17"/>
          <w:szCs w:val="17"/>
          <w:color w:val="auto"/>
        </w:rPr>
        <w:t>As we emerge from the recent economic crisis, we are confident in our strong competitive position. We have improved our operating efficiencies and cost competitiveness, yet we have continued investing in innovation, exemplified by the launch of our latest major release of our comprehensive portfolio, Amdocs CES 8, in January 2010. Amdocs CES 8 was developed to enable our customers to run leaner operations while, at the same time, prepare for the changes and opportunities that the Connected World offers, such as enabling their unique network, product and customer assets to expand into new business models. Additionally, in Amdocs CES 8 we have focused on reducing the costs associated with installation, implementation and maintenance of our systems which we believe will serve to further differentiate us in the market. Given our market position and the improved demand outlook, we believe that Amdocs is entering a period of resumed growth throughout fiscal 2010.</w:t>
      </w:r>
    </w:p>
    <w:p>
      <w:pPr>
        <w:spacing w:after="0" w:line="70"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We conduct our business globally, and as a result we are subject to the effects of global economic conditions and, in particular, market conditions in the communications, media and entertainment industry. In the three months ended December 31, 2009, customers in North America accounted for 75.6% of our revenue, while customers in Europe and the rest of the world accounted for 12.3% and 12.1%, respectively. We maintain development facilities in China, Cyprus, India, Ireland, Israel and the United States.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derive our revenue principally from:</w:t>
      </w:r>
    </w:p>
    <w:p>
      <w:pPr>
        <w:spacing w:after="0" w:line="117"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the initial sales of licenses to use our products and related services, including modification, implementation, integration and customization services,</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managed services in our domain expertise and other related services, and</w:t>
      </w:r>
    </w:p>
    <w:p>
      <w:pPr>
        <w:spacing w:after="0" w:line="130"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00" w:firstLine="225"/>
        <w:spacing w:after="0" w:line="269" w:lineRule="auto"/>
        <w:rPr>
          <w:sz w:val="20"/>
          <w:szCs w:val="20"/>
          <w:color w:val="auto"/>
        </w:rPr>
      </w:pPr>
      <w:r>
        <w:rPr>
          <w:rFonts w:ascii="Arial" w:cs="Arial" w:eastAsia="Arial" w:hAnsi="Arial"/>
          <w:sz w:val="17"/>
          <w:szCs w:val="17"/>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or volume of data processed,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72"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62" w:lineRule="exact"/>
        <w:rPr>
          <w:sz w:val="20"/>
          <w:szCs w:val="20"/>
          <w:color w:val="auto"/>
        </w:rPr>
      </w:pPr>
    </w:p>
    <w:p>
      <w:pPr>
        <w:jc w:val="both"/>
        <w:ind w:right="300" w:firstLine="215"/>
        <w:spacing w:after="0" w:line="312" w:lineRule="auto"/>
        <w:rPr>
          <w:sz w:val="20"/>
          <w:szCs w:val="20"/>
          <w:color w:val="auto"/>
        </w:rPr>
      </w:pPr>
      <w:r>
        <w:rPr>
          <w:rFonts w:ascii="Arial" w:cs="Arial" w:eastAsia="Arial" w:hAnsi="Arial"/>
          <w:sz w:val="16"/>
          <w:szCs w:val="16"/>
          <w:color w:val="auto"/>
        </w:rPr>
        <w:t>A significant portion of our revenue is recognized over the course of long-term projects under the percentage of completion method of accounting. The percentage of completion method requires the exercise of judgment, such as with respect to estimations of progress-to-completion, contract revenue, loss contracts and contract costs. Progress in completing such projects may significantly affect our annual and quarterly operating results.</w:t>
      </w:r>
    </w:p>
    <w:p>
      <w:pPr>
        <w:spacing w:after="0" w:line="39"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Revenue from managed services arrangements is included in both license and service revenue and includes IT and infrastructure management, application management and ongoing support, systems modernization and consolidation, business process operations support and end-to-end transformational business process outsourcing. Revenue generated in connection with managed services arrangements is a significant part of our business, accounting for approximately 45% and 40% of our total revenue in the three months ended December 31, 2009 and 2008, respectively and generating substantial, long-term revenue streams, cash flow and operating income. In the initial period of our managed services projects, we generally invest in modernization and consolidation of the customer’s systems. Invoices are usually structured on a periodic fixed or unit charge basis. Managed services projects can be less profitable in the initial period, however, margins tend to improve over time as we derive benefit from the operational efficiencies and from changes in the geographical mix of our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In January 2010, the Financial Accounting Standards Board, or FASB, issued guidance to amend the disclosure requirements of fair value measurements. The guidance requires new disclosures on the transfers of assets and liabilities between Level 1 and Level 2 of the fair value measurement hierarchy, including the reasons for the transfers, the reasons for any transfer in or out of Level 3 of the fair value measurement hierarchy and a roll forward of activities on purchases, sales, issuance, and settlements of recurring assets and liabilities measured at Level 3 of the fair value measurement hierarchy. In addition to these new disclosure requirements the new guidance also clarifies certain existing disclosure requirements. The guidance became effective for us beginning January 1, 2010, except for the disclosure on the roll forward activities for Level 3 fair value measurements, which will become effective for us beginning October 1, 2011. Other than requiring additional disclosures, adoption of this new guidance will not have a material impact on our financial statements.</w:t>
      </w:r>
    </w:p>
    <w:p>
      <w:pPr>
        <w:spacing w:after="0" w:line="5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June 2009, the FASB issued authoritative guidance on the consolidation of variable interest entities, which is effective for us beginning October 1, 2010. The new guidance requires revised evaluations of whether entities represent variable interest entities, ongoing assessments of control over such entities, and additional disclosures for variable interests. Based on our current operations we believe that the adoption of this new guidance will not have a material impact on our financial statements.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21"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In October 2009, the FASB issued authoritative guidance for revenue recognition relating to arrangements containing both hardware and software elements. Under the new guidance, tangible products that have software components that are essential to the functionality of the tangible product will no longer be within the scope of the software revenue recognition guidance, and will now be subject to other relevant revenue recognition guidance. Additionally, the FASB updated its authoritative guidance for revenue arrangements with multiple deliverables that are outside the scope of the software revenue recognition guidance. The revised guidance eliminates the requirement that “objective and reliable” evidence of fair value exist for an undelivered item in order for a delivered item to be treated as a specific unit of accounting. In addition, the guidance modifies the methodology to allocate transaction consideration to each identified unit of accounting by allowing the use of management’s best estimate of selling price for individual elements of an arrangement when vendor specific objective evidence, or VSOE, of fair value or third-party evidence of selling price is unavailable. This results in the elimination of the residual method of allocating revenue consideration. We elected to early adopt the pronouncements at the beginning of our first quarter of fiscal 2010 on a prospective basis for applicable transactions originating or materially modified after October 1, 2009. This guidance does not generally change the units of accounting in our revenue arrangements or the methodology by which transaction consideration is allocated to the various units of accounting due to the fact that for the majority of our multiple deliverables arrangements entered into prior to the first quarter of fiscal 2010, we allocated transaction consideration for purposes of revenue recognition to each identified unit of accounting based upon its relative fair value, determined using VSOE. The new accounting standards for revenue recognition if applied to the year ended September 30, 2009 would not have had a material impact on our results of operations or financial position for that fiscal year. In addition, the adoption of the new guidance did not have a material impact on our results of operations or financial position in the first quarter of fiscal 2010.</w:t>
      </w:r>
    </w:p>
    <w:p>
      <w:pPr>
        <w:spacing w:after="0" w:line="7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Effective October 1, 2009, we adopted the new earnings per share authoritative guidance that provides that unvested share-based payment awards that contain nonforfeitable rights to dividends or dividend equivalents are considered participating securities. As such, they should be included in the computation of basic earnings per share, or EPS, using the two-class method. Prior-period EPS data presented have been adjusted retroactively, and this adjustment reduced basic earnings per share by $0.01 for the three months ended December 31, 2008.</w:t>
      </w:r>
    </w:p>
    <w:p>
      <w:pPr>
        <w:spacing w:after="0" w:line="79"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Effective October 1, 2009, we adopted the fair value measurements guidance for non-financial assets and non-financial liabilities, except those that are recognized or disclosed in the financial statements at fair value on a recurring basis (at least annually). The adoption of this accounting guidance did not have a material impact on our results of operations or financial position.</w:t>
      </w:r>
    </w:p>
    <w:p>
      <w:pPr>
        <w:spacing w:after="0" w:line="73"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Effective October 1, 2009, we adopted the revised accounting guidance for business combinations. This guidance significantly changes the accounting for business combinations and establishes principles and requirements for how an acquirer recognizes and measures in its financial statements the identifiable assets acquired, the liabilities assumed and any noncontrolling interest in the acquiree and recognizes and measures the goodwill acquired in the business combination or a gain from a bargain purchase. Among the more significant changes, acquired in-process research and development will be capitalized and upon completion amortized over its useful life; acquisition costs will be expensed as incurred; restructuring costs will generally be expensed in periods after the acquisition date; contingent consideration will be recognized at fair value at the acquisition date with subsequent changes recognized in earnings, and reductions in deferred tax valuation allowance relating to a business acquisition will be recognized in earnings. In April 2009, the FASB issued an amendment to the revised business combination guidance regarding the accounting for assets acquired and liabilities assumed in a business combination that arise from contingencies. The impact of this accounting guidance on our results of operations or financial position will vary depending on each specific business combination. This guidance did not have a material impact on our results of operations or financial position in the first quarter of fiscal 2010.</w:t>
      </w:r>
    </w:p>
    <w:p>
      <w:pPr>
        <w:spacing w:after="0" w:line="61" w:lineRule="exact"/>
        <w:rPr>
          <w:sz w:val="20"/>
          <w:szCs w:val="20"/>
          <w:color w:val="auto"/>
        </w:rPr>
      </w:pPr>
    </w:p>
    <w:p>
      <w:pPr>
        <w:ind w:right="300" w:firstLine="225"/>
        <w:spacing w:after="0" w:line="302" w:lineRule="auto"/>
        <w:rPr>
          <w:sz w:val="20"/>
          <w:szCs w:val="20"/>
          <w:color w:val="auto"/>
        </w:rPr>
      </w:pPr>
      <w:r>
        <w:rPr>
          <w:rFonts w:ascii="Arial" w:cs="Arial" w:eastAsia="Arial" w:hAnsi="Arial"/>
          <w:sz w:val="16"/>
          <w:szCs w:val="16"/>
          <w:color w:val="auto"/>
        </w:rPr>
        <w:t>Effective October 1, 2009, we adopted the guidance that changes the accounting and reporting for noncontrolling (minority) interests in consolidated financial statements, including the requirement to classify noncontrolling interests as a component of consolidated stockholders’ equity, the elimination of “minority interest” accounting in results of operations and changes in the accounting for both increases and decreases in a parent’s controlling ownership interest. The adoption of this accounting guidance had no impact on our consolidated results of operations and financial position.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following table sets forth for the three months ended December 31, 2009 and 2008, certain items in our consolidated statements of income reflected as a percentage of total revenue:</w:t>
      </w:r>
    </w:p>
    <w:p>
      <w:pPr>
        <w:spacing w:after="0" w:line="162"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Three months ended</w:t>
      </w:r>
    </w:p>
    <w:p>
      <w:pPr>
        <w:jc w:val="center"/>
        <w:ind w:left="87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License</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3.3%</w:t>
            </w:r>
          </w:p>
        </w:tc>
        <w:tc>
          <w:tcPr>
            <w:tcW w:w="1600" w:type="dxa"/>
            <w:vAlign w:val="bottom"/>
            <w:gridSpan w:val="4"/>
          </w:tcPr>
          <w:p>
            <w:pPr>
              <w:jc w:val="right"/>
              <w:ind w:right="1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96.7</w:t>
            </w:r>
          </w:p>
        </w:tc>
        <w:tc>
          <w:tcPr>
            <w:tcW w:w="16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34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63.8</w:t>
            </w:r>
          </w:p>
        </w:tc>
        <w:tc>
          <w:tcPr>
            <w:tcW w:w="16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8"/>
                <w:szCs w:val="18"/>
                <w:color w:val="auto"/>
              </w:rPr>
            </w:pPr>
          </w:p>
        </w:tc>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12.6</w:t>
            </w:r>
          </w:p>
        </w:tc>
        <w:tc>
          <w:tcPr>
            <w:tcW w:w="16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and in-process research and development</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34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13.7</w:t>
            </w:r>
          </w:p>
        </w:tc>
        <w:tc>
          <w:tcPr>
            <w:tcW w:w="16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Interest (expense) income and other, net</w:t>
            </w:r>
          </w:p>
        </w:tc>
        <w:tc>
          <w:tcPr>
            <w:tcW w:w="3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w:t>
            </w:r>
          </w:p>
        </w:tc>
        <w:tc>
          <w:tcPr>
            <w:tcW w:w="16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Three Months Ended December 31, 2009 and 2008</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is a tabular presentation of our results of operations for the three months ended December 31, 2009 compared to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 Following the table is a discussion and analysis of our business and results of operations for such periods: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rPr>
              <w:t>Amount</w:t>
            </w: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License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24,150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44,601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(20,451)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700,661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709,238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(8,577)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724,811</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753,839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(29,028)</w:t>
            </w:r>
          </w:p>
        </w:tc>
        <w:tc>
          <w:tcPr>
            <w:tcW w:w="6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442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(549)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462,215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484,051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(21,836)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50,106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56,229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(6,123)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91,580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90,265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1,315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21,319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20,254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1,065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 and in-process research and development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(20,780)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625,662</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672,570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(46,908)</w:t>
            </w:r>
          </w:p>
        </w:tc>
        <w:tc>
          <w:tcPr>
            <w:tcW w:w="6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99,149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81,269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17,880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Interest (expense) income and other, net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(2,950)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98,434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83,504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14,930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Income taxes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10,081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9,257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824</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88,353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74,247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14,106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Total revenue decreased by $29.0 million, or 3.9%, to $724.8 million in the three months ended December 31, 2009, from $753.8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December 31, 2008. In the three months ended December 31, 2009, we continued to experience increased demand; however, the slower pace of new project signings and fewer transformation projects that we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experienced throughout 2009 impacted our revenue in the three months ended December 31, 2009, and resulted in a decrease in revenue compared to the three months ended December 31, 2008. The decrease was partially offset by increases in revenue from managed services telecommunication customers.</w:t>
      </w:r>
    </w:p>
    <w:p>
      <w:pPr>
        <w:spacing w:after="0" w:line="16"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License revenue in the three months ended December 31, 2009 decreased by $20.5 million, or 45.9%, to $24.2 million in the three months ended December 31, 2009, from $44.6 million in the three months ended December 31, 2008, primarily due to our completion of some projects and the impact of the slower pace of new project signings throughout 2009.</w:t>
      </w:r>
    </w:p>
    <w:p>
      <w:pPr>
        <w:spacing w:after="0" w:line="73" w:lineRule="exact"/>
        <w:rPr>
          <w:sz w:val="20"/>
          <w:szCs w:val="20"/>
          <w:color w:val="auto"/>
        </w:rPr>
      </w:pPr>
    </w:p>
    <w:p>
      <w:pPr>
        <w:jc w:val="both"/>
        <w:ind w:right="80" w:firstLine="225"/>
        <w:spacing w:after="0" w:line="276" w:lineRule="auto"/>
        <w:rPr>
          <w:sz w:val="20"/>
          <w:szCs w:val="20"/>
          <w:color w:val="auto"/>
        </w:rPr>
      </w:pPr>
      <w:r>
        <w:rPr>
          <w:rFonts w:ascii="Arial" w:cs="Arial" w:eastAsia="Arial" w:hAnsi="Arial"/>
          <w:sz w:val="17"/>
          <w:szCs w:val="17"/>
          <w:color w:val="auto"/>
        </w:rPr>
        <w:t>License and service revenue attributable to the sale of customer experience systems was $678.4 million in the three months ended December 31, 2009, a decrease of $22.6 million, or 3.2%, as compared to the three months ended December 31, 2008. The decrease was primarily attributable to the impact of the slower pace of new project signings and fewer transformation deals we experienced throughout 2009, partially offset by increases in revenue from managed services customers. License and service revenue resulting from the sale of customer experience systems represented 93.6% and 93.0% of our total revenue in the three months ended December 31, 2009 and 2008, respectively.</w:t>
      </w:r>
    </w:p>
    <w:p>
      <w:pPr>
        <w:spacing w:after="0" w:line="64"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License and service revenue attributable to the sale of directory systems was $46.4 million in the three months ended December 31, 2009, a decrease of $6.4 million, or 12.2%, as compared to the three months ended December 31, 2008. The decrease was primarily attributable to a decrease in revenue from existing directory systems customers. License and service revenue from the sale of directory systems represented 6.4% and 7.0% of our total revenue in the three months ended December 31, 2009 and 2008, respectively.</w:t>
      </w:r>
    </w:p>
    <w:p>
      <w:pPr>
        <w:spacing w:after="0" w:line="79"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In the three months ended December 31, 2009, revenue from customers in North America, Europe and the rest of the world accounted for 75.6%, 12.3% and 12.1%, respectively, of total revenue compared to 74.5%, 14.8% and 10.7%, respectively, in the three months ended December 31, 2008. Revenue from customers in North America as a percentage of total revenue increased because revenue from customers in North America in absolute amounts decreased less than the 3.9% decrease in total revenue. The decrease in revenue from customers in Europe was primarily attributable to completion of projects and a slower pace of new project signings throughout 2009. Revenue from customers in the rest of the world in absolute amounts slightly increased, which resulted in an increase in revenue from customers in rest of the world as a percentage of total revenue.</w:t>
      </w:r>
    </w:p>
    <w:p>
      <w:pPr>
        <w:spacing w:after="0" w:line="70"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b w:val="1"/>
          <w:bCs w:val="1"/>
          <w:i w:val="1"/>
          <w:iCs w:val="1"/>
          <w:color w:val="auto"/>
        </w:rPr>
        <w:t>Cost of License and Service</w:t>
      </w:r>
      <w:r>
        <w:rPr>
          <w:rFonts w:ascii="Arial" w:cs="Arial" w:eastAsia="Arial" w:hAnsi="Arial"/>
          <w:sz w:val="17"/>
          <w:szCs w:val="17"/>
          <w:color w:val="auto"/>
        </w:rPr>
        <w:t>. Cost of license includes fee and royalty payments to software suppliers. Cost of service consists primarily of costs associated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providing services to customers, including compensation expense and costs of third-party products. The decrease in cost of license and service in the three months ended December 31, 2009 was $22.4 million, or 4.6%, which is higher than the decrease in our total revenue in the first quarter of fiscal 2010. As a percentage of revenue, cost of license and service was 63.9% in the three months ended December 31, 2009, compared to 64.3% in the three months ended December 31, 2008. Our cost of service as a percentage of revenue, in the three months ended December 31, 2009, was affected by the impact of our cost savings programs in the fourth quarter of fiscal 2008 and first quarter of fiscal 2009, including reductions in headcount and subcontractors, our expansion into lower cost jurisdictions, and higher margins from existing managed services arrangements. Margins from existing managed services tend to improve over time as we realize synergies, create cost efficiencies and improve business processes.</w:t>
      </w:r>
    </w:p>
    <w:p>
      <w:pPr>
        <w:spacing w:after="0" w:line="71" w:lineRule="exact"/>
        <w:rPr>
          <w:sz w:val="20"/>
          <w:szCs w:val="20"/>
          <w:color w:val="auto"/>
        </w:rPr>
      </w:pPr>
    </w:p>
    <w:p>
      <w:pPr>
        <w:ind w:right="260" w:firstLine="225"/>
        <w:spacing w:after="0" w:line="307" w:lineRule="auto"/>
        <w:rPr>
          <w:sz w:val="20"/>
          <w:szCs w:val="20"/>
          <w:color w:val="auto"/>
        </w:rPr>
      </w:pPr>
      <w:r>
        <w:rPr>
          <w:rFonts w:ascii="Arial" w:cs="Arial" w:eastAsia="Arial" w:hAnsi="Arial"/>
          <w:sz w:val="15"/>
          <w:szCs w:val="15"/>
          <w:b w:val="1"/>
          <w:bCs w:val="1"/>
          <w:i w:val="1"/>
          <w:iCs w:val="1"/>
          <w:color w:val="auto"/>
        </w:rPr>
        <w:t>Research and Development</w:t>
      </w:r>
      <w:r>
        <w:rPr>
          <w:rFonts w:ascii="Arial" w:cs="Arial" w:eastAsia="Arial" w:hAnsi="Arial"/>
          <w:sz w:val="15"/>
          <w:szCs w:val="15"/>
          <w:color w:val="auto"/>
        </w:rPr>
        <w:t>. Research and development expense is primarily comprised of compensation expense. Research and development expense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decreased by $6.1million, or 10.9%, to $50.1 million in the three months ended December 31, 2009, from $56.2 million in the three months ended December 31, 2008. Research and development expense decreased as a percentage of revenue from 7.5% in the three months ended December 31, 2008 to</w:t>
      </w:r>
    </w:p>
    <w:p>
      <w:pPr>
        <w:spacing w:after="0" w:line="1"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6.9% in the three months ended December 31, 2009. The decrease was primarily a result of changes in the geographical mix of our research and development resources as well as foreign exchange impacts.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5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 increased by $1.3 million, or 1.5%, to $91.6 million in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2009, from $90.3 million in the three months ended December 31, 2008. Selling, general and administrative expense is primarily comprised of compensation expense and was relatively stable in absolute amounts in the three months ended December 31, 2009 compared to the three months ended December 31, 2008.</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100" w:firstLine="225"/>
        <w:spacing w:after="0" w:line="309" w:lineRule="auto"/>
        <w:rPr>
          <w:sz w:val="20"/>
          <w:szCs w:val="20"/>
          <w:color w:val="auto"/>
        </w:rPr>
      </w:pPr>
      <w:r>
        <w:rPr>
          <w:rFonts w:ascii="Arial" w:cs="Arial" w:eastAsia="Arial" w:hAnsi="Arial"/>
          <w:sz w:val="15"/>
          <w:szCs w:val="15"/>
          <w:b w:val="1"/>
          <w:bCs w:val="1"/>
          <w:i w:val="1"/>
          <w:iCs w:val="1"/>
          <w:color w:val="auto"/>
        </w:rPr>
        <w:t>Restructuring Charges and In-Process Research and Development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Restructuring charges and in-process research and development in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December 31, 2008 consisted of a $15.1 million restructuring charge related primarily to our restructuring plan in the first quarter of fiscal 2009 and a $5.7 million charge for the write-off of purchased in-process research and development related to a small acquisition during the first quarter of fiscal 2009.</w:t>
      </w:r>
    </w:p>
    <w:p>
      <w:pPr>
        <w:ind w:right="440"/>
        <w:spacing w:after="0" w:line="261" w:lineRule="auto"/>
        <w:rPr>
          <w:sz w:val="20"/>
          <w:szCs w:val="20"/>
          <w:color w:val="auto"/>
        </w:rPr>
      </w:pPr>
      <w:r>
        <w:rPr>
          <w:rFonts w:ascii="Arial" w:cs="Arial" w:eastAsia="Arial" w:hAnsi="Arial"/>
          <w:sz w:val="18"/>
          <w:szCs w:val="18"/>
          <w:color w:val="auto"/>
        </w:rPr>
        <w:t>Effective October 1, 2009, we adopted the revised accounting guidance for business combinations and as a result will capitalize in-process research and development in future acquisitions.</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Operating Income</w:t>
      </w:r>
      <w:r>
        <w:rPr>
          <w:rFonts w:ascii="Arial" w:cs="Arial" w:eastAsia="Arial" w:hAnsi="Arial"/>
          <w:sz w:val="17"/>
          <w:szCs w:val="17"/>
          <w:color w:val="auto"/>
        </w:rPr>
        <w:t>. Operating income increased by $17.9 million, or 22.0%, to $99.1 million in the three months ended December 31, 2009,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$81.3 million in the three months ended December 31, 2008. The increase in operating income was primarily attributable to the effects of our cost savings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programs, our expansion into lower cost jurisdictions, higher margins from existing managed services arrangements and the restructuring and in-process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charges in the three months ended December 31, 2008, partially offset by the decrease in revenue.</w:t>
      </w:r>
    </w:p>
    <w:p>
      <w:pPr>
        <w:spacing w:after="0" w:line="103"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Income and Other, Net. </w:t>
      </w:r>
      <w:r>
        <w:rPr>
          <w:rFonts w:ascii="Arial" w:cs="Arial" w:eastAsia="Arial" w:hAnsi="Arial"/>
          <w:sz w:val="18"/>
          <w:szCs w:val="18"/>
          <w:color w:val="auto"/>
        </w:rPr>
        <w:t>Interest income and other, net decreased by $3.0 million to an expense of $0.7 million in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2009, from income of $2.2 million in the three months ended December 31, 2008. The decrease in interest income and other, net, is primarily attributable to lower income on our short-term interest-bearing investments, net gains resulting from our repurchase of our convertible notes in the first quarter of fiscal 2009, as well as foreign exchange impacts.</w:t>
      </w:r>
    </w:p>
    <w:p>
      <w:pPr>
        <w:spacing w:after="0" w:line="79"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December 31, 2009 were $10.1 million on pretax income of $98.4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10.2%, compared to 11.1% in the three months ended December 31, 2008. Of the decrease in our effective tax rate, approximately 3.9% was attributable to changes in the tax reserves, approximately 1.2% was attributable to the net effect of acquisition-related costs (which include amortization of purchased intangible assets, and in-process research and development), which was partially offset by approximately 2.7% attributable to restructuring charges recorded in the three months ended December 31, 2008, and approximately 1.5% attributable to the geographical distribution of earnings from global operations. Our effective tax rate may fluctuate between quarters as a result of discrete items that may affect a specific quarter.</w:t>
      </w:r>
    </w:p>
    <w:p>
      <w:pPr>
        <w:spacing w:after="0" w:line="70" w:lineRule="exact"/>
        <w:rPr>
          <w:sz w:val="20"/>
          <w:szCs w:val="20"/>
          <w:color w:val="auto"/>
        </w:rPr>
      </w:pPr>
    </w:p>
    <w:p>
      <w:pPr>
        <w:ind w:right="400" w:firstLine="225"/>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was $88.4 million in the three months ended December 31, 2009, compared to $74.2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2008. The increase in net income was attributable primarily to the increase in operating income, partially offset by the decrease in interest (expense) income and other, net.</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$0.08, or 22.9%, to $0.43 in the three months ended December 31, 2009, from $0.35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three months ended December 31, 2008. The increase in diluted earnings per share resulted primarily from the increase in net income and the decrease in diluted weighted average numbers of shares outstanding resulting primarily from the repurchase and redemption of our convertible notes during fiscal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00" w:firstLine="225"/>
        <w:spacing w:after="0" w:line="279" w:lineRule="auto"/>
        <w:rPr>
          <w:sz w:val="20"/>
          <w:szCs w:val="20"/>
          <w:color w:val="auto"/>
        </w:rPr>
      </w:pPr>
      <w:r>
        <w:rPr>
          <w:rFonts w:ascii="Arial" w:cs="Arial" w:eastAsia="Arial" w:hAnsi="Arial"/>
          <w:sz w:val="17"/>
          <w:szCs w:val="17"/>
          <w:color w:val="auto"/>
        </w:rPr>
        <w:t>Cash, cash equivalents and short-term interest-bearing investments totaled $1,292.1 million as of December 31, 2009, compared to $1,173.0 million as of September 30, 2009. The increase in the first quarter of fiscal 2010 was mainly attributable to $193.5 million in positive cash flow from operations, partially offset by $56.5 in net cash paid for acquisitions and $23.8 million for capital expenditures. Net cash provided by operating activities amounted to $193.5 million and $142.5 million for the three months ended December 31, 2009 and 2008, respectively.</w:t>
      </w:r>
    </w:p>
    <w:p>
      <w:pPr>
        <w:spacing w:after="0" w:line="63"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Our policy is to retain substantial cash balances in order to support our growth. We believe that our current cash balances, cash generated from operations, and our current lines of credit will provide sufficient resources to meet our operational needs for at least the next fiscal year.</w:t>
      </w:r>
    </w:p>
    <w:p>
      <w:pPr>
        <w:spacing w:after="0" w:line="62"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Our interest-bearing investments are classified as available-for-sale securities. Unrealized gains or losses are reported as a separate component of accumulated other comprehensive income, net of tax. Such short-term interest-bearing investments consist primarily of money market funds, U.S. government treasuries, U.S. agency securities and government guaranteed debt. We have conservative investment policy guidelines and consistent with these guidelines, in prior years, we also purchased AAA-rated asset-backed obligations and mortgages. Our interest-bearing investments are stated at fair value. Our interest-bearing investments are priced by pricing vendors and are classified as Level 1 or Level 2 investments, since these vendors either provide a quoted market price in an active market or use observable inputs. During the first quarter of fiscal 2010, we recognized a credit loss of $0.3 million. As of</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December 31, 2009, unrealized losses of $2.8 million related to other-than-temporarily impaired securities was included in accumulated other comprehensive income. Please see Notes 4 and 5 to the consolidated financial statements.</w:t>
      </w:r>
    </w:p>
    <w:p>
      <w:pPr>
        <w:spacing w:after="0" w:line="62"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 November 2007, we entered into an unsecured $500 million five-year revolving credit facility with a syndicate of banks, which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on our credit rating. As of December 31, 2009, we were in compliance with the financial covenants under the revolving credit facility and had no outstanding borrowings under this facility.</w:t>
      </w:r>
    </w:p>
    <w:p>
      <w:pPr>
        <w:spacing w:after="0" w:line="80" w:lineRule="exact"/>
        <w:rPr>
          <w:sz w:val="20"/>
          <w:szCs w:val="20"/>
          <w:color w:val="auto"/>
        </w:rPr>
      </w:pPr>
    </w:p>
    <w:p>
      <w:pPr>
        <w:ind w:right="120" w:firstLine="215"/>
        <w:spacing w:after="0" w:line="277" w:lineRule="auto"/>
        <w:rPr>
          <w:sz w:val="20"/>
          <w:szCs w:val="20"/>
          <w:color w:val="auto"/>
        </w:rPr>
      </w:pPr>
      <w:r>
        <w:rPr>
          <w:rFonts w:ascii="Arial" w:cs="Arial" w:eastAsia="Arial" w:hAnsi="Arial"/>
          <w:sz w:val="18"/>
          <w:szCs w:val="18"/>
          <w:color w:val="auto"/>
        </w:rPr>
        <w:t>As of December 31, 2009, we had outstanding letters of credit and bank guarantees from various banks totaling $37.8 million. As of December 31, 2009, we had outstanding obligations of $0.8 million in connection with leasing arrangements.</w:t>
      </w:r>
    </w:p>
    <w:p>
      <w:pPr>
        <w:spacing w:after="0" w:line="62" w:lineRule="exact"/>
        <w:rPr>
          <w:sz w:val="20"/>
          <w:szCs w:val="20"/>
          <w:color w:val="auto"/>
        </w:rPr>
      </w:pPr>
    </w:p>
    <w:p>
      <w:pPr>
        <w:jc w:val="both"/>
        <w:ind w:right="180" w:firstLine="222"/>
        <w:spacing w:after="0" w:line="286" w:lineRule="auto"/>
        <w:rPr>
          <w:sz w:val="20"/>
          <w:szCs w:val="20"/>
          <w:color w:val="auto"/>
        </w:rPr>
      </w:pPr>
      <w:r>
        <w:rPr>
          <w:rFonts w:ascii="Arial" w:cs="Arial" w:eastAsia="Arial" w:hAnsi="Arial"/>
          <w:sz w:val="17"/>
          <w:szCs w:val="17"/>
          <w:color w:val="auto"/>
        </w:rPr>
        <w:t>We have contractual obligations for our non-cancelable operating leases, purchase obligations, pension funding and convertible notes summarized in the tabular disclosure of contractual obligations in our Annual Report on Form 20-F for our fiscal year ended September 30, 2009. Since September 30, 2009, there have been no material changes in our contractual obligations other than in the ordinary course of our business.</w:t>
      </w:r>
    </w:p>
    <w:p>
      <w:pPr>
        <w:spacing w:after="0" w:line="57"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Our capital expenditures were approximately $23.8 million in the three months ended December 31, 2009. Approximately 85% of these expenditures consisted of purchases of computer equipment, and the remainder attributable mainly to leasehold improvements. The capital expenditures in the three months ended December 31, 2009 were mainly attributable to investments in our operating facilities and our development centers around the world. Our policy is to fund our capital expenditures principally from operating cash flows and we do not anticipate any changes to this policy in the foreseeable future.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Fluctuations</w:t>
      </w:r>
    </w:p>
    <w:p>
      <w:pPr>
        <w:spacing w:after="0" w:line="121"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w:t>
      </w:r>
    </w:p>
    <w:p>
      <w:pPr>
        <w:spacing w:after="0" w:line="73"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During the three months ended December 31, 2009 and 2008, approximately 70% to 80% of our revenue and approximately 50% to 60% of our operating expenses were in U.S. dollars or linked to the U.S. dollar. If more customers will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on Form 6-K</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Company furnished or filed the following reports on Form 6-K during the three months ended December 31, 2009:</w:t>
      </w:r>
    </w:p>
    <w:p>
      <w:pPr>
        <w:spacing w:after="0" w:line="140"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Form 6-K dated November 5, 2009</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Form 6-K dated December 18, 2009</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 Authorized U.S. 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2010</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sectPr>
      <w:pgSz w:w="11900" w:h="16838" w:orient="portrait"/>
      <w:cols w:equalWidth="0" w:num="1">
        <w:col w:w="10520"/>
      </w:cols>
      <w:pgMar w:left="240" w:top="419"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3"/>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2019-12-10T17:28:07Z</dcterms:created>
  <dcterms:modified xsi:type="dcterms:W3CDTF">2019-12-10T17:28:07Z</dcterms:modified>
</cp:coreProperties>
</file>