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6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4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gridSpan w:val="3"/>
          </w:tcPr>
          <w:p>
            <w:pPr>
              <w:jc w:val="center"/>
              <w:ind w:right="2720"/>
              <w:spacing w:after="0"/>
              <w:rPr>
                <w:sz w:val="20"/>
                <w:szCs w:val="20"/>
                <w:color w:val="auto"/>
              </w:rPr>
            </w:pPr>
            <w:r>
              <w:rPr>
                <w:rFonts w:ascii="Arial" w:cs="Arial" w:eastAsia="Arial" w:hAnsi="Arial"/>
                <w:sz w:val="18"/>
                <w:szCs w:val="18"/>
                <w:color w:val="auto"/>
              </w:rPr>
              <w:t>AMDOCS LIMITED</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w w:val="97"/>
              </w:rPr>
              <w:t>FORM 6-K</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gridSpan w:val="5"/>
          </w:tcPr>
          <w:p>
            <w:pPr>
              <w:jc w:val="center"/>
              <w:ind w:right="1860"/>
              <w:spacing w:after="0"/>
              <w:rPr>
                <w:sz w:val="20"/>
                <w:szCs w:val="20"/>
                <w:color w:val="auto"/>
              </w:rPr>
            </w:pPr>
            <w:r>
              <w:rPr>
                <w:rFonts w:ascii="Arial" w:cs="Arial" w:eastAsia="Arial" w:hAnsi="Arial"/>
                <w:sz w:val="18"/>
                <w:szCs w:val="18"/>
                <w:color w:val="auto"/>
                <w:w w:val="92"/>
              </w:rPr>
              <w:t>REPORT OF FOREIGN PRIVATE ISSUER</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6"/>
          </w:tcPr>
          <w:p>
            <w:pPr>
              <w:jc w:val="center"/>
              <w:ind w:right="1580"/>
              <w:spacing w:after="0"/>
              <w:rPr>
                <w:sz w:val="20"/>
                <w:szCs w:val="20"/>
                <w:color w:val="auto"/>
              </w:rPr>
            </w:pPr>
            <w:r>
              <w:rPr>
                <w:rFonts w:ascii="Arial" w:cs="Arial" w:eastAsia="Arial" w:hAnsi="Arial"/>
                <w:sz w:val="18"/>
                <w:szCs w:val="18"/>
                <w:color w:val="auto"/>
                <w:w w:val="94"/>
              </w:rPr>
              <w:t>FOR THE QUARTER ENDED MARCH 31, 2016</w:t>
            </w:r>
          </w:p>
        </w:tc>
        <w:tc>
          <w:tcPr>
            <w:tcW w:w="19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gridSpan w:val="2"/>
          </w:tcPr>
          <w:p>
            <w:pPr>
              <w:jc w:val="center"/>
              <w:ind w:right="2940"/>
              <w:spacing w:after="0"/>
              <w:rPr>
                <w:sz w:val="20"/>
                <w:szCs w:val="20"/>
                <w:color w:val="auto"/>
              </w:rPr>
            </w:pPr>
            <w:r>
              <w:rPr>
                <w:rFonts w:ascii="Arial" w:cs="Arial" w:eastAsia="Arial" w:hAnsi="Arial"/>
                <w:sz w:val="18"/>
                <w:szCs w:val="18"/>
                <w:color w:val="auto"/>
              </w:rPr>
              <w:t>INDEX</w:t>
            </w:r>
          </w:p>
        </w:tc>
        <w:tc>
          <w:tcPr>
            <w:tcW w:w="1980" w:type="dxa"/>
            <w:vAlign w:val="bottom"/>
          </w:tcPr>
          <w:p>
            <w:pPr>
              <w:spacing w:after="0"/>
              <w:rPr>
                <w:sz w:val="24"/>
                <w:szCs w:val="24"/>
                <w:color w:val="auto"/>
              </w:rPr>
            </w:pPr>
          </w:p>
        </w:tc>
      </w:tr>
      <w:tr>
        <w:trPr>
          <w:trHeight w:val="419"/>
        </w:trPr>
        <w:tc>
          <w:tcPr>
            <w:tcW w:w="93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0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898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8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160" w:type="dxa"/>
            <w:vAlign w:val="bottom"/>
            <w:gridSpan w:val="7"/>
          </w:tcPr>
          <w:p>
            <w:pPr>
              <w:spacing w:after="0"/>
              <w:rPr>
                <w:sz w:val="16"/>
                <w:szCs w:val="16"/>
                <w:color w:val="auto"/>
              </w:rPr>
            </w:pPr>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8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52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34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Operating and Financial Review and Prospects</w:t>
              </w:r>
            </w:hyperlink>
          </w:p>
        </w:tc>
        <w:tc>
          <w:tcPr>
            <w:tcW w:w="50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PART II OTHER INFORMATION</w:t>
              </w:r>
            </w:hyperlink>
          </w:p>
        </w:tc>
        <w:tc>
          <w:tcPr>
            <w:tcW w:w="6800" w:type="dxa"/>
            <w:vAlign w:val="bottom"/>
            <w:gridSpan w:val="9"/>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8440" w:type="dxa"/>
            <w:vAlign w:val="bottom"/>
            <w:gridSpan w:val="14"/>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Changes in Securities, Use of Proceeds and Issuer Purchases of Equity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586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Reports on Form 6-K</w:t>
              </w:r>
            </w:hyperlink>
          </w:p>
        </w:tc>
        <w:tc>
          <w:tcPr>
            <w:tcW w:w="258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34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823,456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326,629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318,439</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714,784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150,733</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158,633</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2,107,610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2,378,162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311,723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309,320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80,130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2,047,782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2,049,093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221,490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252,517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255,430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5,091,527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579,281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608,827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224,232</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198,470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1,142,203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1,363,503</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305,985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1,616,544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1,917,810</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269,962 and 267,777 issued and 149,765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tcPr>
          <w:p>
            <w:pPr>
              <w:ind w:left="540"/>
              <w:spacing w:after="0"/>
              <w:rPr>
                <w:sz w:val="20"/>
                <w:szCs w:val="20"/>
                <w:color w:val="auto"/>
              </w:rPr>
            </w:pPr>
            <w:r>
              <w:rPr>
                <w:rFonts w:ascii="Arial" w:cs="Arial" w:eastAsia="Arial" w:hAnsi="Arial"/>
                <w:sz w:val="18"/>
                <w:szCs w:val="18"/>
                <w:color w:val="auto"/>
              </w:rPr>
              <w:t>151,150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3,271,971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3,182,573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Treasury stock, at cost 120,197 and 116,627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(3,811,713)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(3,611,105)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(16,753)</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4,001,587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3,847,796</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3,474,983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3,406,842</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5,091,527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600,116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580,571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1,195,684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1,154,017</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62,805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126,446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220,766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28,115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805,788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764,578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1,607,758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1,529,344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120,147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138,000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116,261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ind w:left="500"/>
              <w:spacing w:after="0"/>
              <w:rPr>
                <w:sz w:val="20"/>
                <w:szCs w:val="20"/>
                <w:color w:val="auto"/>
              </w:rPr>
            </w:pPr>
            <w:r>
              <w:rPr>
                <w:rFonts w:ascii="Arial" w:cs="Arial" w:eastAsia="Arial" w:hAnsi="Arial"/>
                <w:sz w:val="14"/>
                <w:szCs w:val="14"/>
                <w:b w:val="1"/>
                <w:bCs w:val="1"/>
                <w:color w:val="auto"/>
              </w:rPr>
              <w:t>March 31,</w:t>
            </w: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$107,720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$116,261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$208,562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$247,251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20,082</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1,826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25,229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(13,064)</w:t>
            </w:r>
          </w:p>
        </w:tc>
      </w:tr>
      <w:tr>
        <w:trPr>
          <w:trHeight w:val="223"/>
        </w:trPr>
        <w:tc>
          <w:tcPr>
            <w:tcW w:w="2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21,396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2,459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25,528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(12,628)</w:t>
            </w: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129,116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118,720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234,090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234,623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10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$(5,737) and $28 for the three months ended March 31, 2016 and 2015, respectively, and of $(6,720) and $3,288 for the six months ended March 31, 2016 and 2015, respectively.</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$(6) and $(2) for the three months ended March 31, 2016 and 2015, respectively, and of $4 and $6 for the six months ended March 31, 2016 and 2015,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Six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208,562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104,225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191,648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(121,224)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59,060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(407,566)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(408,833)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823,456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972,634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29,252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2015, set forth in the Company’s Annual Report on Form 20-F filed on December 10, 2015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 The Company’s prior year consolidated balance sheet as of September 30, 2015 reflects the reclassification of taxes receivable to prepaid expenses and other current assets, as well as current taxes payable to accrued expenses and other current liabilities to conform with the current period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March 2016, the Financial Accounting Standards Board, or FASB, issued an Accounting Standard Update, or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is currently evaluating the effect that adoption of this ASU will have on its consolidated financial statements.</w:t>
      </w:r>
    </w:p>
    <w:p>
      <w:pPr>
        <w:spacing w:after="0" w:line="15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substantive content of its consolidated financial statements.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The Company is evaluating the methods and timing of its adoption, as well as the effect that adoption of the new revenue standard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The Company prospectively adopted this ASU effective October 1, 2015 and, as such, the Company’s consolidated balance sheet as of September 30, 2015 does not reflect the reclassification of current deferred tax assets and liabilities as noncurrent amounts.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2016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As of March 31, 2016</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520"/>
              <w:spacing w:after="0" w:line="142"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$ 468,583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w w:val="92"/>
              </w:rPr>
              <w:t>$ 468,583</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2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120,426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120,426</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108,822</w:t>
            </w:r>
          </w:p>
        </w:tc>
        <w:tc>
          <w:tcPr>
            <w:tcW w:w="42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108,822</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37,654</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37,654</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29,174</w:t>
            </w: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29,174</w:t>
            </w: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24,955</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24,955</w:t>
            </w: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7,870</w:t>
            </w:r>
          </w:p>
        </w:tc>
        <w:tc>
          <w:tcPr>
            <w:tcW w:w="42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7,870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589,009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208,475</w:t>
            </w:r>
          </w:p>
        </w:tc>
        <w:tc>
          <w:tcPr>
            <w:tcW w:w="4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797,484</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11,352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11,352</w:t>
            </w:r>
          </w:p>
        </w:tc>
        <w:tc>
          <w:tcPr>
            <w:tcW w:w="8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$ 589,009</w:t>
            </w:r>
          </w:p>
        </w:tc>
        <w:tc>
          <w:tcPr>
            <w:tcW w:w="44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$ 219,827</w:t>
            </w:r>
          </w:p>
        </w:tc>
        <w:tc>
          <w:tcPr>
            <w:tcW w:w="4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$ 808,836</w:t>
            </w:r>
          </w:p>
        </w:tc>
      </w:tr>
      <w:tr>
        <w:trPr>
          <w:trHeight w:val="20"/>
        </w:trPr>
        <w:tc>
          <w:tcPr>
            <w:tcW w:w="4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 September 30, 2015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140" w:type="dxa"/>
            <w:vAlign w:val="bottom"/>
            <w:gridSpan w:val="4"/>
          </w:tcPr>
          <w:p>
            <w:pPr>
              <w:jc w:val="right"/>
              <w:ind w:right="40"/>
              <w:spacing w:after="0"/>
              <w:rPr>
                <w:sz w:val="20"/>
                <w:szCs w:val="20"/>
                <w:color w:val="auto"/>
              </w:rPr>
            </w:pPr>
            <w:r>
              <w:rPr>
                <w:rFonts w:ascii="Arial" w:cs="Arial" w:eastAsia="Arial" w:hAnsi="Arial"/>
                <w:sz w:val="18"/>
                <w:szCs w:val="18"/>
                <w:color w:val="auto"/>
              </w:rPr>
              <w:t>$ 470,286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$ 470,286</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117,452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117,452</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101,603</w:t>
            </w:r>
          </w:p>
        </w:tc>
        <w:tc>
          <w:tcPr>
            <w:tcW w:w="4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101,603</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45,181</w:t>
            </w: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45,181</w:t>
            </w: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29,215</w:t>
            </w:r>
          </w:p>
        </w:tc>
        <w:tc>
          <w:tcPr>
            <w:tcW w:w="4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29,215</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25,487</w:t>
            </w: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27,502</w:t>
            </w:r>
          </w:p>
        </w:tc>
        <w:tc>
          <w:tcPr>
            <w:tcW w:w="80" w:type="dxa"/>
            <w:vAlign w:val="bottom"/>
            <w:shd w:val="clear" w:color="auto" w:fill="CCEEFF"/>
          </w:tcPr>
          <w:p>
            <w:pPr>
              <w:spacing w:after="0"/>
              <w:rPr>
                <w:sz w:val="18"/>
                <w:szCs w:val="18"/>
                <w:color w:val="auto"/>
              </w:rPr>
            </w:pP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1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589,753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211,929</w:t>
            </w: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801,682</w:t>
            </w:r>
          </w:p>
        </w:tc>
        <w:tc>
          <w:tcPr>
            <w:tcW w:w="8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3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(13,097)</w:t>
            </w:r>
          </w:p>
        </w:tc>
        <w:tc>
          <w:tcPr>
            <w:tcW w:w="4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(13,097)</w:t>
            </w:r>
          </w:p>
        </w:tc>
        <w:tc>
          <w:tcPr>
            <w:tcW w:w="100" w:type="dxa"/>
            <w:vAlign w:val="bottom"/>
            <w:gridSpan w:val="2"/>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$ 589,753</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$ 198,832</w:t>
            </w: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$ 788,585</w:t>
            </w:r>
          </w:p>
        </w:tc>
        <w:tc>
          <w:tcPr>
            <w:tcW w:w="8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March 31, 2016</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$468,583</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$468,583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3060" w:type="dxa"/>
            <w:vAlign w:val="bottom"/>
            <w:gridSpan w:val="3"/>
          </w:tcPr>
          <w:p>
            <w:pPr>
              <w:jc w:val="right"/>
              <w:ind w:right="540"/>
              <w:spacing w:after="0"/>
              <w:rPr>
                <w:sz w:val="20"/>
                <w:szCs w:val="20"/>
                <w:color w:val="auto"/>
              </w:rPr>
            </w:pPr>
            <w:r>
              <w:rPr>
                <w:rFonts w:ascii="Arial" w:cs="Arial" w:eastAsia="Arial" w:hAnsi="Arial"/>
                <w:sz w:val="18"/>
                <w:szCs w:val="18"/>
                <w:color w:val="auto"/>
              </w:rPr>
              <w:t>120,246</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120,426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108,515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52</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108,822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U.S. agency securities</w:t>
            </w:r>
          </w:p>
        </w:tc>
        <w:tc>
          <w:tcPr>
            <w:tcW w:w="3060" w:type="dxa"/>
            <w:vAlign w:val="bottom"/>
            <w:gridSpan w:val="3"/>
          </w:tcPr>
          <w:p>
            <w:pPr>
              <w:jc w:val="right"/>
              <w:ind w:right="540"/>
              <w:spacing w:after="0"/>
              <w:rPr>
                <w:sz w:val="20"/>
                <w:szCs w:val="20"/>
                <w:color w:val="auto"/>
              </w:rPr>
            </w:pPr>
            <w:r>
              <w:rPr>
                <w:rFonts w:ascii="Arial" w:cs="Arial" w:eastAsia="Arial" w:hAnsi="Arial"/>
                <w:sz w:val="18"/>
                <w:szCs w:val="18"/>
                <w:color w:val="auto"/>
              </w:rPr>
              <w:t>37,557</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37,654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3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29,148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paper and certificates of deposit</w:t>
            </w:r>
          </w:p>
        </w:tc>
        <w:tc>
          <w:tcPr>
            <w:tcW w:w="3060" w:type="dxa"/>
            <w:vAlign w:val="bottom"/>
            <w:gridSpan w:val="3"/>
          </w:tcPr>
          <w:p>
            <w:pPr>
              <w:jc w:val="right"/>
              <w:ind w:right="540"/>
              <w:spacing w:after="0"/>
              <w:rPr>
                <w:sz w:val="20"/>
                <w:szCs w:val="20"/>
                <w:color w:val="auto"/>
              </w:rPr>
            </w:pPr>
            <w:r>
              <w:rPr>
                <w:rFonts w:ascii="Arial" w:cs="Arial" w:eastAsia="Arial" w:hAnsi="Arial"/>
                <w:sz w:val="18"/>
                <w:szCs w:val="18"/>
                <w:color w:val="auto"/>
              </w:rPr>
              <w:t>24,955</w:t>
            </w: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24,955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3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7,862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Total(1)</w:t>
            </w:r>
          </w:p>
        </w:tc>
        <w:tc>
          <w:tcPr>
            <w:tcW w:w="18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796,866</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52</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797,484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4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8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2016, $326,629 of securities were classified as short-term interest-bearing investments and $470,855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117,235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45,105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27,502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801,359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2015, $318,439 of securities were classified as short-term interest-bearing investments and $483,243 of securities were classified as cash and cash equivalents.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March 31, 2016,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six months ended March 31, 2016 and 2015. Realized gains and losses on available-for-sale securities are included in earnings and are derived using the first-in-first-out (FIFO) method for determining the cost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109,871</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80,439</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797,484</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$19,472 as of March 31, 2016. The Company has limited its credit risk by entering into derivative transactions exclusively with investment-grade rated financial institutions and monitors the creditworthiness of these financial institutions on an ongoing basis.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2016. Notional values are in U.S. dollars and are translated and calculated based on forward rates as of March 31, 2016 for forward contracts, and based on spot rates as of March 31, 2016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1,346,529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4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March 31, 2016 and September 30, 2015,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130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11,485</w:t>
            </w:r>
          </w:p>
        </w:tc>
        <w:tc>
          <w:tcPr>
            <w:tcW w:w="16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(14,640)</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(3,990)</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16,681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(13,097)</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two years. A significant portion of the forward and option contracts outstanding as of March 31, 2016 is scheduled to mature within the next 12 months.</w:t>
      </w:r>
    </w:p>
    <w:p>
      <w:pPr>
        <w:spacing w:after="0" w:line="15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6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six months ended March 31, 2016 and 2015, respectively, which partially offsets the foreign currency impact from the underlying exposures, is summarized as follows: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Gains (Losses) Reclassified from</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Other Comprehensive Income (Loss) (Effective Portion)</w:t>
      </w:r>
    </w:p>
    <w:tbl>
      <w:tblPr>
        <w:tblLayout w:type="fixed"/>
        <w:tblInd w:w="46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2440" w:type="dxa"/>
            <w:vAlign w:val="bottom"/>
            <w:gridSpan w:val="7"/>
          </w:tcPr>
          <w:p>
            <w:pPr>
              <w:jc w:val="right"/>
              <w:ind w:right="380"/>
              <w:spacing w:after="0" w:line="157" w:lineRule="exact"/>
              <w:rPr>
                <w:sz w:val="20"/>
                <w:szCs w:val="20"/>
                <w:color w:val="auto"/>
              </w:rPr>
            </w:pPr>
            <w:r>
              <w:rPr>
                <w:rFonts w:ascii="Arial" w:cs="Arial" w:eastAsia="Arial" w:hAnsi="Arial"/>
                <w:sz w:val="14"/>
                <w:szCs w:val="14"/>
                <w:b w:val="1"/>
                <w:bCs w:val="1"/>
                <w:color w:val="auto"/>
                <w:w w:val="95"/>
              </w:rPr>
              <w:t>Three months ended March 31,</w:t>
            </w:r>
          </w:p>
        </w:tc>
        <w:tc>
          <w:tcPr>
            <w:tcW w:w="2020" w:type="dxa"/>
            <w:vAlign w:val="bottom"/>
            <w:gridSpan w:val="7"/>
          </w:tcPr>
          <w:p>
            <w:pPr>
              <w:jc w:val="right"/>
              <w:ind w:right="100"/>
              <w:spacing w:after="0" w:line="157" w:lineRule="exact"/>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(9,414)</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(2,333)</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activity related to the changes in net unrealized losses on cash flow hedges recorded in accumulated other comprehensive income (loss), net of tax, is as follows:</w:t>
      </w:r>
    </w:p>
    <w:p>
      <w:pPr>
        <w:spacing w:after="0" w:line="189"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Six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21,907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(24,644)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into earnings, net of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11,580</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(18,586)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gains (losses) from cash flow hedges recognized in other comprehensive income (loss) were $28,014 and $(30,144), or $21,907 and $(24,644) net of taxes, during the six months ended March 31, 2016 and 2015, respectively.</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(loss) as of March 31, 2016, a net gain of $6,698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2016 and 2015,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2016 and 2015, respectively, which partially offsets the foreign currency impact from the underlying exposure, is summarized as follows: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19"/>
          </w:tcPr>
          <w:p>
            <w:pPr>
              <w:ind w:left="20"/>
              <w:spacing w:after="0"/>
              <w:rPr>
                <w:sz w:val="20"/>
                <w:szCs w:val="20"/>
                <w:color w:val="auto"/>
              </w:rPr>
            </w:pPr>
            <w:r>
              <w:rPr>
                <w:rFonts w:ascii="Arial" w:cs="Arial" w:eastAsia="Arial" w:hAnsi="Arial"/>
                <w:sz w:val="14"/>
                <w:szCs w:val="14"/>
                <w:b w:val="1"/>
                <w:bCs w:val="1"/>
                <w:color w:val="auto"/>
              </w:rPr>
              <w:t>Gains (Losses) Recognized in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11"/>
          </w:tcPr>
          <w:p>
            <w:pPr>
              <w:jc w:val="right"/>
              <w:ind w:right="320"/>
              <w:spacing w:after="0"/>
              <w:rPr>
                <w:sz w:val="20"/>
                <w:szCs w:val="20"/>
                <w:color w:val="auto"/>
              </w:rPr>
            </w:pPr>
            <w:r>
              <w:rPr>
                <w:rFonts w:ascii="Arial" w:cs="Arial" w:eastAsia="Arial" w:hAnsi="Arial"/>
                <w:sz w:val="14"/>
                <w:szCs w:val="14"/>
                <w:b w:val="1"/>
                <w:bCs w:val="1"/>
                <w:color w:val="auto"/>
                <w:w w:val="93"/>
              </w:rPr>
              <w:t>Three months ended 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13"/>
          </w:tcPr>
          <w:p>
            <w:pPr>
              <w:jc w:val="right"/>
              <w:ind w:right="240"/>
              <w:spacing w:after="0"/>
              <w:rPr>
                <w:sz w:val="20"/>
                <w:szCs w:val="20"/>
                <w:color w:val="auto"/>
              </w:rPr>
            </w:pPr>
            <w:r>
              <w:rPr>
                <w:rFonts w:ascii="Arial" w:cs="Arial" w:eastAsia="Arial" w:hAnsi="Arial"/>
                <w:sz w:val="14"/>
                <w:szCs w:val="14"/>
                <w:b w:val="1"/>
                <w:bCs w:val="1"/>
                <w:color w:val="auto"/>
                <w:w w:val="92"/>
              </w:rPr>
              <w:t>Six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45"/>
              <w:spacing w:after="0"/>
              <w:rPr>
                <w:sz w:val="20"/>
                <w:szCs w:val="20"/>
                <w:color w:val="auto"/>
              </w:rPr>
            </w:pPr>
            <w:r>
              <w:rPr>
                <w:rFonts w:ascii="Arial" w:cs="Arial" w:eastAsia="Arial" w:hAnsi="Arial"/>
                <w:sz w:val="18"/>
                <w:szCs w:val="18"/>
                <w:color w:val="auto"/>
              </w:rPr>
              <w:t>(34)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color w:val="auto"/>
              </w:rPr>
              <w:t>2,777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(3,523)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w w:val="84"/>
              </w:rPr>
              <w:t>2,185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60" w:type="dxa"/>
            <w:vAlign w:val="bottom"/>
            <w:gridSpan w:val="3"/>
          </w:tcPr>
          <w:p>
            <w:pPr>
              <w:jc w:val="right"/>
              <w:ind w:right="305"/>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4"/>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360"/>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tcPr>
          <w:p>
            <w:pPr>
              <w:spacing w:after="0"/>
              <w:rPr>
                <w:sz w:val="18"/>
                <w:szCs w:val="18"/>
                <w:color w:val="auto"/>
              </w:rPr>
            </w:pPr>
          </w:p>
        </w:tc>
        <w:tc>
          <w:tcPr>
            <w:tcW w:w="1060" w:type="dxa"/>
            <w:vAlign w:val="bottom"/>
            <w:gridSpan w:val="3"/>
          </w:tcPr>
          <w:p>
            <w:pPr>
              <w:jc w:val="right"/>
              <w:ind w:right="245"/>
              <w:spacing w:after="0"/>
              <w:rPr>
                <w:sz w:val="20"/>
                <w:szCs w:val="20"/>
                <w:color w:val="auto"/>
              </w:rPr>
            </w:pPr>
            <w:r>
              <w:rPr>
                <w:rFonts w:ascii="Arial" w:cs="Arial" w:eastAsia="Arial" w:hAnsi="Arial"/>
                <w:sz w:val="18"/>
                <w:szCs w:val="18"/>
                <w:color w:val="auto"/>
              </w:rPr>
              <w:t>(9,640)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19,451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(7,286)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25,266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3"/>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(6,918</w:t>
            </w:r>
          </w:p>
        </w:tc>
        <w:tc>
          <w:tcPr>
            <w:tcW w:w="380" w:type="dxa"/>
            <w:vAlign w:val="bottom"/>
          </w:tcPr>
          <w:p>
            <w:pPr>
              <w:jc w:val="right"/>
              <w:ind w:right="245"/>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15,600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3"/>
          </w:tcPr>
          <w:p>
            <w:pPr>
              <w:spacing w:after="0"/>
              <w:rPr>
                <w:sz w:val="20"/>
                <w:szCs w:val="20"/>
                <w:color w:val="auto"/>
              </w:rPr>
            </w:pPr>
            <w:r>
              <w:rPr>
                <w:rFonts w:ascii="Arial" w:cs="Arial" w:eastAsia="Arial" w:hAnsi="Arial"/>
                <w:sz w:val="18"/>
                <w:szCs w:val="18"/>
                <w:color w:val="auto"/>
              </w:rPr>
              <w:t>Accounts receivable, net consists of the following:</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6"/>
          </w:tcPr>
          <w:p>
            <w:pPr>
              <w:jc w:val="center"/>
              <w:ind w:left="1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$ 709,703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668,424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92,812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80,197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(47,134)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(33,837)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74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$ 755,381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714,784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5"/>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$ 198,390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201,719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52,018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286,175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295,184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740" w:type="dxa"/>
            <w:vAlign w:val="bottom"/>
            <w:gridSpan w:val="2"/>
          </w:tcPr>
          <w:p>
            <w:pPr>
              <w:ind w:left="9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$ 579,281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608,827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3"/>
          </w:tcPr>
          <w:p>
            <w:pPr>
              <w:ind w:left="460"/>
              <w:spacing w:after="0"/>
              <w:rPr>
                <w:sz w:val="20"/>
                <w:szCs w:val="20"/>
                <w:color w:val="auto"/>
              </w:rPr>
            </w:pPr>
            <w:r>
              <w:rPr>
                <w:rFonts w:ascii="Arial" w:cs="Arial" w:eastAsia="Arial" w:hAnsi="Arial"/>
                <w:sz w:val="18"/>
                <w:szCs w:val="18"/>
                <w:color w:val="auto"/>
                <w:w w:val="92"/>
              </w:rPr>
              <w:t>The provision (benefit) for income taxes for the following periods consisted of:</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$23,569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$38,529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880" w:type="dxa"/>
            <w:vAlign w:val="bottom"/>
            <w:gridSpan w:val="4"/>
          </w:tcPr>
          <w:p>
            <w:pPr>
              <w:jc w:val="right"/>
              <w:ind w:right="142"/>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(7,614)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(27,260)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ind w:lef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32,145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Three months</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6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3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taxes</w:t>
            </w:r>
          </w:p>
        </w:tc>
        <w:tc>
          <w:tcPr>
            <w:tcW w:w="3580" w:type="dxa"/>
            <w:vAlign w:val="bottom"/>
          </w:tcPr>
          <w:p>
            <w:pPr>
              <w:spacing w:after="0"/>
              <w:rPr>
                <w:sz w:val="18"/>
                <w:szCs w:val="18"/>
                <w:color w:val="auto"/>
              </w:rPr>
            </w:pPr>
          </w:p>
        </w:tc>
        <w:tc>
          <w:tcPr>
            <w:tcW w:w="940" w:type="dxa"/>
            <w:vAlign w:val="bottom"/>
            <w:gridSpan w:val="2"/>
          </w:tcPr>
          <w:p>
            <w:pPr>
              <w:jc w:val="right"/>
              <w:ind w:right="588"/>
              <w:spacing w:after="0"/>
              <w:rPr>
                <w:sz w:val="20"/>
                <w:szCs w:val="20"/>
                <w:color w:val="auto"/>
              </w:rPr>
            </w:pPr>
            <w:r>
              <w:rPr>
                <w:rFonts w:ascii="Arial" w:cs="Arial" w:eastAsia="Arial" w:hAnsi="Arial"/>
                <w:sz w:val="18"/>
                <w:szCs w:val="18"/>
                <w:color w:val="auto"/>
              </w:rPr>
              <w:t>11</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80" w:type="dxa"/>
            <w:vAlign w:val="bottom"/>
          </w:tcPr>
          <w:p>
            <w:pPr>
              <w:jc w:val="right"/>
              <w:ind w:right="173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Foreign taxes in the six months ended March 31, 2016 included a net benefit of $15,264 due to settlements and conclusions of tax audits in certain jurisdictions during the three months ended March 31, 2016, that resulted in a reduction to the Company’s provision for gross unrecognized tax benefits, partially offset by a decrease to the Company’s taxes receivable. Foreign taxes in the six months ended March 31, 2016 also included a provision for new uncertain tax positions of $22,309 recognized during the three months ended March 31, 2016. In addition, foreign taxes in the six months ended March 31, 2016 included a benefit of $19,963 as a result of a release of tax provision in light of a non-taxable internal capital gain recognized during the three months ended March 31, 2016.</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Foreign taxes in the six months ended March 31, 2015 included a net benefit of $7,594 due to settlements of tax audits in certain jurisdictions during the three months ended December 31, 2014, that resulted in a reduction to the Company’s provision for gross unrecognized tax benefits, partially offset by an increase to the Company’s taxes payable. Foreign taxes in the six months ended March 31, 2015 also included a net benefit of $22,895 resulting from the release of valuation allowances on deferred tax assets at several of the Company’s subsidiaries, which will, more likely than not, be realized due to the Company’s projections of future taxable income.</w:t>
      </w:r>
    </w:p>
    <w:p>
      <w:pPr>
        <w:spacing w:after="0" w:line="18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As of March 31, 2016, deferred tax assets of $145,138, derived primarily from tax credits, net capital and operating loss carry forwards related to some of the Company’s subsidiaries, were offset by valuation allowances due to the uncertainty of realizing tax benefit for such credits and losses.</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$143,977 as of March 31, 2016,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2016, the Company had accrued $29,195 in income taxes payable for interest and penalties relating to unrecognized tax benefits.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2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4"/>
                <w:szCs w:val="14"/>
                <w:color w:val="auto"/>
              </w:rPr>
            </w:pPr>
          </w:p>
        </w:tc>
        <w:tc>
          <w:tcPr>
            <w:tcW w:w="20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Six months ended March 31,</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107,720</w:t>
            </w:r>
          </w:p>
        </w:tc>
        <w:tc>
          <w:tcPr>
            <w:tcW w:w="180" w:type="dxa"/>
            <w:vAlign w:val="bottom"/>
          </w:tcPr>
          <w:p>
            <w:pPr>
              <w:spacing w:after="0"/>
              <w:rPr>
                <w:sz w:val="18"/>
                <w:szCs w:val="18"/>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116,261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208,562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247,251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206,605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1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115,110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206,626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244,594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150,279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155,506</w:t>
            </w:r>
          </w:p>
        </w:tc>
        <w:tc>
          <w:tcPr>
            <w:tcW w:w="0" w:type="dxa"/>
            <w:vAlign w:val="bottom"/>
          </w:tcPr>
          <w:p>
            <w:pPr>
              <w:spacing w:after="0"/>
              <w:rPr>
                <w:sz w:val="1"/>
                <w:szCs w:val="1"/>
                <w:color w:val="auto"/>
              </w:rPr>
            </w:pP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16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151,092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six months ended March 31, 2016, 2,009 and 1,459 shares, respectively, on a weighted average basis, were attributable to antidilutive outstanding stock options. For the three and six months ended March 31, 2015, 1,778 and 1,295 shares, respectively, on a weighted average basis, were attributable to antidilutive outstanding stock options. Shares attributable to antidilutive outstanding stock options were not included in the calculation of diluted earnings per share.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Company’s Board of Directors adopted a share repurchase plan on April 30, 2014, for the repurchase of up to $750,000 of the Company’s outstanding ordinary shares with no expiration date. In the six months ended March 31, 2016, the Company repurchased approximately 3,570 ordinary shares at an average price of $56.18 per share (excluding broker and transaction fees), and as of March 31, 2016, the Company had remaining authority to repurchase up to $59,533 of its outstanding ordinary shares. On February 2, 2016, the Company’s Board of Directors adopted another share repurchase plan for the repurchase of up to an additional $750,000 of its outstanding ordinary shares with no expiration date. Each of the share repurchase plans permits the Company to purchase its ordinary shares in open market or privately negotiated transactions at times and prices that it considers appropriate.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September 2015, the Company borrowed an aggregate of $220,000 under its unsecured $500,000 five-year revolving credit facility with a syndicate of banks and repaid it in October 2015. As of March 31, 2016, the Company was in compliance with the financial covenants under the revolving credit facility and had no outstanding borrowings under this facility.</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March 31, 2016, the Company had additional uncommitted lines of credit available for general corporate and other specific purposes and had outstanding letters of credit and bank guarantees from various banks totaling $74,881. These were supported by a combination of the uncommitted lines of credit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Awards granted under the Equity Incentive Plan generally vest over a period of four years and stock options have a term of ten years.</w:t>
      </w:r>
    </w:p>
    <w:p>
      <w:pPr>
        <w:spacing w:after="0" w:line="181"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During the six months ended March 31, 2016, the Company granted 485 restricted shares and options to purchase 1,880 ordinary shares. The weighted average fair values associated with these grants were $55.34 per restricted share and $7.97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2016 and 2015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13,988</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of March 31, 2016, there was $56,468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120" w:type="dxa"/>
            <w:vAlign w:val="bottom"/>
          </w:tcPr>
          <w:p>
            <w:pPr>
              <w:spacing w:after="0"/>
              <w:rPr>
                <w:sz w:val="14"/>
                <w:szCs w:val="14"/>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Dividends Per</w:t>
            </w:r>
          </w:p>
        </w:tc>
        <w:tc>
          <w:tcPr>
            <w:tcW w:w="600" w:type="dxa"/>
            <w:vAlign w:val="bottom"/>
          </w:tcPr>
          <w:p>
            <w:pPr>
              <w:spacing w:after="0"/>
              <w:rPr>
                <w:sz w:val="14"/>
                <w:szCs w:val="14"/>
                <w:color w:val="auto"/>
              </w:rPr>
            </w:pPr>
          </w:p>
        </w:tc>
        <w:tc>
          <w:tcPr>
            <w:tcW w:w="20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Record Date</w:t>
            </w:r>
          </w:p>
        </w:tc>
        <w:tc>
          <w:tcPr>
            <w:tcW w:w="540" w:type="dxa"/>
            <w:vAlign w:val="bottom"/>
          </w:tcPr>
          <w:p>
            <w:pPr>
              <w:spacing w:after="0"/>
              <w:rPr>
                <w:sz w:val="14"/>
                <w:szCs w:val="14"/>
                <w:color w:val="auto"/>
              </w:rPr>
            </w:pPr>
          </w:p>
        </w:tc>
        <w:tc>
          <w:tcPr>
            <w:tcW w:w="17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5"/>
              </w:rPr>
              <w:t>Total</w:t>
            </w: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6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1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5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2016</w:t>
            </w:r>
          </w:p>
        </w:tc>
        <w:tc>
          <w:tcPr>
            <w:tcW w:w="5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$29,206</w:t>
            </w:r>
          </w:p>
        </w:tc>
        <w:tc>
          <w:tcPr>
            <w:tcW w:w="11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2016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November 10, 2015</w:t>
            </w:r>
          </w:p>
        </w:tc>
        <w:tc>
          <w:tcPr>
            <w:tcW w:w="144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0.170</w:t>
            </w:r>
          </w:p>
        </w:tc>
        <w:tc>
          <w:tcPr>
            <w:tcW w:w="6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w w:val="92"/>
              </w:rPr>
              <w:t>December 31, 2015</w:t>
            </w:r>
          </w:p>
        </w:tc>
        <w:tc>
          <w:tcPr>
            <w:tcW w:w="22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$25,565</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January 15, 2016</w:t>
            </w: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0.170</w:t>
            </w: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March 31, 2015</w:t>
            </w:r>
          </w:p>
        </w:tc>
        <w:tc>
          <w:tcPr>
            <w:tcW w:w="22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2"/>
              </w:rPr>
              <w:t>$26,286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0.155</w:t>
            </w:r>
          </w:p>
        </w:tc>
        <w:tc>
          <w:tcPr>
            <w:tcW w:w="600" w:type="dxa"/>
            <w:vAlign w:val="bottom"/>
          </w:tcPr>
          <w:p>
            <w:pPr>
              <w:spacing w:after="0"/>
              <w:rPr>
                <w:sz w:val="20"/>
                <w:szCs w:val="20"/>
                <w:color w:val="auto"/>
              </w:rPr>
            </w:pP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December 31, 2014</w:t>
            </w:r>
          </w:p>
        </w:tc>
        <w:tc>
          <w:tcPr>
            <w:tcW w:w="224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$24,086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January 16, 2015</w:t>
            </w:r>
          </w:p>
        </w:tc>
        <w:tc>
          <w:tcPr>
            <w:tcW w:w="0" w:type="dxa"/>
            <w:vAlign w:val="bottom"/>
          </w:tcPr>
          <w:p>
            <w:pPr>
              <w:spacing w:after="0"/>
              <w:rPr>
                <w:sz w:val="1"/>
                <w:szCs w:val="1"/>
                <w:color w:val="auto"/>
              </w:rPr>
            </w:pPr>
          </w:p>
        </w:tc>
      </w:tr>
      <w:tr>
        <w:trPr>
          <w:trHeight w:val="350"/>
        </w:trPr>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gridSpan w:val="2"/>
          </w:tcPr>
          <w:p>
            <w:pPr>
              <w:jc w:val="right"/>
              <w:ind w:right="1334"/>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amounts payable as a result of the February 2, 2016 and January 27, 2015 declarations were included in accrued expenses and other current liabilities as of March 31, 2016 and 2015, respectively.</w:t>
      </w:r>
    </w:p>
    <w:p>
      <w:pPr>
        <w:spacing w:after="0" w:line="170"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On May 4, 2016, the Company’s Board of Directors approved the next quarterly dividend payment, at the rate of $0.195 per share, and set June 30, 2016 as the record date for determining the shareholders entitled to receive the dividend, which is payable on July 15, 2016.</w:t>
      </w:r>
    </w:p>
    <w:p>
      <w:pPr>
        <w:spacing w:after="0" w:line="251" w:lineRule="exact"/>
        <w:rPr>
          <w:sz w:val="20"/>
          <w:szCs w:val="20"/>
          <w:color w:val="auto"/>
        </w:rPr>
      </w:pPr>
    </w:p>
    <w:p>
      <w:pPr>
        <w:ind w:left="460" w:right="9540" w:hanging="452"/>
        <w:spacing w:after="0" w:line="425" w:lineRule="auto"/>
        <w:tabs>
          <w:tab w:leader="none" w:pos="2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2016 and 2015.</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2015, filed on December 10, 2015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operations to enable service providers to efficiently and cost-effectively introduce new products and services, such as mobile financial services, process orders more efficiently,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the demand for our customer experience solutions is driven by the desire of service providers to help their consumer and business customers navigate the increasing number of devices, services and plans available in today’s digital communications world and the need of service providers to cope with the rapidly growing demand for data that these devices and services have created.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and valuable at every point of interaction.</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digital interaction demands of customers, as a result of which service providers are expected to offer innovative and personalized services that are delivered consistently across channels and with a seamless network experience. In the second quarter of fiscal year 2016, we released Amdocs CES 10, an advanced product portfolio, which spans BSS, OSS, network operations including network functions virtualization, and big data analytics to enable service providers to drive digital transformation, diversify their business, become a data-empowered business, and achieve service agility. During this quarter, we also released an enhanced digital services portfolio to support and accelerate service providers’ transition from traditional to digital business models. In the first quarter of fiscal year 2016, we released Amdocs Kenan AX3.1 and C1 3.7.8, based on the BSS assets we acquired from Comverse. Amdocs Kenan AX3.1 provides ad-hoc or subscription-based enterprise-grade billing and is available for deployment on public or private cloud environments. Amdocs C1 3.7.8 supports complete BSS convergence and online charging into existing postpaid environments.</w:t>
      </w:r>
    </w:p>
    <w:p>
      <w:pPr>
        <w:spacing w:after="0" w:line="18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also offer advertising and media products and services for media publishers, advertising agencies, advertising service providers and directory publishers. These offerings enable the management of media selling, fulfillment, operations, consumer experiences and financial processes across digital and print media.</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six months ended March 31, 2016, customers in North America accounted for 63.0% of our revenue, while customers in Europe and the rest of the world accounted for 14.5% and 22.5%, respectively. We maintain development facilities in Brazil, Canada, Cyprus, India, Ireland, Israel, Mexico, the Philippines, the United Kingdom and the United States.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Revenue from managed services arrangements accounted for approximately $501.1 million and $448.8 million in the three months ended March 31, 2016 and 2015, respectively, and $988.7 million and $915.9 million in the six months ended March 31, 2016 and 2015,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In March 2016, the Financial Accounting Standards Board, or FASB, issued an Accounting Standard Update, or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are currently evaluating the effect that adoption of this ASU will have on our consolidated financial statements.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This ASU, which will be effective for us beginning in the first quarter of fiscal year 2020, must be adopted using a modified retrospective method and its early adoption is permitted. We are currently evaluating the impact of adoption of this ASU on our consolidated financial statements.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substantive content of our consolidated financial statements.</w:t>
      </w:r>
    </w:p>
    <w:p>
      <w:pPr>
        <w:spacing w:after="0" w:line="17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w:t>
      </w:r>
    </w:p>
    <w:p>
      <w:pPr>
        <w:spacing w:after="0" w:line="5"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2016-12, which amends guidance in the new revenue standard on collectibility, noncash consideration, presentation of sales tax and transition. ASU 2016-08, ASU 2016-10 and ASU 2016-12 must be adopted together with the new revenue standard. We are evaluating the methods and timing of our adoption, as well as the effect that adoption of the new revenue standard will have on our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We prospectively adopted this ASU effective October 1, 2015 and, as such, our consolidated balance sheet as of September 30, 2015 does not reflect the reclassification of current deferred tax assets and liabilities as noncurrent amounts.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2016 and 2015, certain items in our consolidated statements of income reflected as a percentage of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2016</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64.8</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64.3</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64.7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20" w:type="dxa"/>
            <w:vAlign w:val="bottom"/>
            <w:gridSpan w:val="3"/>
          </w:tcPr>
          <w:p>
            <w:pPr>
              <w:jc w:val="right"/>
              <w:ind w:right="408"/>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6.8</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12.3</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660" w:type="dxa"/>
            <w:vAlign w:val="bottom"/>
          </w:tcPr>
          <w:p>
            <w:pPr>
              <w:spacing w:after="0"/>
              <w:rPr>
                <w:sz w:val="18"/>
                <w:szCs w:val="18"/>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2.8</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87.0</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84.7</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13.0</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13.0</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26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11.6%</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12.9%</w:t>
            </w: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60" w:type="dxa"/>
            <w:vAlign w:val="bottom"/>
            <w:vMerge w:val="restart"/>
          </w:tcPr>
          <w:p>
            <w:pPr>
              <w:jc w:val="right"/>
              <w:ind w:right="1930"/>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2016 and 2015</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six months ended March 31, 2016 compared to the six months ended March 31, 2015.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7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1,847,440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1,808,865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$ 38,575</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1,195,684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1,154,017</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41,667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126,198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126,446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(248)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220,766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13,256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28,115</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23,739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1,607,758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1,529,344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78,414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(39,839)</w:t>
            </w:r>
          </w:p>
        </w:tc>
        <w:tc>
          <w:tcPr>
            <w:tcW w:w="4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(39,919)</w:t>
            </w:r>
          </w:p>
        </w:tc>
        <w:tc>
          <w:tcPr>
            <w:tcW w:w="4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32,145</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(38,689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increased by $38.6 million, or 2.1%, to $1,847.4 million in the six months ended March 31, 2016, from $1,808.9 million in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2015. The increase in revenue was attributable to increased activity in the rest of the world and, to a lesser extent, in Europe, partially offset by lower revenue from North America. The 2.1% increase in revenue, which was net of a decrease of approximately 2.5% from foreign exchange fluctuations, was also positively affected by revenue related to the BSS assets we acquired from Comverse.</w:t>
      </w:r>
    </w:p>
    <w:p>
      <w:pPr>
        <w:spacing w:after="0" w:line="17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$37.2 million, or 2.1%, to $1,796.7 million in the six months ended March 31, 2016, from $1,759.5 million in the six months ended March 31, 2015. The increase in revenue was attributable to increased activity in the rest of the world and, to a lesser extent, in Europe, partially offset by lower revenue from North America. Revenue resulting from the sale of customer experience solutions represented 97.3% of our total revenue in both the six months ended March 31, 2016 and 2015.</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attributable to the sale of directory systems increased by $1.3 million, or 2.6%, to $50.7 million in the six months ended March 31, 2016, from $49.4 million in the six months ended March 31, 2015. Nevertheless, due to the continued slowness in the directory systems market, we expect that directory revenue will continue to decline in fiscal year 2016 compared to fiscal year 2015. Revenue from the sale of directory systems represented 2.7% of our total revenue in both the six months ended March 31, 2016 and 2015.</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six months ended March 31, 2016, revenue from customers in North America, Europe and the rest of the world accounted for 63.0%, 14.5% and 22.5%, respectively, of total revenue, compared to 72.2%, 11.3% and 16.5%, respectively, in the six months ended March 31, 2015. The decrease in the percentage of revenue from customers in North America was primarily driven by AT&amp;T’s slower pace of discretionary spending. The increase in the percentage of revenue from customers in Europe was attributable to expanding our business relations with new and existing customers, including Vodafone. Revenue from customers in the rest of the world increased as a percentage of total revenue as a result of our progress in implementing complex modernization projects in both Latin America and Asia-Pacific, while capitalizing on the sustained business momentum with former Comverse customers.</w:t>
      </w:r>
    </w:p>
    <w:p>
      <w:pPr>
        <w:spacing w:after="0" w:line="16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third-party products, as well as fee and royalty payments to software suppliers. Cost of revenue increased by $41.7 million, or 3.6%, to $1,195.7 million in the six months ended March 31, 2016, from $1,154.0 million in the six months ended March 31, 2015. As a percentage of revenue, cost of revenue increased to 64.7% in the six months ended March 31, 2016, from 63.8% in the six months ended March 31, 2015. The reduction in the gross margin in the six months ended March 31, 2016 was primarily attributable to: a. our increased activity outside of our established markets, which are primarily North America, where we continued our penetration efforts in order to expand our business into those markets, and also to; b. a gain resulting from changes in fair value of certain acquisition-related liabilities recognized in the six months ended March 31,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$0.2 million, or 0.2%, to $126.2 million in the six months ended March 31, 2016, from $126.4 million in the six months ended March 31, 2015. Research and development expense decreased as a percentage of revenue from 7.0% in the six months ended March 31, 2015, to 6.8% in the six months ended March 31, 2016.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$13.3 million, or 6.0%, to $234.0 million in the six months ended March 31, 2016, from $220.8 million in the six months ended March 31, 2015. The increase in selling, general and administrative expense was primarily attributable to the acquisition of the BSS assets of Comverse, as well as to an increase in the allowance for doubtful accounts.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six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increased by $23.7 million to $51.8 million from $28.1 million in the six months ended March 31, 2015. The increase in amortization of purchased intangible assets and other was primarily attributable to an increase in amortization of intangible assets due to the acquisition of the BSS assets of Comverse.</w:t>
      </w:r>
    </w:p>
    <w:p>
      <w:pPr>
        <w:spacing w:after="0" w:line="14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$39.8 million, or 14.3%, in the six months ended March 31, 2016, to $239.7 million, or 13.0%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$279.5 million, or 15.5% of revenue, in the six months ended March 31, 2015. The decrease in operating income as a percentage of revenue was attributable to operating expenses, particularly amortization of purchased intangible assets and other, as well as cost of revenue, increasing at a higher rate than revenue. Positive foreign exchange impacts on our operating expenses were partially offset by the negative foreign exchange impacts on our revenue, resulting in a minor positive impact on our operating income.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2016 were $30.9 million on pre-tax income of $239.5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12.9%, compared to 11.5% in the six months ended March 31, 2015. Our effective tax rate may fluctuate between periods as a result of discrete items that may affect a particular period. Please see Note 9 to our consolidated financial statements.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$38.7 million, or 15.6%, to $208.6 million in the six months ended March 31, 2016, from $247.3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31, 2015. The decrease in net income was primarily attributable to the decrease in operating income.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$0.20, or 12.7%, to $1.37 in the six months ended March 31, 2016, from $1.57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2015. The decrease in diluted earnings per share was mainly attributable to the decrease in net income, which was partially offset by the decrease in the diluted weighted average number of shares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and 2015</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March 31, 2016 compared to the three months ended March 31, 2015.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3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$925,935</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$902,578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600,116</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580,571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63,711</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62,805</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114,474</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107,186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27,487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13,471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764,578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41,210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(17,853)</w:t>
            </w:r>
          </w:p>
        </w:tc>
        <w:tc>
          <w:tcPr>
            <w:tcW w:w="3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121,607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136,331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(14,724)</w:t>
            </w:r>
          </w:p>
        </w:tc>
        <w:tc>
          <w:tcPr>
            <w:tcW w:w="3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13,887</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107,720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116,261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$23.4 million, or 2.6%, to $925.9 million in the three months ended March 31, 2016, from $902.6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2015. The increase in revenue was attributable to increased activity in Europe and the rest of the world, partially offset by lower revenue from North America. The 2.6% increase in revenue, which was net of a decrease of approximately 1.5% from foreign exchange fluctuations, was also positively affected by revenue related to the BSS assets we acquired from Comverse.</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$25.2 million, or 2.9%, to $902.3 million in the three months ended March 31, 2016, from $877.1 million in the three months ended March 31, 2015. The increase in revenue was attributable to increased activity in Europe and the rest of the world, partially offset by lower revenue from North America. Revenue resulting from the sale of customer experience solutions represented 97.5% and 97.2% of our total revenue in the three months ended March 31, 2016 and 2015, respectively.</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 attributable to the sale of directory systems decreased by $1.9 million, or 7.5%, to $23.6 million in the three months ended March 31, 2016, from $25.5 million in the three months ended March 31, 2015. Due to the continued slowness in the directory systems market, we expect that directory revenue will continue to decline in fiscal year 2016 compared to fiscal year 2015. Revenue from the sale of directory systems represented 2.5% and 2.8% of our total revenue in the three months ended March 31, 2016 and 2015, respectively.</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three months ended March 31, 2016, revenue from customers in North America, Europe and the rest of the world accounted for 63.3%, 15.1% and 21.6%, respectively, of total revenue, compared to 71.7%, 10.8% and 17.5%, respectively, in the three months ended March 31, 2015. The decrease in the percentage of revenue from customers in North America was primarily driven by AT&amp;T’s slower pace of discretionary spending. The increase in the percentage of revenue from customers in Europe was attributable to expanding our business relations with new and existing customers, including Vodafone. Revenue from customers in the rest of the world increased as a percentage of total revenue as a result of our progress in implementing complex modernization projects in both Latin America and Asia-Pacific, while capitalizing on the sustained business momentum with former Comverse customers.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increased by $19.5 million, or 3.4%, to $600.1 million in the three months ended March 31, 2016, from $580.6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2015. As a percentage of revenue, cost of revenue increased to 64.8% in the three months ended March 31, 2016, from 64.3% in the three months ended March 31, 2015. The reduction in the gross margin in the three months ended March 31, 2016 was primarily attributable to: a. our increased activity outside of our established markets, which are primarily North America, where we continued our penetration efforts in order to expand our business into those markets, and also to; b. a gain resulting from changes in fair value of certain acquisition-related liabilities recognized in the three months ended March 31, 2015.</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increased by $0.9 million, or 1.4%, to $63.7 million in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2016, from $62.8 million in the three months ended March 31, 2015. Research and development expense as a percentage of revenue decreased to 6.9% in the three months ended March 31, 2016, from 7.0% in the three months ended March 31,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$7.3 million, or 6.8%, to $114.5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2016, from $107.2 million in the three months ended March 31, 2015. The increase in selling, general and administrative expense was primarily attributable to the acquisition of the BSS assets of Comverse.</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increased by $13.5 million to $27.5 million from $14.0 million in the three months ended March 31, 2015. The increase in amortization of purchased intangible assets and other was primarily attributable to an increase in amortization of intangible assets due to the acquisition of the BSS assets of Comverse.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$17.9 million, or 12.9%, in the three months ended March 31, 2016, to $120.1 million, or 13.0%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$138.0 million, or 15.3% of revenue, in the three months ended March 31, 2015. The decrease in operating income as a percentage of revenue was attributable to operating expenses, particularly amortization of purchased intangible assets and other, increasing at a higher rate than revenue. Positive foreign exchange impacts on our operating expenses were partially offset by the negative foreign exchange impacts on our revenue, resulting in a minor positive impact on our operating income.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$1.7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2015 to a net gain of $1.5 million in the three months ended March 31, 2016. This change in interest and other income (expense), net, was primarily attributable foreign exchange impacts.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March 31, 2016 were $13.9 million on pre-tax income of $121.6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11.4%, compared to 14.7% in the three months ended March 31, 2015. The decrease in the tax rate was attributable to a benefit from a release of tax provision in light of a non-taxable internal capital gain recognized during the three months ended March 31, 2016, coupled with a benefit due to a decrease in the amount of the provision for gross unrecognized tax benefits as a result of tax positions settled during the three months ended March 31, 2016. These decreases were partially offset by an increase attributable to provision for new uncertain tax positions recognized during the three months ended March 31, 2016, as well as to a benefit from a release of valuation allowances on deferred tax assets at several of the Company’s subsidiaries in the three months ended March 31, 2015. Our effective tax rate may fluctuate between periods as a result of discrete items that may affect a particular period. Please see Note 9 to our consolidated financial statements.</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$8.5 million, or 7.3%, to $107.7 million in the three months ended March 31, 2016, from $116.3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2015. The decrease in net income was attributable to the decrease in operating income, partially offset by the decrease in income taxes and the change in interest and other income (expense), net.</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$0.03, or 4.1%, to $0.71 in the three months ended March 31, 2016, from $0.74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March 31, 2015. The decrease in diluted earnings per share was mainly attributable to the decrease in net income, which was partially offset by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net of short-term debt, totaled $1.15 billion as of March 31, 2016, compared to $1.13 billion as of September 30, 2015. The increase was mainly attributable to $316.7 million in positive cash flow from operations and $59.1 million of proceeds from stock option exercises, partially offset by $200.6 million used to repurchase our ordinary shares, $67.3 million for capital expenditures, net, and $51.3 million of cash dividend payments. Net cash provided by operating activities amounted to $316.7 million and $343.6 million in the six months ended March 31, 2016 and 2015, respectively.</w:t>
      </w:r>
    </w:p>
    <w:p>
      <w:pPr>
        <w:spacing w:after="0" w:line="17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actual share repurchase activity and payment of future dividends, if any, may vary quarterly or annually and will be based on several factors including our financial performance, outlook and liquidity. In the second half of fiscal year 2016, we currently expect to return roughly all free cash flow generated in that period to our shareholders, subject to several factors including our financial performance, outlook and liquidity, and the size and timing of possible mergers and acquisitions activity.</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2016 and 2015, we did not recognize any credit losses. Please see Notes 4 and 5 to the consolidated financial statements.</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2015, we borrowed an aggregate of $220.0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2015. As of March 31, 2016, we were in compliance with the financial covenants under the revolving credit facility and had no outstanding borrowings under this facility.</w:t>
      </w:r>
    </w:p>
    <w:p>
      <w:pPr>
        <w:spacing w:after="0" w:line="166"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of March 31, 2016, we had additional uncommitted lines of credit available for general corporate and other specific purposes and had outstanding letters of credit and bank guarantees from various banks totaling $74.9 million. These were supported by a combination of the uncommitted lines of credit that we maintain with various banks.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2015, filed on December 10, 2015 with the SEC. Since September 30, 2015,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$67.3 million in the six months ended March 31, 2016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Board of Directors adopted a share repurchase plan in April 2014 for the repurchase of up to $750.0 million of our outstanding ordinary shares with no expiration date. In the six months ended March 31, 2016, we repurchased 3.6 million ordinary shares at an average price of $56.18 per share (excluding broker and transaction fees), and as of March 31, 2016, we had remaining authority to repurchase up to $59.5 million of our outstanding ordinary shares. On February 2, 2016, our Board of Directors adopted another share repurchase plan for the repurchase of up to an additional $750.0 million of our outstanding ordinary shares with no expiration date. Each of the share repurchase plans permits us to purchase our ordinary shares in open market or privately negotiated transactions at times and prices that we consider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540" w:type="dxa"/>
            <w:vAlign w:val="bottom"/>
          </w:tcPr>
          <w:p>
            <w:pPr>
              <w:spacing w:after="0"/>
              <w:rPr>
                <w:sz w:val="14"/>
                <w:szCs w:val="14"/>
                <w:color w:val="auto"/>
              </w:rPr>
            </w:pPr>
          </w:p>
        </w:tc>
        <w:tc>
          <w:tcPr>
            <w:tcW w:w="14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9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54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5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5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9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4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November 10, 2015</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0.170</w:t>
            </w:r>
          </w:p>
        </w:tc>
        <w:tc>
          <w:tcPr>
            <w:tcW w:w="19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88"/>
              </w:rPr>
              <w:t>December 31, 2015</w:t>
            </w:r>
          </w:p>
        </w:tc>
        <w:tc>
          <w:tcPr>
            <w:tcW w:w="130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25.6</w:t>
            </w:r>
          </w:p>
        </w:tc>
        <w:tc>
          <w:tcPr>
            <w:tcW w:w="17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27,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0.170</w:t>
            </w:r>
          </w:p>
        </w:tc>
        <w:tc>
          <w:tcPr>
            <w:tcW w:w="1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2015</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April 16, 2015</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0.155</w:t>
            </w:r>
          </w:p>
        </w:tc>
        <w:tc>
          <w:tcPr>
            <w:tcW w:w="1960" w:type="dxa"/>
            <w:vAlign w:val="bottom"/>
            <w:gridSpan w:val="2"/>
          </w:tcPr>
          <w:p>
            <w:pPr>
              <w:ind w:left="540"/>
              <w:spacing w:after="0"/>
              <w:rPr>
                <w:sz w:val="20"/>
                <w:szCs w:val="20"/>
                <w:color w:val="auto"/>
              </w:rPr>
            </w:pPr>
            <w:r>
              <w:rPr>
                <w:rFonts w:ascii="Arial" w:cs="Arial" w:eastAsia="Arial" w:hAnsi="Arial"/>
                <w:sz w:val="18"/>
                <w:szCs w:val="18"/>
                <w:color w:val="auto"/>
                <w:w w:val="88"/>
              </w:rPr>
              <w:t>December 31, 2014</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24.1</w:t>
            </w: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May 4, 2016, our Board of Directors approved the next quarterly dividend payment, at the rate of $0.195 per share, and set June 30, 2016 as the record date for determining the shareholders entitled to receive the dividend, which is payable on July 15,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During the six months ended March 31, 2016 and 2015,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2016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(a)</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60" w:type="dxa"/>
            <w:vAlign w:val="bottom"/>
            <w:vMerge w:val="restart"/>
          </w:tcPr>
          <w:p>
            <w:pPr>
              <w:jc w:val="center"/>
              <w:ind w:left="338"/>
              <w:spacing w:after="0"/>
              <w:rPr>
                <w:sz w:val="20"/>
                <w:szCs w:val="20"/>
                <w:color w:val="auto"/>
              </w:rPr>
            </w:pPr>
            <w:r>
              <w:rPr>
                <w:rFonts w:ascii="Arial" w:cs="Arial" w:eastAsia="Arial" w:hAnsi="Arial"/>
                <w:sz w:val="14"/>
                <w:szCs w:val="14"/>
                <w:b w:val="1"/>
                <w:bCs w:val="1"/>
                <w:color w:val="auto"/>
                <w:w w:val="89"/>
              </w:rPr>
              <w:t>(b)</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80" w:type="dxa"/>
            <w:vAlign w:val="bottom"/>
            <w:gridSpan w:val="2"/>
            <w:vMerge w:val="restart"/>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Shares</w:t>
            </w:r>
          </w:p>
        </w:tc>
        <w:tc>
          <w:tcPr>
            <w:tcW w:w="16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0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Paid per Share(1)</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01/01/16-01/31/16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494,286</w:t>
            </w:r>
          </w:p>
        </w:tc>
        <w:tc>
          <w:tcPr>
            <w:tcW w:w="6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53.14</w:t>
            </w:r>
          </w:p>
        </w:tc>
        <w:tc>
          <w:tcPr>
            <w:tcW w:w="6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494,286</w:t>
            </w: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133,886,180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02/01/16-02/29/16</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735,400</w:t>
            </w:r>
          </w:p>
        </w:tc>
        <w:tc>
          <w:tcPr>
            <w:tcW w:w="660" w:type="dxa"/>
            <w:vAlign w:val="bottom"/>
          </w:tcPr>
          <w:p>
            <w:pPr>
              <w:jc w:val="center"/>
              <w:ind w:left="358"/>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55.25</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735,400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843,256,689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03/01/16-03/31/16</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578,866</w:t>
            </w:r>
          </w:p>
        </w:tc>
        <w:tc>
          <w:tcPr>
            <w:tcW w:w="66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58.26</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578,866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809,532,953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1,808,552</w:t>
            </w:r>
          </w:p>
        </w:tc>
        <w:tc>
          <w:tcPr>
            <w:tcW w:w="600" w:type="dxa"/>
            <w:vAlign w:val="bottom"/>
          </w:tcPr>
          <w:p>
            <w:pPr>
              <w:spacing w:after="0"/>
              <w:rPr>
                <w:sz w:val="19"/>
                <w:szCs w:val="19"/>
                <w:color w:val="auto"/>
              </w:rPr>
            </w:pPr>
          </w:p>
        </w:tc>
        <w:tc>
          <w:tcPr>
            <w:tcW w:w="660" w:type="dxa"/>
            <w:vAlign w:val="bottom"/>
          </w:tcPr>
          <w:p>
            <w:pPr>
              <w:jc w:val="center"/>
              <w:ind w:left="358"/>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55.63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1,808,552</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809,532,953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100" w:hanging="452"/>
        <w:spacing w:after="0" w:line="29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April 2014, our Board of Directors adopted a share repurchase plan authorizing the repurchase of up to $750.0 million of our outstanding ordinary shares, which has no expiration date. In February 2016, our Board of Directors adopted another share repurchase plan for the repurchase of up to an additional $750.0 million of our outstanding ordinary shares with no expiration date. Each of the share repurchase plans permits us to purchase our ordinary shares in open market or privately negotiated transactions at times and prices we consider appropriate.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During the three months ended March 31, 2016, we issued an aggregate of 72 ordinary shares upon the conversion of certain of our convertible notes due 2024. Pursuant to the indenture governing the notes, the notes are currently convertible into our ordinary shares, and as of March 31, 2016, $0.2 million principal amount of the notes remained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2016:</w:t>
      </w:r>
    </w:p>
    <w:p>
      <w:pPr>
        <w:spacing w:after="0" w:line="22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January 5,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February 3,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February 5,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February 16, 2016</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March 31, 2016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2019-12-06T22:15:51Z</dcterms:created>
  <dcterms:modified xsi:type="dcterms:W3CDTF">2019-12-06T22:15:51Z</dcterms:modified>
</cp:coreProperties>
</file>