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333-239163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Pricing Term Sheet</w:t>
      </w:r>
    </w:p>
    <w:p>
      <w:pPr>
        <w:spacing w:after="0" w:line="20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RICING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p>
    <w:p>
      <w:pPr>
        <w:sectPr>
          <w:pgSz w:w="11900" w:h="16838" w:orient="portrait"/>
          <w:cols w:equalWidth="0" w:num="1">
            <w:col w:w="11024"/>
          </w:cols>
          <w:pgMar w:left="436" w:top="229" w:right="439" w:bottom="1440" w:gutter="0" w:footer="0" w:header="0"/>
        </w:sectPr>
      </w:pPr>
    </w:p>
    <w:p>
      <w:pPr>
        <w:spacing w:after="0" w:line="252"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Issuer:</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Size:</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Maturity:</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Coupon:</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Price:</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Yield to Maturity:</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Spread to Benchmark Treasury:</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Benchmark Treasury:</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Benchmark Treasury Price and Yield:</w:t>
      </w:r>
    </w:p>
    <w:p>
      <w:pPr>
        <w:spacing w:after="0" w:line="10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Interest Payment Dates: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Amdocs Limited</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$650,000,000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June 15, 2030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2.538%</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100.000% of face amount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2.538%</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1.80%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0.625% due May 15, 2030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98-29+, 0.738%</w:t>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June 15 and December 15, commencing on December 15, 2020</w:t>
      </w:r>
    </w:p>
    <w:p>
      <w:pPr>
        <w:spacing w:after="0" w:line="95" w:lineRule="exact"/>
        <w:rPr>
          <w:sz w:val="24"/>
          <w:szCs w:val="24"/>
          <w:color w:val="auto"/>
        </w:rPr>
      </w:pPr>
    </w:p>
    <w:p>
      <w:pPr>
        <w:sectPr>
          <w:pgSz w:w="11900" w:h="16838" w:orient="portrait"/>
          <w:cols w:equalWidth="0" w:num="2">
            <w:col w:w="3024" w:space="720"/>
            <w:col w:w="7280"/>
          </w:cols>
          <w:pgMar w:left="436" w:top="229" w:right="43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Redemption Provisions:</w:t>
      </w:r>
    </w:p>
    <w:p>
      <w:pPr>
        <w:sectPr>
          <w:pgSz w:w="11900" w:h="16838" w:orient="portrait"/>
          <w:cols w:equalWidth="0" w:num="1">
            <w:col w:w="11024"/>
          </w:cols>
          <w:pgMar w:left="436" w:top="229" w:right="439" w:bottom="1440" w:gutter="0" w:footer="0" w:header="0"/>
          <w:type w:val="continuous"/>
        </w:sectPr>
      </w:pPr>
    </w:p>
    <w:p>
      <w:pPr>
        <w:spacing w:after="0" w:line="11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Make-Whole Call:</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Par Call:</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Ratings*:</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Trade Date:</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Settlement**:</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CUSIP:</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ISIN:</w:t>
      </w:r>
    </w:p>
    <w:p>
      <w:pPr>
        <w:spacing w:after="0" w:line="77"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Minimum denomination: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color w:val="auto"/>
        </w:rPr>
        <w:t>At any time at a discount rate of Treasury plus 30 basis points</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On or after March 15, 2030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Baa2 (Moody’s) / BBB (S&amp;P)</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June 17, 2020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T+5; June 24, 2020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02342T AE9</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US02342TAE91</w:t>
      </w:r>
    </w:p>
    <w:p>
      <w:pPr>
        <w:spacing w:after="0" w:line="77" w:lineRule="exact"/>
        <w:rPr>
          <w:sz w:val="24"/>
          <w:szCs w:val="24"/>
          <w:color w:val="auto"/>
        </w:rPr>
      </w:pPr>
    </w:p>
    <w:p>
      <w:pPr>
        <w:spacing w:after="0"/>
        <w:rPr>
          <w:sz w:val="20"/>
          <w:szCs w:val="20"/>
          <w:color w:val="auto"/>
        </w:rPr>
      </w:pPr>
      <w:r>
        <w:rPr>
          <w:rFonts w:ascii="Arial" w:cs="Arial" w:eastAsia="Arial" w:hAnsi="Arial"/>
          <w:sz w:val="17"/>
          <w:szCs w:val="17"/>
          <w:color w:val="auto"/>
        </w:rPr>
        <w:t>$2,000 and integral multiples of $1,000 in excess thereof</w:t>
      </w:r>
    </w:p>
    <w:p>
      <w:pPr>
        <w:spacing w:after="0" w:line="200" w:lineRule="exact"/>
        <w:rPr>
          <w:sz w:val="24"/>
          <w:szCs w:val="24"/>
          <w:color w:val="auto"/>
        </w:rPr>
      </w:pPr>
    </w:p>
    <w:p>
      <w:pPr>
        <w:sectPr>
          <w:pgSz w:w="11900" w:h="16838" w:orient="portrait"/>
          <w:cols w:equalWidth="0" w:num="2">
            <w:col w:w="3024" w:space="720"/>
            <w:col w:w="7280"/>
          </w:cols>
          <w:pgMar w:left="436" w:top="229" w:right="439" w:bottom="1440" w:gutter="0" w:footer="0" w:header="0"/>
          <w:type w:val="continuous"/>
        </w:sectPr>
      </w:pPr>
    </w:p>
    <w:p>
      <w:pPr>
        <w:spacing w:after="0" w:line="60"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Note: A securities rating is not a recommendation to buy, sell or hold securities and may be revised or withdrawn at any time.</w:t>
      </w:r>
    </w:p>
    <w:p>
      <w:pPr>
        <w:spacing w:after="0" w:line="142" w:lineRule="exact"/>
        <w:rPr>
          <w:sz w:val="24"/>
          <w:szCs w:val="24"/>
          <w:color w:val="auto"/>
        </w:rPr>
      </w:pPr>
    </w:p>
    <w:p>
      <w:pPr>
        <w:ind w:left="424" w:right="40" w:hanging="424"/>
        <w:spacing w:after="0" w:line="298" w:lineRule="auto"/>
        <w:tabs>
          <w:tab w:leader="none" w:pos="42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Under Rule 15c6-1 of the Securities Exchange Act of 1934, as amended, trades in the secondary market generally are required to settle in two business days, unless the parties to any such trade expressly agree otherwise. Accordingly, purchasers who wish to trade the Securities prior to two business days before the date of delivery will be required, by virtue of the fact that the Securities will initially settle in T+5, will need to specify an alternate settlement arrangement at the time of any such trade to prevent a failed settlement. Purchasers of the Securities who wish to trade the Securities prior to two business days before the date of delivery should consult their advisors.</w:t>
      </w:r>
    </w:p>
    <w:p>
      <w:pPr>
        <w:spacing w:after="0" w:line="154" w:lineRule="exact"/>
        <w:rPr>
          <w:sz w:val="24"/>
          <w:szCs w:val="24"/>
          <w:color w:val="auto"/>
        </w:rPr>
      </w:pPr>
    </w:p>
    <w:p>
      <w:pPr>
        <w:ind w:left="4" w:right="20"/>
        <w:spacing w:after="0" w:line="273" w:lineRule="auto"/>
        <w:rPr>
          <w:sz w:val="20"/>
          <w:szCs w:val="20"/>
          <w:color w:val="auto"/>
        </w:rPr>
      </w:pPr>
      <w:r>
        <w:rPr>
          <w:rFonts w:ascii="Arial" w:cs="Arial" w:eastAsia="Arial" w:hAnsi="Arial"/>
          <w:sz w:val="17"/>
          <w:szCs w:val="17"/>
          <w:b w:val="1"/>
          <w:bCs w:val="1"/>
          <w:color w:val="auto"/>
        </w:rPr>
        <w:t>The issuer has filed a registration statement (including a prospectus) with the Securities Exchange Commission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J.P. Morgan Securities LLC collect at 1-212-834-4533, calling Morgan Stanley &amp; Co. LLC toll-free at 1-866-718-1649 or emailing prospectus@morganstanley.com or calling RBC Capital Markets, LLC toll-free at 1-866-375-6829 or emailing rbcnyfixedincomeprospectus@rbccm.com.</w:t>
      </w:r>
    </w:p>
    <w:sectPr>
      <w:pgSz w:w="11900" w:h="16838" w:orient="portrait"/>
      <w:cols w:equalWidth="0" w:num="1">
        <w:col w:w="11024"/>
      </w:cols>
      <w:pgMar w:left="436" w:top="22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2020-06-17T16:28:56Z</dcterms:created>
  <dcterms:modified xsi:type="dcterms:W3CDTF">2020-06-17T16:28:56Z</dcterms:modified>
</cp:coreProperties>
</file>