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FOREIGN PRIVATE ISSUER</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RULE 13a-16 OR 15d-16</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month of January 2023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Hirzel House, Smith Street,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St. Peter Port, Island of Guernsey, GY1 2NG</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Amdocs,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625 Maryville Centre Drive, Suite 200, Saint Louis, Missouri 63141</w:t>
      </w: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129" w:lineRule="exact"/>
        <w:rPr>
          <w:sz w:val="24"/>
          <w:szCs w:val="24"/>
          <w:color w:val="auto"/>
        </w:rPr>
      </w:pPr>
    </w:p>
    <w:p>
      <w:pPr>
        <w:jc w:val="center"/>
        <w:ind w:right="19"/>
        <w:spacing w:after="0" w:line="150" w:lineRule="exact"/>
        <w:tabs>
          <w:tab w:leader="none" w:pos="360" w:val="left"/>
        </w:tabs>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FORM 40-F </w:t>
      </w:r>
      <w:r>
        <w:rPr>
          <w:rFonts w:ascii="MS PGothic" w:cs="MS PGothic" w:eastAsia="MS PGothic" w:hAnsi="MS PGothic"/>
          <w:sz w:val="12"/>
          <w:szCs w:val="12"/>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Indicate by check mark if the registrant is submitting the Form 6-K in paper as permitted by Regulation S-T Rule 101(b)(1): </w:t>
      </w:r>
      <w:r>
        <w:rPr>
          <w:rFonts w:ascii="MS PGothic" w:cs="MS PGothic" w:eastAsia="MS PGothic" w:hAnsi="MS PGothic"/>
          <w:sz w:val="13"/>
          <w:szCs w:val="13"/>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Indicate by check mark if the registrant is submitting the Form 6-K in paper as permitted by Regulation S-T Rule 101(b)(7): </w:t>
      </w:r>
      <w:r>
        <w:rPr>
          <w:rFonts w:ascii="MS PGothic" w:cs="MS PGothic" w:eastAsia="MS PGothic" w:hAnsi="MS PGothic"/>
          <w:sz w:val="13"/>
          <w:szCs w:val="13"/>
          <w:color w:val="auto"/>
        </w:rPr>
        <w:t>☐</w:t>
      </w:r>
    </w:p>
    <w:p>
      <w:pPr>
        <w:spacing w:after="0" w:line="178" w:lineRule="exact"/>
        <w:rPr>
          <w:sz w:val="24"/>
          <w:szCs w:val="24"/>
          <w:color w:val="auto"/>
        </w:rPr>
      </w:pPr>
    </w:p>
    <w:p>
      <w:pPr>
        <w:ind w:left="640"/>
        <w:spacing w:after="0"/>
        <w:rPr>
          <w:sz w:val="20"/>
          <w:szCs w:val="20"/>
          <w:color w:val="auto"/>
        </w:rPr>
      </w:pPr>
      <w:r>
        <w:rPr>
          <w:rFonts w:ascii="Arial" w:cs="Arial" w:eastAsia="Arial" w:hAnsi="Arial"/>
          <w:sz w:val="11"/>
          <w:szCs w:val="11"/>
          <w:color w:val="auto"/>
        </w:rPr>
        <w:t>Indicate by check mark whether the registrant by furnishing the information contained in this form is also thereby furnishing the information to the</w:t>
      </w:r>
    </w:p>
    <w:p>
      <w:pPr>
        <w:spacing w:after="0" w:line="34" w:lineRule="exact"/>
        <w:rPr>
          <w:sz w:val="24"/>
          <w:szCs w:val="24"/>
          <w:color w:val="auto"/>
        </w:rPr>
      </w:pPr>
    </w:p>
    <w:p>
      <w:pPr>
        <w:ind w:left="640"/>
        <w:spacing w:after="0"/>
        <w:rPr>
          <w:sz w:val="20"/>
          <w:szCs w:val="20"/>
          <w:color w:val="auto"/>
        </w:rPr>
      </w:pPr>
      <w:r>
        <w:rPr>
          <w:rFonts w:ascii="Arial" w:cs="Arial" w:eastAsia="Arial" w:hAnsi="Arial"/>
          <w:sz w:val="13"/>
          <w:szCs w:val="13"/>
          <w:color w:val="auto"/>
        </w:rPr>
        <w:t>Commission pursuant to Rule 12g3-2(b) under the Securities Exchange Act of 1934:</w:t>
      </w:r>
    </w:p>
    <w:p>
      <w:pPr>
        <w:spacing w:after="0" w:line="120" w:lineRule="exact"/>
        <w:rPr>
          <w:sz w:val="24"/>
          <w:szCs w:val="24"/>
          <w:color w:val="auto"/>
        </w:rPr>
      </w:pPr>
    </w:p>
    <w:p>
      <w:pPr>
        <w:ind w:left="3920"/>
        <w:spacing w:after="0" w:line="150" w:lineRule="exact"/>
        <w:tabs>
          <w:tab w:leader="none" w:pos="472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115570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145415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 w:name="page2"/>
    <w:bookmarkEnd w:id="1"/>
    <w:p>
      <w:pPr>
        <w:ind w:left="640" w:right="699"/>
        <w:spacing w:after="0" w:line="35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January 31, 2023 Amdocs Limited (“Amdocs”) issued a press release announcing financial results for the quarter ended December 31, 2022. A copy of the press release and the accompanying presentation are furnished as Exhibits 99.1 and 99.2 to this Report of Foreign Private Issuer on Form 6-K.</w:t>
      </w:r>
    </w:p>
    <w:p>
      <w:pPr>
        <w:spacing w:after="0" w:line="84" w:lineRule="exact"/>
        <w:rPr>
          <w:sz w:val="20"/>
          <w:szCs w:val="20"/>
          <w:color w:val="auto"/>
        </w:rPr>
      </w:pPr>
    </w:p>
    <w:p>
      <w:pPr>
        <w:ind w:left="640" w:right="759"/>
        <w:spacing w:after="0" w:line="252" w:lineRule="auto"/>
        <w:rPr>
          <w:sz w:val="20"/>
          <w:szCs w:val="20"/>
          <w:color w:val="auto"/>
        </w:rPr>
      </w:pPr>
      <w:r>
        <w:rPr>
          <w:rFonts w:ascii="Arial" w:cs="Arial" w:eastAsia="Arial" w:hAnsi="Arial"/>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3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AMDOCS LIMITED</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6985</wp:posOffset>
            </wp:positionV>
            <wp:extent cx="18230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3"/>
          <w:szCs w:val="13"/>
          <w:color w:val="auto"/>
        </w:rPr>
        <w:t>Matthew E. Smith</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3"/>
          <w:szCs w:val="13"/>
          <w:i w:val="1"/>
          <w:iCs w:val="1"/>
          <w:color w:val="auto"/>
        </w:rPr>
        <w:t>Secretary and Authorized Signatory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January 31, 2023</w:t>
      </w:r>
    </w:p>
    <w:p>
      <w:pPr>
        <w:sectPr>
          <w:pgSz w:w="11900" w:h="16838" w:orient="portrait"/>
          <w:cols w:equalWidth="0" w:num="1">
            <w:col w:w="9019"/>
          </w:cols>
          <w:pgMar w:left="1440" w:top="231" w:right="1440" w:bottom="144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980" w:type="dxa"/>
            <w:vAlign w:val="bottom"/>
            <w:gridSpan w:val="2"/>
          </w:tcPr>
          <w:p>
            <w:pPr>
              <w:ind w:left="640"/>
              <w:spacing w:after="0"/>
              <w:rPr>
                <w:sz w:val="20"/>
                <w:szCs w:val="20"/>
                <w:color w:val="auto"/>
              </w:rPr>
            </w:pPr>
            <w:r>
              <w:rPr>
                <w:rFonts w:ascii="Arial" w:cs="Arial" w:eastAsia="Arial" w:hAnsi="Arial"/>
                <w:sz w:val="13"/>
                <w:szCs w:val="13"/>
                <w:color w:val="auto"/>
              </w:rPr>
              <w:t>EXHIBIT INDEX</w:t>
            </w:r>
          </w:p>
        </w:tc>
        <w:tc>
          <w:tcPr>
            <w:tcW w:w="0" w:type="dxa"/>
            <w:vAlign w:val="bottom"/>
          </w:tcPr>
          <w:p>
            <w:pPr>
              <w:spacing w:after="0"/>
              <w:rPr>
                <w:sz w:val="1"/>
                <w:szCs w:val="1"/>
                <w:color w:val="auto"/>
              </w:rPr>
            </w:pPr>
          </w:p>
        </w:tc>
      </w:tr>
      <w:tr>
        <w:trPr>
          <w:trHeight w:val="262"/>
        </w:trPr>
        <w:tc>
          <w:tcPr>
            <w:tcW w:w="86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6880" w:type="dxa"/>
            <w:vAlign w:val="bottom"/>
            <w:gridSpan w:val="3"/>
            <w:vMerge w:val="restart"/>
          </w:tcPr>
          <w:p>
            <w:pPr>
              <w:spacing w:after="0"/>
              <w:rPr>
                <w:sz w:val="20"/>
                <w:szCs w:val="20"/>
                <w:color w:val="auto"/>
              </w:rPr>
            </w:pPr>
            <w:r>
              <w:rPr>
                <w:rFonts w:ascii="Arial" w:cs="Arial" w:eastAsia="Arial" w:hAnsi="Arial"/>
                <w:sz w:val="10"/>
                <w:szCs w:val="10"/>
                <w:color w:val="auto"/>
              </w:rPr>
              <w:t>DESCRIPTION</w:t>
            </w:r>
          </w:p>
        </w:tc>
        <w:tc>
          <w:tcPr>
            <w:tcW w:w="0" w:type="dxa"/>
            <w:vAlign w:val="bottom"/>
          </w:tcPr>
          <w:p>
            <w:pPr>
              <w:spacing w:after="0"/>
              <w:rPr>
                <w:sz w:val="1"/>
                <w:szCs w:val="1"/>
                <w:color w:val="auto"/>
              </w:rPr>
            </w:pPr>
          </w:p>
        </w:tc>
      </w:tr>
      <w:tr>
        <w:trPr>
          <w:trHeight w:val="117"/>
        </w:trPr>
        <w:tc>
          <w:tcPr>
            <w:tcW w:w="860" w:type="dxa"/>
            <w:vAlign w:val="bottom"/>
            <w:gridSpan w:val="2"/>
          </w:tcPr>
          <w:p>
            <w:pPr>
              <w:ind w:left="120"/>
              <w:spacing w:after="0"/>
              <w:rPr>
                <w:sz w:val="20"/>
                <w:szCs w:val="20"/>
                <w:color w:val="auto"/>
              </w:rPr>
            </w:pPr>
            <w:r>
              <w:rPr>
                <w:rFonts w:ascii="Arial" w:cs="Arial" w:eastAsia="Arial" w:hAnsi="Arial"/>
                <w:sz w:val="10"/>
                <w:szCs w:val="10"/>
                <w:color w:val="auto"/>
              </w:rPr>
              <w:t>NO.</w:t>
            </w:r>
          </w:p>
        </w:tc>
        <w:tc>
          <w:tcPr>
            <w:tcW w:w="6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99.1</w:t>
            </w:r>
          </w:p>
        </w:tc>
        <w:tc>
          <w:tcPr>
            <w:tcW w:w="460" w:type="dxa"/>
            <w:vAlign w:val="bottom"/>
          </w:tcPr>
          <w:p>
            <w:pPr>
              <w:spacing w:after="0"/>
              <w:rPr>
                <w:sz w:val="15"/>
                <w:szCs w:val="15"/>
                <w:color w:val="auto"/>
              </w:rPr>
            </w:pPr>
          </w:p>
        </w:tc>
        <w:tc>
          <w:tcPr>
            <w:tcW w:w="688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0000EE"/>
              </w:rPr>
              <w:t>Amdocs Limited Press Release dated January 31, 2023.</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20"/>
                <w:szCs w:val="20"/>
                <w:color w:val="auto"/>
              </w:rPr>
            </w:pPr>
            <w:r>
              <w:rPr>
                <w:rFonts w:ascii="Arial" w:cs="Arial" w:eastAsia="Arial" w:hAnsi="Arial"/>
                <w:sz w:val="13"/>
                <w:szCs w:val="13"/>
                <w:color w:val="auto"/>
              </w:rPr>
              <w:t>99.2</w:t>
            </w:r>
          </w:p>
        </w:tc>
        <w:tc>
          <w:tcPr>
            <w:tcW w:w="460" w:type="dxa"/>
            <w:vAlign w:val="bottom"/>
          </w:tcPr>
          <w:p>
            <w:pPr>
              <w:spacing w:after="0"/>
              <w:rPr>
                <w:sz w:val="18"/>
                <w:szCs w:val="18"/>
                <w:color w:val="auto"/>
              </w:rPr>
            </w:pPr>
          </w:p>
        </w:tc>
        <w:tc>
          <w:tcPr>
            <w:tcW w:w="19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3"/>
                <w:szCs w:val="13"/>
                <w:color w:val="0000EE"/>
                <w:w w:val="85"/>
              </w:rPr>
              <w:t>Fiscal Q1 2023 Earnings Presentation</w:t>
            </w:r>
          </w:p>
        </w:tc>
        <w:tc>
          <w:tcPr>
            <w:tcW w:w="900" w:type="dxa"/>
            <w:vAlign w:val="bottom"/>
            <w:tcBorders>
              <w:top w:val="single" w:sz="8" w:color="0000EE"/>
            </w:tcBorders>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5"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4" w:name="page5"/>
    <w:bookmarkEnd w:id="4"/>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118110</wp:posOffset>
            </wp:positionV>
            <wp:extent cx="1227455" cy="318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7455" cy="31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3"/>
          <w:szCs w:val="13"/>
          <w:b w:val="1"/>
          <w:bCs w:val="1"/>
          <w:i w:val="1"/>
          <w:iCs w:val="1"/>
          <w:color w:val="auto"/>
        </w:rPr>
        <w:t>Amdocs Limited Reports First Quarter Fiscal 2023 Results</w:t>
      </w:r>
    </w:p>
    <w:p>
      <w:pPr>
        <w:spacing w:after="0" w:line="78" w:lineRule="exact"/>
        <w:rPr>
          <w:sz w:val="20"/>
          <w:szCs w:val="20"/>
          <w:color w:val="auto"/>
        </w:rPr>
      </w:pPr>
    </w:p>
    <w:p>
      <w:pPr>
        <w:ind w:left="2240"/>
        <w:spacing w:after="0"/>
        <w:rPr>
          <w:sz w:val="20"/>
          <w:szCs w:val="20"/>
          <w:color w:val="auto"/>
        </w:rPr>
      </w:pPr>
      <w:r>
        <w:rPr>
          <w:rFonts w:ascii="Arial" w:cs="Arial" w:eastAsia="Arial" w:hAnsi="Arial"/>
          <w:sz w:val="13"/>
          <w:szCs w:val="13"/>
          <w:i w:val="1"/>
          <w:iCs w:val="1"/>
          <w:color w:val="auto"/>
        </w:rPr>
        <w:t>Record Quarterly Revenue of $1.19 Billion, up 7.3% YoY as Reported and up 9.5% YoY in</w:t>
      </w:r>
    </w:p>
    <w:p>
      <w:pPr>
        <w:jc w:val="center"/>
        <w:spacing w:after="0" w:line="189" w:lineRule="auto"/>
        <w:rPr>
          <w:sz w:val="20"/>
          <w:szCs w:val="20"/>
          <w:color w:val="auto"/>
        </w:rPr>
      </w:pPr>
      <w:r>
        <w:rPr>
          <w:rFonts w:ascii="Arial" w:cs="Arial" w:eastAsia="Arial" w:hAnsi="Arial"/>
          <w:sz w:val="13"/>
          <w:szCs w:val="13"/>
          <w:i w:val="1"/>
          <w:iCs w:val="1"/>
          <w:color w:val="auto"/>
        </w:rPr>
        <w:t>Constant Currency</w:t>
      </w:r>
      <w:r>
        <w:rPr>
          <w:rFonts w:ascii="Arial" w:cs="Arial" w:eastAsia="Arial" w:hAnsi="Arial"/>
          <w:sz w:val="18"/>
          <w:szCs w:val="18"/>
          <w:i w:val="1"/>
          <w:iCs w:val="1"/>
          <w:color w:val="auto"/>
          <w:vertAlign w:val="superscript"/>
        </w:rPr>
        <w:t>(2)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Continued Sales Momentum &amp; Strong Revenue Growth</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Reiterates Fiscal 2023 GAAP Diluted EPS Growth Outlook of 3%-10% YoY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Raises Fiscal 2023 Non-GAAP Diluted EPS Growth Outlook to 9%-13% YoY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Reiterates Fiscal 2023 Free Cash Flow</w:t>
      </w:r>
      <w:r>
        <w:rPr>
          <w:rFonts w:ascii="Arial" w:cs="Arial" w:eastAsia="Arial" w:hAnsi="Arial"/>
          <w:sz w:val="18"/>
          <w:szCs w:val="18"/>
          <w:i w:val="1"/>
          <w:iCs w:val="1"/>
          <w:color w:val="auto"/>
          <w:vertAlign w:val="superscript"/>
        </w:rPr>
        <w:t>(1)</w:t>
      </w:r>
      <w:r>
        <w:rPr>
          <w:rFonts w:ascii="Arial" w:cs="Arial" w:eastAsia="Arial" w:hAnsi="Arial"/>
          <w:sz w:val="13"/>
          <w:szCs w:val="13"/>
          <w:i w:val="1"/>
          <w:iCs w:val="1"/>
          <w:color w:val="auto"/>
        </w:rPr>
        <w:t xml:space="preserve"> Outlook of $700 Million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First Quarter Fiscal 2023 Highlights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(All comparisons are against the prior year)</w:t>
      </w:r>
    </w:p>
    <w:p>
      <w:pPr>
        <w:spacing w:after="0" w:line="87" w:lineRule="exact"/>
        <w:rPr>
          <w:sz w:val="20"/>
          <w:szCs w:val="20"/>
          <w:color w:val="auto"/>
        </w:rPr>
      </w:pPr>
    </w:p>
    <w:p>
      <w:pPr>
        <w:ind w:left="1320" w:right="1239" w:hanging="303"/>
        <w:spacing w:after="0" w:line="210"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revenue of $1,186 million, up 7.3% as reported and up 9.5% in constant currency</w:t>
      </w:r>
      <w:r>
        <w:rPr>
          <w:rFonts w:ascii="Arial" w:cs="Arial" w:eastAsia="Arial" w:hAnsi="Arial"/>
          <w:sz w:val="18"/>
          <w:szCs w:val="18"/>
          <w:color w:val="auto"/>
          <w:vertAlign w:val="superscript"/>
        </w:rPr>
        <w:t>(2)</w:t>
      </w:r>
      <w:r>
        <w:rPr>
          <w:rFonts w:ascii="Arial" w:cs="Arial" w:eastAsia="Arial" w:hAnsi="Arial"/>
          <w:sz w:val="13"/>
          <w:szCs w:val="13"/>
          <w:color w:val="auto"/>
        </w:rPr>
        <w:t>; revenue was above the midpoint of $1,155-$1,195 million guidance range</w:t>
      </w:r>
    </w:p>
    <w:p>
      <w:pPr>
        <w:spacing w:after="0" w:line="76" w:lineRule="exact"/>
        <w:rPr>
          <w:rFonts w:ascii="Arial" w:cs="Arial" w:eastAsia="Arial" w:hAnsi="Arial"/>
          <w:sz w:val="13"/>
          <w:szCs w:val="13"/>
          <w:color w:val="auto"/>
        </w:rPr>
      </w:pPr>
    </w:p>
    <w:p>
      <w:pPr>
        <w:ind w:left="1320" w:hanging="303"/>
        <w:spacing w:after="0"/>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revenue of $813 million in North America, up 9.0%</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Managed services revenue of $700 million, equivalent to approximately 59% of total revenue</w:t>
      </w:r>
    </w:p>
    <w:p>
      <w:pPr>
        <w:spacing w:after="0" w:line="87" w:lineRule="exact"/>
        <w:rPr>
          <w:rFonts w:ascii="Arial" w:cs="Arial" w:eastAsia="Arial" w:hAnsi="Arial"/>
          <w:sz w:val="13"/>
          <w:szCs w:val="13"/>
          <w:color w:val="auto"/>
        </w:rPr>
      </w:pPr>
    </w:p>
    <w:p>
      <w:pPr>
        <w:ind w:left="1320" w:right="839" w:hanging="303"/>
        <w:spacing w:after="0" w:line="261"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GAAP diluted EPS of $1.07, toward the high end of $1.00-$1.08 guidance range, primarily due to a lower GAAP effective tax rate than anticipated in quarterly guidance, partially offset by restructuring charges</w:t>
      </w:r>
    </w:p>
    <w:p>
      <w:pPr>
        <w:spacing w:after="0" w:line="63" w:lineRule="exact"/>
        <w:rPr>
          <w:rFonts w:ascii="Arial" w:cs="Arial" w:eastAsia="Arial" w:hAnsi="Arial"/>
          <w:sz w:val="13"/>
          <w:szCs w:val="13"/>
          <w:color w:val="auto"/>
        </w:rPr>
      </w:pPr>
    </w:p>
    <w:p>
      <w:pPr>
        <w:ind w:left="1320" w:right="859" w:hanging="303"/>
        <w:spacing w:after="0" w:line="302" w:lineRule="auto"/>
        <w:tabs>
          <w:tab w:leader="none" w:pos="1320" w:val="left"/>
        </w:tabs>
        <w:numPr>
          <w:ilvl w:val="1"/>
          <w:numId w:val="1"/>
        </w:numPr>
        <w:rPr>
          <w:rFonts w:ascii="Arial" w:cs="Arial" w:eastAsia="Arial" w:hAnsi="Arial"/>
          <w:sz w:val="12"/>
          <w:szCs w:val="12"/>
          <w:color w:val="auto"/>
        </w:rPr>
      </w:pPr>
      <w:r>
        <w:rPr>
          <w:rFonts w:ascii="Arial" w:cs="Arial" w:eastAsia="Arial" w:hAnsi="Arial"/>
          <w:sz w:val="12"/>
          <w:szCs w:val="12"/>
          <w:color w:val="auto"/>
        </w:rPr>
        <w:t>Non-GAAP diluted EPS of $1.45, above the guidance range of $1.29-$1.35, primarily due to a lower non-GAAP effective tax rate than anticipated in quarterly guidance as well as non-GAAP operating margin improvement on higher revenue</w:t>
      </w:r>
    </w:p>
    <w:p>
      <w:pPr>
        <w:spacing w:after="0" w:line="41" w:lineRule="exact"/>
        <w:rPr>
          <w:rFonts w:ascii="Arial" w:cs="Arial" w:eastAsia="Arial" w:hAnsi="Arial"/>
          <w:sz w:val="12"/>
          <w:szCs w:val="12"/>
          <w:color w:val="auto"/>
        </w:rPr>
      </w:pPr>
    </w:p>
    <w:p>
      <w:pPr>
        <w:ind w:left="1320" w:right="959" w:hanging="303"/>
        <w:spacing w:after="0" w:line="261"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GAAP operating income of $150 million; GAAP operating margin of 12.7%, down 200 basis points sequentially and down 180 basis points as compared to last year’s first fiscal quarter, primarily due to restructuring charges</w:t>
      </w:r>
    </w:p>
    <w:p>
      <w:pPr>
        <w:spacing w:after="0" w:line="63" w:lineRule="exact"/>
        <w:rPr>
          <w:rFonts w:ascii="Arial" w:cs="Arial" w:eastAsia="Arial" w:hAnsi="Arial"/>
          <w:sz w:val="13"/>
          <w:szCs w:val="13"/>
          <w:color w:val="auto"/>
        </w:rPr>
      </w:pPr>
    </w:p>
    <w:p>
      <w:pPr>
        <w:ind w:left="1320" w:right="899" w:hanging="303"/>
        <w:spacing w:after="0" w:line="261"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Non-GAAP operating income of $210 million; non-GAAP operating margin of 17.7%, up 10 basis points sequentially and up 20 basis points as compared to last year’s first fiscal quarter while accelerating R&amp;D investments</w:t>
      </w:r>
    </w:p>
    <w:p>
      <w:pPr>
        <w:spacing w:after="0" w:line="82" w:lineRule="exact"/>
        <w:rPr>
          <w:rFonts w:ascii="Arial" w:cs="Arial" w:eastAsia="Arial" w:hAnsi="Arial"/>
          <w:sz w:val="13"/>
          <w:szCs w:val="13"/>
          <w:color w:val="auto"/>
        </w:rPr>
      </w:pPr>
    </w:p>
    <w:p>
      <w:pPr>
        <w:ind w:left="940" w:hanging="303"/>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Please refer to the Selected Financial Metrics tables below (figures may not sum because of rounding).</w:t>
      </w:r>
    </w:p>
    <w:p>
      <w:pPr>
        <w:spacing w:after="0" w:line="11" w:lineRule="exact"/>
        <w:rPr>
          <w:rFonts w:ascii="Arial" w:cs="Arial" w:eastAsia="Arial" w:hAnsi="Arial"/>
          <w:sz w:val="13"/>
          <w:szCs w:val="13"/>
          <w:color w:val="auto"/>
        </w:rPr>
      </w:pPr>
    </w:p>
    <w:p>
      <w:pPr>
        <w:ind w:left="940" w:hanging="303"/>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Revenue on a constant currency basis assumes exchange rates in the current period were unchanged from the prior period</w:t>
      </w:r>
    </w:p>
    <w:p>
      <w:pPr>
        <w:sectPr>
          <w:pgSz w:w="11900" w:h="16838" w:orient="portrait"/>
          <w:cols w:equalWidth="0" w:num="1">
            <w:col w:w="9019"/>
          </w:cols>
          <w:pgMar w:left="1440" w:top="127" w:right="1440" w:bottom="1440" w:gutter="0" w:footer="0" w:header="0"/>
        </w:sectPr>
      </w:pPr>
    </w:p>
    <w:bookmarkStart w:id="5" w:name="page6"/>
    <w:bookmarkEnd w:id="5"/>
    <w:p>
      <w:pPr>
        <w:ind w:left="1320" w:right="659" w:hanging="303"/>
        <w:spacing w:after="0" w:line="220"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Free cash flow of $50 million, comprised of cash flow from operations of $83 million, less $34 million in net capital expenditures and other</w:t>
      </w:r>
      <w:r>
        <w:rPr>
          <w:rFonts w:ascii="Arial" w:cs="Arial" w:eastAsia="Arial" w:hAnsi="Arial"/>
          <w:sz w:val="18"/>
          <w:szCs w:val="18"/>
          <w:color w:val="auto"/>
          <w:vertAlign w:val="superscript"/>
        </w:rPr>
        <w:t>(1)</w:t>
      </w:r>
      <w:r>
        <w:rPr>
          <w:rFonts w:ascii="Arial" w:cs="Arial" w:eastAsia="Arial" w:hAnsi="Arial"/>
          <w:sz w:val="13"/>
          <w:szCs w:val="13"/>
          <w:color w:val="auto"/>
        </w:rPr>
        <w:t>; first fiscal quarter free cash flow was impacted by the timing of cash collections due around quarter-end holidays but subsequently received in January; reiterates full year fiscal 2023 free cash outlook of $700 million</w:t>
      </w:r>
    </w:p>
    <w:p>
      <w:pPr>
        <w:spacing w:after="0" w:line="76" w:lineRule="exact"/>
        <w:rPr>
          <w:rFonts w:ascii="Arial" w:cs="Arial" w:eastAsia="Arial" w:hAnsi="Arial"/>
          <w:sz w:val="13"/>
          <w:szCs w:val="13"/>
          <w:color w:val="auto"/>
        </w:rPr>
      </w:pPr>
    </w:p>
    <w:p>
      <w:pPr>
        <w:ind w:left="1320" w:hanging="303"/>
        <w:spacing w:after="0"/>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Repurchased $100 million of ordinary shares during the first fiscal quarter</w:t>
      </w:r>
    </w:p>
    <w:p>
      <w:pPr>
        <w:spacing w:after="0" w:line="87" w:lineRule="exact"/>
        <w:rPr>
          <w:rFonts w:ascii="Arial" w:cs="Arial" w:eastAsia="Arial" w:hAnsi="Arial"/>
          <w:sz w:val="13"/>
          <w:szCs w:val="13"/>
          <w:color w:val="auto"/>
        </w:rPr>
      </w:pPr>
    </w:p>
    <w:p>
      <w:pPr>
        <w:ind w:left="1320" w:right="83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Record twelve-month backlog of $4.09 billion, up approximately $120 million sequentially and up 6.8% as compared to last year’s first fiscal quarter</w:t>
      </w:r>
    </w:p>
    <w:p>
      <w:pPr>
        <w:spacing w:after="0" w:line="126" w:lineRule="exact"/>
        <w:rPr>
          <w:sz w:val="20"/>
          <w:szCs w:val="20"/>
          <w:color w:val="auto"/>
        </w:rPr>
      </w:pPr>
    </w:p>
    <w:p>
      <w:pPr>
        <w:ind w:left="640" w:right="899"/>
        <w:spacing w:after="0" w:line="267" w:lineRule="auto"/>
        <w:rPr>
          <w:sz w:val="20"/>
          <w:szCs w:val="20"/>
          <w:color w:val="auto"/>
        </w:rPr>
      </w:pPr>
      <w:r>
        <w:rPr>
          <w:rFonts w:ascii="Arial" w:cs="Arial" w:eastAsia="Arial" w:hAnsi="Arial"/>
          <w:sz w:val="13"/>
          <w:szCs w:val="13"/>
          <w:b w:val="1"/>
          <w:bCs w:val="1"/>
          <w:color w:val="auto"/>
        </w:rPr>
        <w:t xml:space="preserve">JERSEY CITY, NJ – January 31, 2023 </w:t>
      </w:r>
      <w:r>
        <w:rPr>
          <w:rFonts w:ascii="Arial" w:cs="Arial" w:eastAsia="Arial" w:hAnsi="Arial"/>
          <w:sz w:val="13"/>
          <w:szCs w:val="13"/>
          <w:color w:val="auto"/>
        </w:rPr>
        <w:t>– Amdocs Limited (NASDAQ: DOX), a leading provider of software and services to communications and</w:t>
      </w:r>
      <w:r>
        <w:rPr>
          <w:rFonts w:ascii="Arial" w:cs="Arial" w:eastAsia="Arial" w:hAnsi="Arial"/>
          <w:sz w:val="13"/>
          <w:szCs w:val="13"/>
          <w:b w:val="1"/>
          <w:bCs w:val="1"/>
          <w:color w:val="auto"/>
        </w:rPr>
        <w:t xml:space="preserve"> </w:t>
      </w:r>
      <w:r>
        <w:rPr>
          <w:rFonts w:ascii="Arial" w:cs="Arial" w:eastAsia="Arial" w:hAnsi="Arial"/>
          <w:sz w:val="13"/>
          <w:szCs w:val="13"/>
          <w:color w:val="auto"/>
        </w:rPr>
        <w:t>media companies, today reported operating results for the three months ended December 31, 2022.</w:t>
      </w:r>
    </w:p>
    <w:p>
      <w:pPr>
        <w:spacing w:after="0" w:line="126" w:lineRule="exact"/>
        <w:rPr>
          <w:sz w:val="20"/>
          <w:szCs w:val="20"/>
          <w:color w:val="auto"/>
        </w:rPr>
      </w:pPr>
    </w:p>
    <w:p>
      <w:pPr>
        <w:ind w:left="640" w:right="659"/>
        <w:spacing w:after="0" w:line="250" w:lineRule="auto"/>
        <w:rPr>
          <w:sz w:val="20"/>
          <w:szCs w:val="20"/>
          <w:color w:val="auto"/>
        </w:rPr>
      </w:pPr>
      <w:r>
        <w:rPr>
          <w:rFonts w:ascii="Arial" w:cs="Arial" w:eastAsia="Arial" w:hAnsi="Arial"/>
          <w:sz w:val="12"/>
          <w:szCs w:val="12"/>
          <w:color w:val="auto"/>
        </w:rPr>
        <w:t>“Fiscal year 2023 is off to a strong start as we continued to support our customers on their journey to modernize for the 5G and cloud era. First quarter revenue was a record $1.19 billion, up 9.5% from a year ago in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and driven by continued strength in North America and healthy activity in Europe. Sales momentum was also robust and included a notable new project award to support the 5G fixed wireless access strategy of a leading North American Tier 1 operator. Additionally, Amdocs was selected by Globe Telecom in the Philippines to provide a next-generation 5G charging platform for consumer and business customers. Overall, we ended Q1 with record-high 12-month backlog of $4.09 billion, up roughly 7% from a year ago”, said Shuky Sheffer, president and chief executive officer of Amdocs Management Limited.</w:t>
      </w:r>
    </w:p>
    <w:p>
      <w:pPr>
        <w:spacing w:after="0" w:line="139" w:lineRule="exact"/>
        <w:rPr>
          <w:sz w:val="20"/>
          <w:szCs w:val="20"/>
          <w:color w:val="auto"/>
        </w:rPr>
      </w:pPr>
    </w:p>
    <w:p>
      <w:pPr>
        <w:ind w:left="640" w:right="679"/>
        <w:spacing w:after="0" w:line="271" w:lineRule="auto"/>
        <w:rPr>
          <w:sz w:val="20"/>
          <w:szCs w:val="20"/>
          <w:color w:val="auto"/>
        </w:rPr>
      </w:pPr>
      <w:r>
        <w:rPr>
          <w:rFonts w:ascii="Arial" w:cs="Arial" w:eastAsia="Arial" w:hAnsi="Arial"/>
          <w:sz w:val="12"/>
          <w:szCs w:val="12"/>
          <w:color w:val="auto"/>
        </w:rPr>
        <w:t>“First quarter operating profitability improved on a sequential and year ago basis as we delivered consistent project execution and ongoing efficiency gains while maintaining a focus on R&amp;D investment. Our managed services business also grew in Q1, compared with a year ago. Among the highlights, Dish and Amdocs signed a new managed services agreement which will offer an improved billing experience for Dish commercial customers. Additionally, we extended our relationships with several existing managed services customers under expanded multi-year engagements, including Three UK for which Amdocs is supporting the migration to a modern cloud-based data architecture to enable data-driven decision making,” said Tamar Rapaport-Dagim, chief financial officer &amp; chief operating officer of Amdocs Management Limited.</w:t>
      </w:r>
    </w:p>
    <w:p>
      <w:pPr>
        <w:sectPr>
          <w:pgSz w:w="11900" w:h="16838" w:orient="portrait"/>
          <w:cols w:equalWidth="0" w:num="1">
            <w:col w:w="9019"/>
          </w:cols>
          <w:pgMar w:left="1440" w:top="235" w:right="1440" w:bottom="1440" w:gutter="0" w:footer="0" w:header="0"/>
        </w:sectPr>
      </w:pPr>
    </w:p>
    <w:bookmarkStart w:id="6" w:name="page7"/>
    <w:bookmarkEnd w:id="6"/>
    <w:p>
      <w:pPr>
        <w:ind w:left="640" w:right="779"/>
        <w:spacing w:after="0" w:line="30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Sheffer concluded, “Situated at the heart of a strategic multi-year 5G, digital, network automation and cloud-driven investment cycle, Amdocs is a key technology enabler with market leading products and services and a strong reputation for delivering mission critical systems transformation. While we are closely monitoring the global macroeconomic uncertainty, as a trusted technology partner we continue to see healthy levels of engagement and an attractive pipeline of opportunity as we collaborate with our customers to evaluate their next-generation requirements. Combined with our strong first quarter, and the visibility provided by our unique and resilient business model, we are raising the midpoint of our guidance for non-GAAP diluted earnings per share growth in fiscal 2023, while continuing to expect strong earnings to cash conversion for the full year.”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Revenue</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(All comparisons are against the prior year period)</w:t>
      </w:r>
    </w:p>
    <w:p>
      <w:pPr>
        <w:spacing w:after="0" w:line="167" w:lineRule="exact"/>
        <w:rPr>
          <w:sz w:val="20"/>
          <w:szCs w:val="20"/>
          <w:color w:val="auto"/>
        </w:rPr>
      </w:pPr>
    </w:p>
    <w:tbl>
      <w:tblPr>
        <w:tblLayout w:type="fixed"/>
        <w:tblInd w:w="1560" w:type="dxa"/>
        <w:tblCellMar>
          <w:top w:w="0" w:type="dxa"/>
          <w:left w:w="0" w:type="dxa"/>
          <w:bottom w:w="0" w:type="dxa"/>
          <w:right w:w="0" w:type="dxa"/>
        </w:tblCellMar>
      </w:tblPr>
      <w:tr>
        <w:trPr>
          <w:trHeight w:val="119"/>
        </w:trPr>
        <w:tc>
          <w:tcPr>
            <w:tcW w:w="3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w w:val="98"/>
              </w:rPr>
              <w:t>In Millions</w:t>
            </w:r>
          </w:p>
        </w:tc>
      </w:tr>
      <w:tr>
        <w:trPr>
          <w:trHeight w:val="94"/>
        </w:trPr>
        <w:tc>
          <w:tcPr>
            <w:tcW w:w="3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80" w:type="dxa"/>
            <w:vAlign w:val="bottom"/>
            <w:tcBorders>
              <w:top w:val="single" w:sz="8" w:color="auto"/>
              <w:bottom w:val="single" w:sz="8" w:color="auto"/>
            </w:tcBorders>
            <w:gridSpan w:val="4"/>
          </w:tcPr>
          <w:p>
            <w:pPr>
              <w:jc w:val="center"/>
              <w:spacing w:after="0" w:line="94" w:lineRule="exact"/>
              <w:rPr>
                <w:sz w:val="20"/>
                <w:szCs w:val="20"/>
                <w:color w:val="auto"/>
              </w:rPr>
            </w:pPr>
            <w:r>
              <w:rPr>
                <w:rFonts w:ascii="Arial" w:cs="Arial" w:eastAsia="Arial" w:hAnsi="Arial"/>
                <w:sz w:val="10"/>
                <w:szCs w:val="10"/>
                <w:b w:val="1"/>
                <w:bCs w:val="1"/>
                <w:color w:val="auto"/>
                <w:w w:val="89"/>
              </w:rPr>
              <w:t>Three months ended</w:t>
            </w:r>
          </w:p>
        </w:tc>
        <w:tc>
          <w:tcPr>
            <w:tcW w:w="40" w:type="dxa"/>
            <w:vAlign w:val="bottom"/>
          </w:tcPr>
          <w:p>
            <w:pPr>
              <w:spacing w:after="0"/>
              <w:rPr>
                <w:sz w:val="8"/>
                <w:szCs w:val="8"/>
                <w:color w:val="auto"/>
              </w:rPr>
            </w:pPr>
          </w:p>
        </w:tc>
      </w:tr>
      <w:tr>
        <w:trPr>
          <w:trHeight w:val="94"/>
        </w:trPr>
        <w:tc>
          <w:tcPr>
            <w:tcW w:w="3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80" w:type="dxa"/>
            <w:vAlign w:val="bottom"/>
            <w:tcBorders>
              <w:bottom w:val="single" w:sz="8" w:color="auto"/>
            </w:tcBorders>
            <w:gridSpan w:val="4"/>
          </w:tcPr>
          <w:p>
            <w:pPr>
              <w:jc w:val="center"/>
              <w:spacing w:after="0" w:line="94" w:lineRule="exact"/>
              <w:rPr>
                <w:sz w:val="20"/>
                <w:szCs w:val="20"/>
                <w:color w:val="auto"/>
              </w:rPr>
            </w:pPr>
            <w:r>
              <w:rPr>
                <w:rFonts w:ascii="Arial" w:cs="Arial" w:eastAsia="Arial" w:hAnsi="Arial"/>
                <w:sz w:val="10"/>
                <w:szCs w:val="10"/>
                <w:b w:val="1"/>
                <w:bCs w:val="1"/>
                <w:color w:val="auto"/>
                <w:w w:val="88"/>
              </w:rPr>
              <w:t>December 31, 2022</w:t>
            </w:r>
          </w:p>
        </w:tc>
        <w:tc>
          <w:tcPr>
            <w:tcW w:w="40" w:type="dxa"/>
            <w:vAlign w:val="bottom"/>
          </w:tcPr>
          <w:p>
            <w:pPr>
              <w:spacing w:after="0"/>
              <w:rPr>
                <w:sz w:val="8"/>
                <w:szCs w:val="8"/>
                <w:color w:val="auto"/>
              </w:rPr>
            </w:pPr>
          </w:p>
        </w:tc>
      </w:tr>
      <w:tr>
        <w:trPr>
          <w:trHeight w:val="79"/>
        </w:trPr>
        <w:tc>
          <w:tcPr>
            <w:tcW w:w="3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99"/>
              </w:rPr>
              <w:t>Previous</w:t>
            </w:r>
          </w:p>
        </w:tc>
        <w:tc>
          <w:tcPr>
            <w:tcW w:w="40" w:type="dxa"/>
            <w:vAlign w:val="bottom"/>
          </w:tcPr>
          <w:p>
            <w:pPr>
              <w:spacing w:after="0"/>
              <w:rPr>
                <w:sz w:val="6"/>
                <w:szCs w:val="6"/>
                <w:color w:val="auto"/>
              </w:rPr>
            </w:pPr>
          </w:p>
        </w:tc>
      </w:tr>
      <w:tr>
        <w:trPr>
          <w:trHeight w:val="119"/>
        </w:trPr>
        <w:tc>
          <w:tcPr>
            <w:tcW w:w="3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Actual</w:t>
            </w:r>
          </w:p>
        </w:tc>
        <w:tc>
          <w:tcPr>
            <w:tcW w:w="220" w:type="dxa"/>
            <w:vAlign w:val="bottom"/>
          </w:tcPr>
          <w:p>
            <w:pPr>
              <w:spacing w:after="0"/>
              <w:rPr>
                <w:sz w:val="10"/>
                <w:szCs w:val="10"/>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2"/>
              </w:rPr>
              <w:t>Guidance</w:t>
            </w:r>
          </w:p>
        </w:tc>
      </w:tr>
      <w:tr>
        <w:trPr>
          <w:trHeight w:val="141"/>
        </w:trPr>
        <w:tc>
          <w:tcPr>
            <w:tcW w:w="31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Revenue</w:t>
            </w:r>
          </w:p>
        </w:tc>
        <w:tc>
          <w:tcPr>
            <w:tcW w:w="1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0"/>
              </w:rPr>
              <w:t>$1,186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89"/>
              </w:rPr>
              <w:t>$1,155- $1,195</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140" w:type="dxa"/>
            <w:vAlign w:val="bottom"/>
          </w:tcPr>
          <w:p>
            <w:pPr>
              <w:spacing w:after="0"/>
              <w:rPr>
                <w:sz w:val="20"/>
                <w:szCs w:val="20"/>
                <w:color w:val="auto"/>
              </w:rPr>
            </w:pPr>
            <w:r>
              <w:rPr>
                <w:rFonts w:ascii="Arial" w:cs="Arial" w:eastAsia="Arial" w:hAnsi="Arial"/>
                <w:sz w:val="13"/>
                <w:szCs w:val="13"/>
                <w:color w:val="auto"/>
              </w:rPr>
              <w:t>Revenue growth, as reported</w:t>
            </w:r>
          </w:p>
        </w:tc>
        <w:tc>
          <w:tcPr>
            <w:tcW w:w="1700" w:type="dxa"/>
            <w:vAlign w:val="bottom"/>
            <w:gridSpan w:val="3"/>
          </w:tcPr>
          <w:p>
            <w:pPr>
              <w:jc w:val="right"/>
              <w:ind w:right="20"/>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140" w:type="dxa"/>
            <w:vAlign w:val="bottom"/>
            <w:shd w:val="clear" w:color="auto" w:fill="CCEEFF"/>
          </w:tcPr>
          <w:p>
            <w:pPr>
              <w:spacing w:after="0" w:line="152" w:lineRule="exact"/>
              <w:rPr>
                <w:sz w:val="20"/>
                <w:szCs w:val="20"/>
                <w:color w:val="auto"/>
              </w:rPr>
            </w:pPr>
            <w:r>
              <w:rPr>
                <w:rFonts w:ascii="Arial" w:cs="Arial" w:eastAsia="Arial" w:hAnsi="Arial"/>
                <w:sz w:val="12"/>
                <w:szCs w:val="12"/>
                <w:color w:val="auto"/>
              </w:rPr>
              <w:t>Revenue growth, constant currency</w:t>
            </w:r>
            <w:r>
              <w:rPr>
                <w:rFonts w:ascii="Arial" w:cs="Arial" w:eastAsia="Arial" w:hAnsi="Arial"/>
                <w:sz w:val="17"/>
                <w:szCs w:val="17"/>
                <w:color w:val="auto"/>
                <w:vertAlign w:val="superscript"/>
              </w:rPr>
              <w:t>(2)</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9.5%</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76" w:lineRule="exact"/>
        <w:rPr>
          <w:sz w:val="20"/>
          <w:szCs w:val="20"/>
          <w:color w:val="auto"/>
        </w:rPr>
      </w:pPr>
    </w:p>
    <w:p>
      <w:pPr>
        <w:ind w:left="1320" w:right="779" w:hanging="303"/>
        <w:spacing w:after="0" w:line="26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for the first fiscal quarter of 2023 was above the midpoint of Amdocs’ guidance, even after adjusting for a positive impact from foreign currency movements of approximately $9 million compared to our guidance assumptions</w:t>
      </w:r>
    </w:p>
    <w:p>
      <w:pPr>
        <w:spacing w:after="0" w:line="63" w:lineRule="exact"/>
        <w:rPr>
          <w:rFonts w:ascii="Arial" w:cs="Arial" w:eastAsia="Arial" w:hAnsi="Arial"/>
          <w:sz w:val="13"/>
          <w:szCs w:val="13"/>
          <w:color w:val="auto"/>
        </w:rPr>
      </w:pPr>
    </w:p>
    <w:p>
      <w:pPr>
        <w:ind w:left="1320" w:right="719" w:hanging="303"/>
        <w:spacing w:after="0" w:line="26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for the first fiscal quarter includes an unfavorable impact from foreign currency movements of approximately $3 million relative to the fourth quarter of fiscal 2022</w:t>
      </w:r>
    </w:p>
    <w:p>
      <w:pPr>
        <w:sectPr>
          <w:pgSz w:w="11900" w:h="16838" w:orient="portrait"/>
          <w:cols w:equalWidth="0" w:num="1">
            <w:col w:w="9019"/>
          </w:cols>
          <w:pgMar w:left="1440" w:top="235" w:right="1440" w:bottom="1440" w:gutter="0" w:footer="0" w:header="0"/>
        </w:sectPr>
      </w:pPr>
    </w:p>
    <w:bookmarkStart w:id="7" w:name="page8"/>
    <w:bookmarkEnd w:id="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Net Income and Earnings Per Share</w:t>
      </w:r>
    </w:p>
    <w:p>
      <w:pPr>
        <w:spacing w:after="0" w:line="170" w:lineRule="exact"/>
        <w:rPr>
          <w:sz w:val="20"/>
          <w:szCs w:val="20"/>
          <w:color w:val="auto"/>
        </w:rPr>
      </w:pPr>
    </w:p>
    <w:p>
      <w:pPr>
        <w:jc w:val="center"/>
        <w:ind w:left="4620"/>
        <w:spacing w:after="0"/>
        <w:rPr>
          <w:sz w:val="20"/>
          <w:szCs w:val="20"/>
          <w:color w:val="auto"/>
        </w:rPr>
      </w:pPr>
      <w:r>
        <w:rPr>
          <w:rFonts w:ascii="Arial" w:cs="Arial" w:eastAsia="Arial" w:hAnsi="Arial"/>
          <w:sz w:val="10"/>
          <w:szCs w:val="10"/>
          <w:b w:val="1"/>
          <w:bCs w:val="1"/>
          <w:color w:val="auto"/>
        </w:rPr>
        <w:t>In thousands, except per</w:t>
      </w:r>
    </w:p>
    <w:p>
      <w:pPr>
        <w:jc w:val="center"/>
        <w:ind w:left="4620"/>
        <w:spacing w:after="0" w:line="217" w:lineRule="auto"/>
        <w:rPr>
          <w:sz w:val="20"/>
          <w:szCs w:val="20"/>
          <w:color w:val="auto"/>
        </w:rPr>
      </w:pPr>
      <w:r>
        <w:rPr>
          <w:rFonts w:ascii="Arial" w:cs="Arial" w:eastAsia="Arial" w:hAnsi="Arial"/>
          <w:sz w:val="10"/>
          <w:szCs w:val="10"/>
          <w:b w:val="1"/>
          <w:bCs w:val="1"/>
          <w:color w:val="auto"/>
        </w:rPr>
        <w:t>share data</w:t>
      </w:r>
    </w:p>
    <w:p>
      <w:pPr>
        <w:jc w:val="center"/>
        <w:ind w:left="4620"/>
        <w:spacing w:after="0" w:line="218" w:lineRule="auto"/>
        <w:rPr>
          <w:sz w:val="20"/>
          <w:szCs w:val="20"/>
          <w:color w:val="auto"/>
        </w:rPr>
      </w:pPr>
      <w:r>
        <w:rPr>
          <w:rFonts w:ascii="Arial" w:cs="Arial" w:eastAsia="Arial" w:hAnsi="Arial"/>
          <w:sz w:val="10"/>
          <w:szCs w:val="10"/>
          <w:b w:val="1"/>
          <w:bCs w:val="1"/>
          <w:color w:val="auto"/>
        </w:rPr>
        <w:t>Three months ended</w:t>
      </w:r>
    </w:p>
    <w:p>
      <w:pPr>
        <w:jc w:val="center"/>
        <w:ind w:left="4620"/>
        <w:spacing w:after="0" w:line="227" w:lineRule="auto"/>
        <w:rPr>
          <w:sz w:val="20"/>
          <w:szCs w:val="20"/>
          <w:color w:val="auto"/>
        </w:rPr>
      </w:pPr>
      <w:r>
        <w:rPr>
          <w:rFonts w:ascii="Arial" w:cs="Arial" w:eastAsia="Arial" w:hAnsi="Arial"/>
          <w:sz w:val="10"/>
          <w:szCs w:val="10"/>
          <w:b w:val="1"/>
          <w:bCs w:val="1"/>
          <w:color w:val="auto"/>
        </w:rPr>
        <w:t>December 31,</w:t>
      </w:r>
    </w:p>
    <w:tbl>
      <w:tblPr>
        <w:tblLayout w:type="fixed"/>
        <w:tblInd w:w="1560" w:type="dxa"/>
        <w:tblCellMar>
          <w:top w:w="0" w:type="dxa"/>
          <w:left w:w="0" w:type="dxa"/>
          <w:bottom w:w="0" w:type="dxa"/>
          <w:right w:w="0" w:type="dxa"/>
        </w:tblCellMar>
      </w:tblPr>
      <w:tr>
        <w:trPr>
          <w:trHeight w:val="94"/>
        </w:trPr>
        <w:tc>
          <w:tcPr>
            <w:tcW w:w="46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9"/>
              <w:spacing w:after="0" w:line="94" w:lineRule="exact"/>
              <w:rPr>
                <w:sz w:val="20"/>
                <w:szCs w:val="20"/>
                <w:color w:val="auto"/>
              </w:rPr>
            </w:pPr>
            <w:r>
              <w:rPr>
                <w:rFonts w:ascii="Arial" w:cs="Arial" w:eastAsia="Arial" w:hAnsi="Arial"/>
                <w:sz w:val="10"/>
                <w:szCs w:val="10"/>
                <w:b w:val="1"/>
                <w:bCs w:val="1"/>
                <w:color w:val="auto"/>
              </w:rPr>
              <w:t>2022</w:t>
            </w:r>
          </w:p>
        </w:tc>
        <w:tc>
          <w:tcPr>
            <w:tcW w:w="2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9"/>
              <w:spacing w:after="0" w:line="9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32"/>
        </w:trPr>
        <w:tc>
          <w:tcPr>
            <w:tcW w:w="466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GAAP Measures</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4660" w:type="dxa"/>
            <w:vAlign w:val="bottom"/>
          </w:tcPr>
          <w:p>
            <w:pPr>
              <w:spacing w:after="0"/>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w w:val="85"/>
              </w:rPr>
              <w:t>129,872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133,602</w:t>
            </w:r>
          </w:p>
        </w:tc>
      </w:tr>
      <w:tr>
        <w:trPr>
          <w:trHeight w:val="152"/>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Amdocs Limited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5"/>
              </w:rPr>
              <w:t>129,667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133,602</w:t>
            </w:r>
          </w:p>
        </w:tc>
      </w:tr>
      <w:tr>
        <w:trPr>
          <w:trHeight w:val="152"/>
        </w:trPr>
        <w:tc>
          <w:tcPr>
            <w:tcW w:w="466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1.07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1.07</w:t>
            </w:r>
          </w:p>
        </w:tc>
      </w:tr>
      <w:tr>
        <w:trPr>
          <w:trHeight w:val="152"/>
        </w:trPr>
        <w:tc>
          <w:tcPr>
            <w:tcW w:w="4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Non-GAAP Measures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660" w:type="dxa"/>
            <w:vAlign w:val="bottom"/>
          </w:tcPr>
          <w:p>
            <w:pPr>
              <w:spacing w:after="0"/>
              <w:rPr>
                <w:sz w:val="20"/>
                <w:szCs w:val="20"/>
                <w:color w:val="auto"/>
              </w:rPr>
            </w:pPr>
            <w:r>
              <w:rPr>
                <w:rFonts w:ascii="Arial" w:cs="Arial" w:eastAsia="Arial" w:hAnsi="Arial"/>
                <w:sz w:val="13"/>
                <w:szCs w:val="13"/>
                <w:color w:val="auto"/>
              </w:rPr>
              <w:t>Non-GAAP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w w:val="85"/>
              </w:rPr>
              <w:t>176,542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150,135</w:t>
            </w:r>
          </w:p>
        </w:tc>
      </w:tr>
      <w:tr>
        <w:trPr>
          <w:trHeight w:val="152"/>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 attributable to Amdocs Limited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5"/>
              </w:rPr>
              <w:t>176,337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150,135</w:t>
            </w:r>
          </w:p>
        </w:tc>
      </w:tr>
      <w:tr>
        <w:trPr>
          <w:trHeight w:val="161"/>
        </w:trPr>
        <w:tc>
          <w:tcPr>
            <w:tcW w:w="4660" w:type="dxa"/>
            <w:vAlign w:val="bottom"/>
          </w:tcPr>
          <w:p>
            <w:pPr>
              <w:spacing w:after="0"/>
              <w:rPr>
                <w:sz w:val="20"/>
                <w:szCs w:val="20"/>
                <w:color w:val="auto"/>
              </w:rPr>
            </w:pPr>
            <w:r>
              <w:rPr>
                <w:rFonts w:ascii="Arial" w:cs="Arial" w:eastAsia="Arial" w:hAnsi="Arial"/>
                <w:sz w:val="13"/>
                <w:szCs w:val="13"/>
                <w:color w:val="auto"/>
              </w:rPr>
              <w:t>Non-GAAP Diluted earnings per share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1.45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1.20</w:t>
            </w:r>
          </w:p>
        </w:tc>
      </w:tr>
    </w:tbl>
    <w:p>
      <w:pPr>
        <w:spacing w:after="0" w:line="68" w:lineRule="exact"/>
        <w:rPr>
          <w:sz w:val="20"/>
          <w:szCs w:val="20"/>
          <w:color w:val="auto"/>
        </w:rPr>
      </w:pPr>
    </w:p>
    <w:p>
      <w:pPr>
        <w:ind w:left="1320" w:right="799" w:hanging="303"/>
        <w:spacing w:after="0" w:line="283" w:lineRule="auto"/>
        <w:tabs>
          <w:tab w:leader="none" w:pos="1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Non-GAAP net income excludes amortization of purchased intangible assets and other acquisition-related costs, changes in certain acquisition related liabilities measured at fair value, equity-based compensation expenses, restructuring charges, gain from divestiture of OpenMarket and other, net of related tax effects, in all the periods presented.</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further details of the reconciliation of selected financial metrics from GAAP to Non-GAAP, please refer to the tables below.</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Capital Allocation: Returning Cash to Shareholders</w:t>
      </w:r>
    </w:p>
    <w:p>
      <w:pPr>
        <w:spacing w:after="0" w:line="91" w:lineRule="exact"/>
        <w:rPr>
          <w:sz w:val="20"/>
          <w:szCs w:val="20"/>
          <w:color w:val="auto"/>
        </w:rPr>
      </w:pPr>
    </w:p>
    <w:p>
      <w:pPr>
        <w:jc w:val="both"/>
        <w:ind w:left="1320" w:right="679" w:hanging="303"/>
        <w:spacing w:after="0" w:line="320" w:lineRule="auto"/>
        <w:tabs>
          <w:tab w:leader="none" w:pos="13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Quarterly Cash Dividend Program: </w:t>
      </w:r>
      <w:r>
        <w:rPr>
          <w:rFonts w:ascii="Arial" w:cs="Arial" w:eastAsia="Arial" w:hAnsi="Arial"/>
          <w:sz w:val="11"/>
          <w:szCs w:val="11"/>
          <w:color w:val="auto"/>
        </w:rPr>
        <w:t>On January 31, 2023, the Board approved the Company’s next quarterly cash dividend payment at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new increased rate of $0.435 per share, as approved at the January 2023 annual general meeting of shareholders and set March 31, 2023 as the record date for determining the shareholders entitled to receive the dividend, which will be payable on April 28, 2023</w:t>
      </w:r>
    </w:p>
    <w:p>
      <w:pPr>
        <w:spacing w:after="0" w:line="34" w:lineRule="exact"/>
        <w:rPr>
          <w:rFonts w:ascii="Arial" w:cs="Arial" w:eastAsia="Arial" w:hAnsi="Arial"/>
          <w:sz w:val="11"/>
          <w:szCs w:val="11"/>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Share Repurchase Activity: </w:t>
      </w:r>
      <w:r>
        <w:rPr>
          <w:rFonts w:ascii="Arial" w:cs="Arial" w:eastAsia="Arial" w:hAnsi="Arial"/>
          <w:sz w:val="13"/>
          <w:szCs w:val="13"/>
          <w:color w:val="auto"/>
        </w:rPr>
        <w:t>Repurchased $100 million of ordinary shares during the first quarter of fiscal 2023</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Twelve-month Backlog</w:t>
      </w:r>
    </w:p>
    <w:p>
      <w:pPr>
        <w:spacing w:after="0" w:line="82" w:lineRule="exact"/>
        <w:rPr>
          <w:sz w:val="20"/>
          <w:szCs w:val="20"/>
          <w:color w:val="auto"/>
        </w:rPr>
      </w:pPr>
    </w:p>
    <w:p>
      <w:pPr>
        <w:jc w:val="both"/>
        <w:ind w:left="640" w:right="859"/>
        <w:spacing w:after="0" w:line="252" w:lineRule="auto"/>
        <w:rPr>
          <w:sz w:val="20"/>
          <w:szCs w:val="20"/>
          <w:color w:val="auto"/>
        </w:rPr>
      </w:pPr>
      <w:r>
        <w:rPr>
          <w:rFonts w:ascii="Arial" w:cs="Arial" w:eastAsia="Arial" w:hAnsi="Arial"/>
          <w:sz w:val="13"/>
          <w:szCs w:val="13"/>
          <w:color w:val="auto"/>
        </w:rPr>
        <w:t>Twelve-month backlog was a record $4.09 billion at the end of the first quarter of fiscal 2023, up approximately 6.8% as compared to last year’s first fiscal quarter. Twelve-month backlog includes anticipated revenue related to contracts, estimated revenue from managed services contracts, letters of intent, maintenance and estimated on-going support activities.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Second Quarter Fiscal 2023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440" w:type="dxa"/>
            <w:vAlign w:val="bottom"/>
          </w:tcPr>
          <w:p>
            <w:pPr>
              <w:ind w:left="20"/>
              <w:spacing w:after="0"/>
              <w:rPr>
                <w:sz w:val="20"/>
                <w:szCs w:val="20"/>
                <w:color w:val="auto"/>
              </w:rPr>
            </w:pPr>
            <w:r>
              <w:rPr>
                <w:rFonts w:ascii="Arial" w:cs="Arial" w:eastAsia="Arial" w:hAnsi="Arial"/>
                <w:sz w:val="10"/>
                <w:szCs w:val="10"/>
                <w:b w:val="1"/>
                <w:bCs w:val="1"/>
                <w:color w:val="auto"/>
                <w:w w:val="88"/>
              </w:rPr>
              <w:t>In millions, except per share data</w:t>
            </w:r>
          </w:p>
        </w:tc>
      </w:tr>
      <w:tr>
        <w:trPr>
          <w:trHeight w:val="119"/>
        </w:trPr>
        <w:tc>
          <w:tcPr>
            <w:tcW w:w="380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Q2 2023</w:t>
            </w:r>
          </w:p>
        </w:tc>
      </w:tr>
      <w:tr>
        <w:trPr>
          <w:trHeight w:val="141"/>
        </w:trPr>
        <w:tc>
          <w:tcPr>
            <w:tcW w:w="38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14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8"/>
              </w:rPr>
              <w:t>$1,200-$1,240</w:t>
            </w:r>
          </w:p>
        </w:tc>
      </w:tr>
      <w:tr>
        <w:trPr>
          <w:trHeight w:val="152"/>
        </w:trPr>
        <w:tc>
          <w:tcPr>
            <w:tcW w:w="3800" w:type="dxa"/>
            <w:vAlign w:val="bottom"/>
          </w:tcPr>
          <w:p>
            <w:pPr>
              <w:spacing w:after="0"/>
              <w:rPr>
                <w:sz w:val="20"/>
                <w:szCs w:val="20"/>
                <w:color w:val="auto"/>
              </w:rPr>
            </w:pPr>
            <w:r>
              <w:rPr>
                <w:rFonts w:ascii="Arial" w:cs="Arial" w:eastAsia="Arial" w:hAnsi="Arial"/>
                <w:sz w:val="13"/>
                <w:szCs w:val="13"/>
                <w:color w:val="auto"/>
              </w:rPr>
              <w:t>GAAP diluted EPS</w:t>
            </w:r>
          </w:p>
        </w:tc>
        <w:tc>
          <w:tcPr>
            <w:tcW w:w="1440" w:type="dxa"/>
            <w:vAlign w:val="bottom"/>
          </w:tcPr>
          <w:p>
            <w:pPr>
              <w:jc w:val="center"/>
              <w:spacing w:after="0"/>
              <w:rPr>
                <w:sz w:val="20"/>
                <w:szCs w:val="20"/>
                <w:color w:val="auto"/>
              </w:rPr>
            </w:pPr>
            <w:r>
              <w:rPr>
                <w:rFonts w:ascii="Arial" w:cs="Arial" w:eastAsia="Arial" w:hAnsi="Arial"/>
                <w:sz w:val="13"/>
                <w:szCs w:val="13"/>
                <w:color w:val="auto"/>
                <w:w w:val="89"/>
              </w:rPr>
              <w:t>$1.18-$1.26</w:t>
            </w:r>
          </w:p>
        </w:tc>
      </w:tr>
      <w:tr>
        <w:trPr>
          <w:trHeight w:val="152"/>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Non-GAAP diluted EPS</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$1.44-$1.50</w:t>
            </w:r>
          </w:p>
        </w:tc>
      </w:tr>
    </w:tbl>
    <w:p>
      <w:pPr>
        <w:spacing w:after="0" w:line="76" w:lineRule="exact"/>
        <w:rPr>
          <w:sz w:val="20"/>
          <w:szCs w:val="20"/>
          <w:color w:val="auto"/>
        </w:rPr>
      </w:pPr>
    </w:p>
    <w:p>
      <w:pPr>
        <w:ind w:left="1320" w:right="999" w:hanging="303"/>
        <w:spacing w:after="0" w:line="26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Second quarter revenue guidance assumes approximately $4 million sequential positive impact from foreign currency fluctuations as compared to the first quarter of fiscal 2023</w:t>
      </w:r>
    </w:p>
    <w:p>
      <w:pPr>
        <w:spacing w:after="0" w:line="63" w:lineRule="exact"/>
        <w:rPr>
          <w:rFonts w:ascii="Arial" w:cs="Arial" w:eastAsia="Arial" w:hAnsi="Arial"/>
          <w:sz w:val="13"/>
          <w:szCs w:val="13"/>
          <w:color w:val="auto"/>
        </w:rPr>
      </w:pPr>
    </w:p>
    <w:p>
      <w:pPr>
        <w:ind w:left="1320" w:right="739" w:hanging="303"/>
        <w:spacing w:after="0" w:line="252"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Second quarter non-GAAP diluted EPS guidance excludes amortization of purchased intangible assets and other acquisition-related costs, changes in certain acquisitions related liabilities measured at fair value, and approximately $0.13-$0.15 per share of equity-based compensation expense and other, net of related tax effects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Full Year Fiscal 2023 Outlook</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19"/>
        </w:trPr>
        <w:tc>
          <w:tcPr>
            <w:tcW w:w="3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91"/>
              </w:rPr>
              <w:t>FY 2023, year-over-year growth</w:t>
            </w:r>
          </w:p>
        </w:tc>
      </w:tr>
      <w:tr>
        <w:trPr>
          <w:trHeight w:val="94"/>
        </w:trPr>
        <w:tc>
          <w:tcPr>
            <w:tcW w:w="3560" w:type="dxa"/>
            <w:vAlign w:val="bottom"/>
          </w:tcPr>
          <w:p>
            <w:pPr>
              <w:spacing w:after="0"/>
              <w:rPr>
                <w:sz w:val="8"/>
                <w:szCs w:val="8"/>
                <w:color w:val="auto"/>
              </w:rPr>
            </w:pPr>
          </w:p>
        </w:tc>
        <w:tc>
          <w:tcPr>
            <w:tcW w:w="1460" w:type="dxa"/>
            <w:vAlign w:val="bottom"/>
            <w:tcBorders>
              <w:top w:val="single" w:sz="8" w:color="auto"/>
            </w:tcBorders>
            <w:gridSpan w:val="3"/>
          </w:tcPr>
          <w:p>
            <w:pPr>
              <w:spacing w:after="0" w:line="94" w:lineRule="exact"/>
              <w:rPr>
                <w:sz w:val="20"/>
                <w:szCs w:val="20"/>
                <w:color w:val="auto"/>
              </w:rPr>
            </w:pPr>
            <w:r>
              <w:rPr>
                <w:rFonts w:ascii="Arial" w:cs="Arial" w:eastAsia="Arial" w:hAnsi="Arial"/>
                <w:sz w:val="10"/>
                <w:szCs w:val="10"/>
                <w:b w:val="1"/>
                <w:bCs w:val="1"/>
                <w:color w:val="auto"/>
              </w:rPr>
              <w:t>Current Guidance</w:t>
            </w:r>
          </w:p>
        </w:tc>
        <w:tc>
          <w:tcPr>
            <w:tcW w:w="820" w:type="dxa"/>
            <w:vAlign w:val="bottom"/>
            <w:tcBorders>
              <w:top w:val="single" w:sz="8" w:color="auto"/>
            </w:tcBorders>
            <w:gridSpan w:val="2"/>
          </w:tcPr>
          <w:p>
            <w:pPr>
              <w:spacing w:after="0" w:line="94" w:lineRule="exact"/>
              <w:rPr>
                <w:sz w:val="20"/>
                <w:szCs w:val="20"/>
                <w:color w:val="auto"/>
              </w:rPr>
            </w:pPr>
            <w:r>
              <w:rPr>
                <w:rFonts w:ascii="Arial" w:cs="Arial" w:eastAsia="Arial" w:hAnsi="Arial"/>
                <w:sz w:val="10"/>
                <w:szCs w:val="10"/>
                <w:b w:val="1"/>
                <w:bCs w:val="1"/>
                <w:color w:val="auto"/>
                <w:w w:val="88"/>
              </w:rPr>
              <w:t>Previous Guidance</w:t>
            </w:r>
          </w:p>
        </w:tc>
        <w:tc>
          <w:tcPr>
            <w:tcW w:w="40" w:type="dxa"/>
            <w:vAlign w:val="bottom"/>
          </w:tcPr>
          <w:p>
            <w:pPr>
              <w:spacing w:after="0"/>
              <w:rPr>
                <w:sz w:val="8"/>
                <w:szCs w:val="8"/>
                <w:color w:val="auto"/>
              </w:rPr>
            </w:pPr>
          </w:p>
        </w:tc>
      </w:tr>
      <w:tr>
        <w:trPr>
          <w:trHeight w:val="141"/>
        </w:trPr>
        <w:tc>
          <w:tcPr>
            <w:tcW w:w="35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 growth, as reported</w:t>
            </w: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87"/>
              </w:rPr>
              <w:t>5.0%-9.0%</w:t>
            </w:r>
          </w:p>
        </w:tc>
        <w:tc>
          <w:tcPr>
            <w:tcW w:w="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87"/>
              </w:rPr>
              <w:t>4.0%-8.0%</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560" w:type="dxa"/>
            <w:vAlign w:val="bottom"/>
          </w:tcPr>
          <w:p>
            <w:pPr>
              <w:spacing w:after="0" w:line="152" w:lineRule="exact"/>
              <w:rPr>
                <w:sz w:val="20"/>
                <w:szCs w:val="20"/>
                <w:color w:val="auto"/>
              </w:rPr>
            </w:pPr>
            <w:r>
              <w:rPr>
                <w:rFonts w:ascii="Arial" w:cs="Arial" w:eastAsia="Arial" w:hAnsi="Arial"/>
                <w:sz w:val="12"/>
                <w:szCs w:val="12"/>
                <w:color w:val="auto"/>
              </w:rPr>
              <w:t>Revenue growth, constant currency</w:t>
            </w:r>
            <w:r>
              <w:rPr>
                <w:rFonts w:ascii="Arial" w:cs="Arial" w:eastAsia="Arial" w:hAnsi="Arial"/>
                <w:sz w:val="17"/>
                <w:szCs w:val="17"/>
                <w:color w:val="auto"/>
                <w:vertAlign w:val="superscript"/>
              </w:rPr>
              <w:t>(2)</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0"/>
              </w:rPr>
              <w:t>6.0%-10.0%</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0"/>
              </w:rPr>
              <w:t>6.0%-10.0%</w:t>
            </w:r>
          </w:p>
        </w:tc>
        <w:tc>
          <w:tcPr>
            <w:tcW w:w="40" w:type="dxa"/>
            <w:vAlign w:val="bottom"/>
          </w:tcPr>
          <w:p>
            <w:pPr>
              <w:spacing w:after="0"/>
              <w:rPr>
                <w:sz w:val="13"/>
                <w:szCs w:val="13"/>
                <w:color w:val="auto"/>
              </w:rPr>
            </w:pPr>
          </w:p>
        </w:tc>
      </w:tr>
      <w:tr>
        <w:trPr>
          <w:trHeight w:val="152"/>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GAAP diluted EPS growth</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3.0%-10.0%</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3.0%-10.0%</w:t>
            </w:r>
          </w:p>
        </w:tc>
        <w:tc>
          <w:tcPr>
            <w:tcW w:w="40" w:type="dxa"/>
            <w:vAlign w:val="bottom"/>
            <w:shd w:val="clear" w:color="auto" w:fill="CCEEFF"/>
          </w:tcPr>
          <w:p>
            <w:pPr>
              <w:spacing w:after="0"/>
              <w:rPr>
                <w:sz w:val="13"/>
                <w:szCs w:val="13"/>
                <w:color w:val="auto"/>
              </w:rPr>
            </w:pPr>
          </w:p>
        </w:tc>
      </w:tr>
      <w:tr>
        <w:trPr>
          <w:trHeight w:val="161"/>
        </w:trPr>
        <w:tc>
          <w:tcPr>
            <w:tcW w:w="3560" w:type="dxa"/>
            <w:vAlign w:val="bottom"/>
          </w:tcPr>
          <w:p>
            <w:pPr>
              <w:spacing w:after="0"/>
              <w:rPr>
                <w:sz w:val="20"/>
                <w:szCs w:val="20"/>
                <w:color w:val="auto"/>
              </w:rPr>
            </w:pPr>
            <w:r>
              <w:rPr>
                <w:rFonts w:ascii="Arial" w:cs="Arial" w:eastAsia="Arial" w:hAnsi="Arial"/>
                <w:sz w:val="13"/>
                <w:szCs w:val="13"/>
                <w:color w:val="auto"/>
              </w:rPr>
              <w:t>Non-GAAP diluted EPS growth</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0"/>
              </w:rPr>
              <w:t>9.0%-13.0%</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0"/>
              </w:rPr>
              <w:t>8.0%-12.0%</w:t>
            </w:r>
          </w:p>
        </w:tc>
        <w:tc>
          <w:tcPr>
            <w:tcW w:w="40" w:type="dxa"/>
            <w:vAlign w:val="bottom"/>
          </w:tcPr>
          <w:p>
            <w:pPr>
              <w:spacing w:after="0"/>
              <w:rPr>
                <w:sz w:val="13"/>
                <w:szCs w:val="13"/>
                <w:color w:val="auto"/>
              </w:rPr>
            </w:pPr>
          </w:p>
        </w:tc>
      </w:tr>
      <w:tr>
        <w:trPr>
          <w:trHeight w:val="232"/>
        </w:trPr>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center"/>
              <w:ind w:left="460"/>
              <w:spacing w:after="0"/>
              <w:rPr>
                <w:sz w:val="20"/>
                <w:szCs w:val="20"/>
                <w:color w:val="auto"/>
              </w:rPr>
            </w:pPr>
            <w:r>
              <w:rPr>
                <w:rFonts w:ascii="Arial" w:cs="Arial" w:eastAsia="Arial" w:hAnsi="Arial"/>
                <w:sz w:val="10"/>
                <w:szCs w:val="10"/>
                <w:b w:val="1"/>
                <w:bCs w:val="1"/>
                <w:color w:val="auto"/>
                <w:w w:val="94"/>
              </w:rPr>
              <w:t>FY 2023, in millions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19"/>
        </w:trPr>
        <w:tc>
          <w:tcPr>
            <w:tcW w:w="3560" w:type="dxa"/>
            <w:vAlign w:val="bottom"/>
          </w:tcPr>
          <w:p>
            <w:pPr>
              <w:spacing w:after="0"/>
              <w:rPr>
                <w:sz w:val="10"/>
                <w:szCs w:val="10"/>
                <w:color w:val="auto"/>
              </w:rPr>
            </w:pPr>
          </w:p>
        </w:tc>
        <w:tc>
          <w:tcPr>
            <w:tcW w:w="1460" w:type="dxa"/>
            <w:vAlign w:val="bottom"/>
            <w:gridSpan w:val="3"/>
          </w:tcPr>
          <w:p>
            <w:pPr>
              <w:spacing w:after="0"/>
              <w:rPr>
                <w:sz w:val="20"/>
                <w:szCs w:val="20"/>
                <w:color w:val="auto"/>
              </w:rPr>
            </w:pPr>
            <w:r>
              <w:rPr>
                <w:rFonts w:ascii="Arial" w:cs="Arial" w:eastAsia="Arial" w:hAnsi="Arial"/>
                <w:sz w:val="10"/>
                <w:szCs w:val="10"/>
                <w:b w:val="1"/>
                <w:bCs w:val="1"/>
                <w:color w:val="auto"/>
              </w:rPr>
              <w:t>Current Guidance</w:t>
            </w:r>
          </w:p>
        </w:tc>
        <w:tc>
          <w:tcPr>
            <w:tcW w:w="860" w:type="dxa"/>
            <w:vAlign w:val="bottom"/>
            <w:gridSpan w:val="3"/>
          </w:tcPr>
          <w:p>
            <w:pPr>
              <w:spacing w:after="0"/>
              <w:rPr>
                <w:sz w:val="20"/>
                <w:szCs w:val="20"/>
                <w:color w:val="auto"/>
              </w:rPr>
            </w:pPr>
            <w:r>
              <w:rPr>
                <w:rFonts w:ascii="Arial" w:cs="Arial" w:eastAsia="Arial" w:hAnsi="Arial"/>
                <w:sz w:val="10"/>
                <w:szCs w:val="10"/>
                <w:b w:val="1"/>
                <w:bCs w:val="1"/>
                <w:color w:val="auto"/>
                <w:w w:val="92"/>
              </w:rPr>
              <w:t>Previous Guidance</w:t>
            </w:r>
          </w:p>
        </w:tc>
      </w:tr>
      <w:tr>
        <w:trPr>
          <w:trHeight w:val="152"/>
        </w:trPr>
        <w:tc>
          <w:tcPr>
            <w:tcW w:w="3560" w:type="dxa"/>
            <w:vAlign w:val="bottom"/>
            <w:shd w:val="clear" w:color="auto" w:fill="CCEEFF"/>
          </w:tcPr>
          <w:p>
            <w:pPr>
              <w:spacing w:after="0" w:line="152" w:lineRule="exact"/>
              <w:rPr>
                <w:sz w:val="20"/>
                <w:szCs w:val="20"/>
                <w:color w:val="auto"/>
              </w:rPr>
            </w:pPr>
            <w:r>
              <w:rPr>
                <w:rFonts w:ascii="Arial" w:cs="Arial" w:eastAsia="Arial" w:hAnsi="Arial"/>
                <w:sz w:val="12"/>
                <w:szCs w:val="12"/>
                <w:color w:val="auto"/>
              </w:rPr>
              <w:t>Free cash flow</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w w:val="80"/>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700</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w w:val="94"/>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700</w:t>
            </w:r>
          </w:p>
        </w:tc>
      </w:tr>
    </w:tbl>
    <w:p>
      <w:pPr>
        <w:sectPr>
          <w:pgSz w:w="11900" w:h="16838" w:orient="portrait"/>
          <w:cols w:equalWidth="0" w:num="1">
            <w:col w:w="9019"/>
          </w:cols>
          <w:pgMar w:left="1440" w:top="231" w:right="1440" w:bottom="1440" w:gutter="0" w:footer="0" w:header="0"/>
        </w:sectPr>
      </w:pPr>
    </w:p>
    <w:bookmarkStart w:id="9" w:name="page10"/>
    <w:bookmarkEnd w:id="9"/>
    <w:p>
      <w:pPr>
        <w:ind w:left="1320" w:right="759" w:hanging="303"/>
        <w:spacing w:after="0" w:line="302" w:lineRule="auto"/>
        <w:tabs>
          <w:tab w:leader="none" w:pos="1320" w:val="left"/>
        </w:tabs>
        <w:numPr>
          <w:ilvl w:val="0"/>
          <w:numId w:val="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Full year fiscal 2023 revenue guidance incorporates an expected unfavorable impact from foreign currency fluctuations of approximately 1% year-over-year as compared with an unfavorable impact of approximately 2% year-over-year previously</w:t>
      </w:r>
    </w:p>
    <w:p>
      <w:pPr>
        <w:spacing w:after="0" w:line="41" w:lineRule="exact"/>
        <w:rPr>
          <w:rFonts w:ascii="Arial" w:cs="Arial" w:eastAsia="Arial" w:hAnsi="Arial"/>
          <w:sz w:val="12"/>
          <w:szCs w:val="12"/>
          <w:color w:val="auto"/>
        </w:rPr>
      </w:pPr>
    </w:p>
    <w:p>
      <w:pPr>
        <w:ind w:left="1320" w:right="899" w:hanging="303"/>
        <w:spacing w:after="0" w:line="283" w:lineRule="auto"/>
        <w:tabs>
          <w:tab w:leader="none" w:pos="1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Non-GAAP diluted earnings per share growth excludes amortization of purchased intangible assets and other acquisition-related costs, changes in certain acquisitions related liabilities measured at fair value, restructuring charges, approximately $0.57-$0.63 per share of equity-based compensation expense, and other, net of related tax effects</w:t>
      </w:r>
    </w:p>
    <w:p>
      <w:pPr>
        <w:spacing w:after="0" w:line="52" w:lineRule="exact"/>
        <w:rPr>
          <w:rFonts w:ascii="Arial" w:cs="Arial" w:eastAsia="Arial" w:hAnsi="Arial"/>
          <w:sz w:val="12"/>
          <w:szCs w:val="12"/>
          <w:color w:val="auto"/>
        </w:rPr>
      </w:pPr>
    </w:p>
    <w:p>
      <w:pPr>
        <w:ind w:left="1320" w:hanging="303"/>
        <w:spacing w:after="0"/>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effective tax rate is anticipated to be within a range of 13.0% to 17.0% for the full year fiscal 2023</w:t>
      </w:r>
    </w:p>
    <w:p>
      <w:pPr>
        <w:spacing w:after="0" w:line="87" w:lineRule="exact"/>
        <w:rPr>
          <w:rFonts w:ascii="Arial" w:cs="Arial" w:eastAsia="Arial" w:hAnsi="Arial"/>
          <w:sz w:val="13"/>
          <w:szCs w:val="13"/>
          <w:color w:val="auto"/>
        </w:rPr>
      </w:pPr>
    </w:p>
    <w:p>
      <w:pPr>
        <w:jc w:val="both"/>
        <w:ind w:left="1320" w:right="759" w:hanging="303"/>
        <w:spacing w:after="0" w:line="220" w:lineRule="auto"/>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Free cash flow</w:t>
      </w:r>
      <w:r>
        <w:rPr>
          <w:rFonts w:ascii="Arial" w:cs="Arial" w:eastAsia="Arial" w:hAnsi="Arial"/>
          <w:sz w:val="18"/>
          <w:szCs w:val="18"/>
          <w:color w:val="auto"/>
          <w:vertAlign w:val="superscript"/>
        </w:rPr>
        <w:t>(1)</w:t>
      </w:r>
      <w:r>
        <w:rPr>
          <w:rFonts w:ascii="Arial" w:cs="Arial" w:eastAsia="Arial" w:hAnsi="Arial"/>
          <w:sz w:val="13"/>
          <w:szCs w:val="13"/>
          <w:color w:val="auto"/>
        </w:rPr>
        <w:t xml:space="preserve"> is comprised of cash flow from operations, less net capital expenditures and other; first half free cash flow is tracking in line with expectations for the full year fiscal 2023, taking into consideration the normal seasonal timing of annual bonus payments in the second quarter</w:t>
      </w:r>
    </w:p>
    <w:p>
      <w:pPr>
        <w:spacing w:after="0" w:line="143" w:lineRule="exact"/>
        <w:rPr>
          <w:sz w:val="20"/>
          <w:szCs w:val="20"/>
          <w:color w:val="auto"/>
        </w:rPr>
      </w:pPr>
    </w:p>
    <w:p>
      <w:pPr>
        <w:ind w:left="640" w:right="699"/>
        <w:spacing w:after="0" w:line="271" w:lineRule="auto"/>
        <w:rPr>
          <w:sz w:val="20"/>
          <w:szCs w:val="20"/>
          <w:color w:val="auto"/>
        </w:rPr>
      </w:pPr>
      <w:r>
        <w:rPr>
          <w:rFonts w:ascii="Arial" w:cs="Arial" w:eastAsia="Arial" w:hAnsi="Arial"/>
          <w:sz w:val="12"/>
          <w:szCs w:val="12"/>
          <w:color w:val="auto"/>
        </w:rPr>
        <w:t>The forward looking statements regarding our second fiscal quarter 2023 and full year fiscal 2023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the COVID-19 pandemic and the prevailing level of macro-economic, business and operational uncertainty, which have created, and continues to create, a significant amount of uncertainty, or from current and potential customer consolidation or their other strategic corporate activities.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Conference Call and Earnings Webcast Presentation Details</w:t>
      </w:r>
    </w:p>
    <w:p>
      <w:pPr>
        <w:spacing w:after="0" w:line="82" w:lineRule="exact"/>
        <w:rPr>
          <w:sz w:val="20"/>
          <w:szCs w:val="20"/>
          <w:color w:val="auto"/>
        </w:rPr>
      </w:pPr>
    </w:p>
    <w:p>
      <w:pPr>
        <w:ind w:left="640" w:right="899"/>
        <w:spacing w:after="0" w:line="261" w:lineRule="auto"/>
        <w:rPr>
          <w:sz w:val="20"/>
          <w:szCs w:val="20"/>
          <w:color w:val="auto"/>
        </w:rPr>
      </w:pPr>
      <w:r>
        <w:rPr>
          <w:rFonts w:ascii="Arial" w:cs="Arial" w:eastAsia="Arial" w:hAnsi="Arial"/>
          <w:sz w:val="13"/>
          <w:szCs w:val="13"/>
          <w:color w:val="auto"/>
        </w:rPr>
        <w:t>Amdocs will host a conference call and earnings webcast presentation on January 31, 2023 at 5:00 p.m. Eastern Time to discuss the Company’s first quarter of fiscal 2023 results.</w:t>
      </w:r>
    </w:p>
    <w:p>
      <w:pPr>
        <w:sectPr>
          <w:pgSz w:w="11900" w:h="16838" w:orient="portrait"/>
          <w:cols w:equalWidth="0" w:num="1">
            <w:col w:w="9019"/>
          </w:cols>
          <w:pgMar w:left="1440" w:top="235" w:right="1440" w:bottom="1440" w:gutter="0" w:footer="0" w:header="0"/>
        </w:sectPr>
      </w:pPr>
    </w:p>
    <w:bookmarkStart w:id="10" w:name="page11"/>
    <w:bookmarkEnd w:id="10"/>
    <w:p>
      <w:pPr>
        <w:jc w:val="both"/>
        <w:ind w:left="640" w:right="67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participate in the call, please register </w:t>
      </w:r>
      <w:r>
        <w:rPr>
          <w:rFonts w:ascii="Arial" w:cs="Arial" w:eastAsia="Arial" w:hAnsi="Arial"/>
          <w:sz w:val="13"/>
          <w:szCs w:val="13"/>
          <w:u w:val="single" w:color="auto"/>
          <w:color w:val="auto"/>
        </w:rPr>
        <w:t>here</w:t>
      </w:r>
      <w:r>
        <w:rPr>
          <w:rFonts w:ascii="Arial" w:cs="Arial" w:eastAsia="Arial" w:hAnsi="Arial"/>
          <w:sz w:val="13"/>
          <w:szCs w:val="13"/>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Non-GAAP Financial Measures</w:t>
      </w:r>
    </w:p>
    <w:p>
      <w:pPr>
        <w:spacing w:after="0" w:line="82" w:lineRule="exact"/>
        <w:rPr>
          <w:sz w:val="20"/>
          <w:szCs w:val="20"/>
          <w:color w:val="auto"/>
        </w:rPr>
      </w:pPr>
    </w:p>
    <w:p>
      <w:pPr>
        <w:ind w:left="640" w:right="699"/>
        <w:spacing w:after="0" w:line="247" w:lineRule="auto"/>
        <w:rPr>
          <w:sz w:val="20"/>
          <w:szCs w:val="20"/>
          <w:color w:val="auto"/>
        </w:rPr>
      </w:pPr>
      <w:r>
        <w:rPr>
          <w:rFonts w:ascii="Arial" w:cs="Arial" w:eastAsia="Arial" w:hAnsi="Arial"/>
          <w:sz w:val="12"/>
          <w:szCs w:val="12"/>
          <w:color w:val="auto"/>
        </w:rPr>
        <w:t>This release includes non-GAAP diluted earnings per share and other non-GAAP financial measures, including free cash flow and normalized free cash flow, revenue on a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w:t>
      </w:r>
    </w:p>
    <w:p>
      <w:pPr>
        <w:spacing w:after="0" w:line="74" w:lineRule="exact"/>
        <w:rPr>
          <w:sz w:val="20"/>
          <w:szCs w:val="20"/>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amortization of purchased intangible assets and other acquisition-related costs;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certain acquisition-related liabilities measured at fair value;</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restructuring and unusual charges or benefits (such as a gain from divestiture of OpenMarket);</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equity-based compensation expense;</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other; and</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tax effects related to the above.</w:t>
      </w:r>
    </w:p>
    <w:p>
      <w:pPr>
        <w:spacing w:after="0" w:line="154" w:lineRule="exact"/>
        <w:rPr>
          <w:sz w:val="20"/>
          <w:szCs w:val="20"/>
          <w:color w:val="auto"/>
        </w:rPr>
      </w:pPr>
    </w:p>
    <w:p>
      <w:pPr>
        <w:ind w:left="640" w:right="679"/>
        <w:spacing w:after="0" w:line="271" w:lineRule="auto"/>
        <w:rPr>
          <w:sz w:val="20"/>
          <w:szCs w:val="20"/>
          <w:color w:val="auto"/>
        </w:rPr>
      </w:pPr>
      <w:r>
        <w:rPr>
          <w:rFonts w:ascii="Arial" w:cs="Arial" w:eastAsia="Arial" w:hAnsi="Arial"/>
          <w:sz w:val="12"/>
          <w:szCs w:val="12"/>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w:t>
      </w:r>
    </w:p>
    <w:p>
      <w:pPr>
        <w:sectPr>
          <w:pgSz w:w="11900" w:h="16838" w:orient="portrait"/>
          <w:cols w:equalWidth="0" w:num="1">
            <w:col w:w="9019"/>
          </w:cols>
          <w:pgMar w:left="1440" w:top="235" w:right="1440" w:bottom="1440" w:gutter="0" w:footer="0" w:header="0"/>
        </w:sectPr>
      </w:pPr>
    </w:p>
    <w:bookmarkStart w:id="11" w:name="page12"/>
    <w:bookmarkEnd w:id="11"/>
    <w:p>
      <w:pPr>
        <w:ind w:left="640" w:right="75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36" w:lineRule="exact"/>
        <w:rPr>
          <w:sz w:val="20"/>
          <w:szCs w:val="20"/>
          <w:color w:val="auto"/>
        </w:rPr>
      </w:pPr>
    </w:p>
    <w:p>
      <w:pPr>
        <w:ind w:left="640" w:right="699"/>
        <w:spacing w:after="0" w:line="252" w:lineRule="auto"/>
        <w:rPr>
          <w:sz w:val="20"/>
          <w:szCs w:val="20"/>
          <w:color w:val="auto"/>
        </w:rPr>
      </w:pPr>
      <w:r>
        <w:rPr>
          <w:rFonts w:ascii="Arial" w:cs="Arial" w:eastAsia="Arial" w:hAnsi="Arial"/>
          <w:sz w:val="12"/>
          <w:szCs w:val="12"/>
          <w:color w:val="auto"/>
        </w:rPr>
        <w:t>Amdocs believes that the presentation of non-GAAP diluted earnings per share and other financial measures, including free cash flow and normalized free cash flow, revenue on a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38" w:lineRule="exact"/>
        <w:rPr>
          <w:sz w:val="20"/>
          <w:szCs w:val="20"/>
          <w:color w:val="auto"/>
        </w:rPr>
      </w:pPr>
    </w:p>
    <w:p>
      <w:pPr>
        <w:ind w:left="640" w:right="679"/>
        <w:spacing w:after="0" w:line="300" w:lineRule="auto"/>
        <w:rPr>
          <w:sz w:val="20"/>
          <w:szCs w:val="20"/>
          <w:color w:val="auto"/>
        </w:rPr>
      </w:pPr>
      <w:r>
        <w:rPr>
          <w:rFonts w:ascii="Arial" w:cs="Arial" w:eastAsia="Arial" w:hAnsi="Arial"/>
          <w:sz w:val="11"/>
          <w:szCs w:val="11"/>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9019"/>
          </w:cols>
          <w:pgMar w:left="1440" w:top="235" w:right="1440" w:bottom="1440" w:gutter="0" w:footer="0" w:header="0"/>
        </w:sectPr>
      </w:pPr>
    </w:p>
    <w:bookmarkStart w:id="12" w:name="page13"/>
    <w:bookmarkEnd w:id="12"/>
    <w:p>
      <w:pPr>
        <w:ind w:left="640" w:right="71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Supporting Resources</w:t>
      </w:r>
    </w:p>
    <w:p>
      <w:pPr>
        <w:spacing w:after="0" w:line="91" w:lineRule="exact"/>
        <w:rPr>
          <w:sz w:val="20"/>
          <w:szCs w:val="20"/>
          <w:color w:val="auto"/>
        </w:rPr>
      </w:pPr>
    </w:p>
    <w:p>
      <w:pPr>
        <w:ind w:left="940" w:hanging="227"/>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Keep up with Amdocs news by visiting the Company’s </w:t>
      </w:r>
      <w:r>
        <w:rPr>
          <w:rFonts w:ascii="Arial" w:cs="Arial" w:eastAsia="Arial" w:hAnsi="Arial"/>
          <w:sz w:val="13"/>
          <w:szCs w:val="13"/>
          <w:u w:val="single" w:color="auto"/>
          <w:color w:val="auto"/>
        </w:rPr>
        <w:t>website</w:t>
      </w:r>
    </w:p>
    <w:p>
      <w:pPr>
        <w:spacing w:after="0" w:line="87" w:lineRule="exact"/>
        <w:rPr>
          <w:rFonts w:ascii="Arial" w:cs="Arial" w:eastAsia="Arial" w:hAnsi="Arial"/>
          <w:sz w:val="13"/>
          <w:szCs w:val="13"/>
          <w:color w:val="auto"/>
        </w:rPr>
      </w:pPr>
    </w:p>
    <w:p>
      <w:pPr>
        <w:ind w:left="940" w:hanging="227"/>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Subscribe to Amdocs’ </w:t>
      </w:r>
      <w:r>
        <w:rPr>
          <w:rFonts w:ascii="Arial" w:cs="Arial" w:eastAsia="Arial" w:hAnsi="Arial"/>
          <w:sz w:val="13"/>
          <w:szCs w:val="13"/>
          <w:u w:val="single" w:color="auto"/>
          <w:color w:val="auto"/>
        </w:rPr>
        <w:t>RSS Feed</w:t>
      </w:r>
      <w:r>
        <w:rPr>
          <w:rFonts w:ascii="Arial" w:cs="Arial" w:eastAsia="Arial" w:hAnsi="Arial"/>
          <w:sz w:val="13"/>
          <w:szCs w:val="13"/>
          <w:color w:val="auto"/>
        </w:rPr>
        <w:t xml:space="preserve"> and follow us on </w:t>
      </w:r>
      <w:r>
        <w:rPr>
          <w:rFonts w:ascii="Arial" w:cs="Arial" w:eastAsia="Arial" w:hAnsi="Arial"/>
          <w:sz w:val="13"/>
          <w:szCs w:val="13"/>
          <w:u w:val="single" w:color="auto"/>
          <w:color w:val="auto"/>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Facebook</w:t>
      </w:r>
      <w:r>
        <w:rPr>
          <w:rFonts w:ascii="Arial" w:cs="Arial" w:eastAsia="Arial" w:hAnsi="Arial"/>
          <w:sz w:val="13"/>
          <w:szCs w:val="13"/>
          <w:color w:val="auto"/>
        </w:rPr>
        <w:t xml:space="preserve">, </w:t>
      </w:r>
      <w:r>
        <w:rPr>
          <w:rFonts w:ascii="Arial" w:cs="Arial" w:eastAsia="Arial" w:hAnsi="Arial"/>
          <w:sz w:val="13"/>
          <w:szCs w:val="13"/>
          <w:u w:val="single" w:color="auto"/>
          <w:color w:val="auto"/>
        </w:rPr>
        <w:t>LinkedIn</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YouTube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Amdocs</w:t>
      </w:r>
    </w:p>
    <w:p>
      <w:pPr>
        <w:spacing w:after="0" w:line="82" w:lineRule="exact"/>
        <w:rPr>
          <w:sz w:val="20"/>
          <w:szCs w:val="20"/>
          <w:color w:val="auto"/>
        </w:rPr>
      </w:pPr>
    </w:p>
    <w:p>
      <w:pPr>
        <w:ind w:left="640" w:right="759"/>
        <w:spacing w:after="0" w:line="247" w:lineRule="auto"/>
        <w:rPr>
          <w:sz w:val="20"/>
          <w:szCs w:val="20"/>
          <w:color w:val="auto"/>
        </w:rPr>
      </w:pPr>
      <w:r>
        <w:rPr>
          <w:rFonts w:ascii="Arial" w:cs="Arial" w:eastAsia="Arial" w:hAnsi="Arial"/>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31,000 employees around the globe are here to accelerate service providers’ migration to the cloud, enable them to differentiate in the 5G era, and digitalize and automate their operations. Listed on the NASDAQ Global Select Market, Amdocs had revenue of $4.58 billion in fiscal 2022.</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For more information, visit Amdocs at </w:t>
      </w:r>
      <w:r>
        <w:rPr>
          <w:rFonts w:ascii="Arial" w:cs="Arial" w:eastAsia="Arial" w:hAnsi="Arial"/>
          <w:sz w:val="13"/>
          <w:szCs w:val="13"/>
          <w:u w:val="single" w:color="auto"/>
          <w:color w:val="auto"/>
        </w:rPr>
        <w:t>www.amdocs.com</w:t>
      </w:r>
      <w:r>
        <w:rPr>
          <w:rFonts w:ascii="Arial" w:cs="Arial" w:eastAsia="Arial" w:hAnsi="Arial"/>
          <w:sz w:val="13"/>
          <w:szCs w:val="13"/>
          <w:color w:val="auto"/>
        </w:rPr>
        <w:t>.</w:t>
      </w:r>
    </w:p>
    <w:p>
      <w:pPr>
        <w:spacing w:after="0" w:line="154" w:lineRule="exact"/>
        <w:rPr>
          <w:sz w:val="20"/>
          <w:szCs w:val="20"/>
          <w:color w:val="auto"/>
        </w:rPr>
      </w:pPr>
    </w:p>
    <w:p>
      <w:pPr>
        <w:jc w:val="both"/>
        <w:ind w:left="640" w:right="759"/>
        <w:spacing w:after="0" w:line="276" w:lineRule="auto"/>
        <w:rPr>
          <w:sz w:val="20"/>
          <w:szCs w:val="20"/>
          <w:color w:val="auto"/>
        </w:rPr>
      </w:pPr>
      <w:r>
        <w:rPr>
          <w:rFonts w:ascii="Arial" w:cs="Arial" w:eastAsia="Arial" w:hAnsi="Arial"/>
          <w:sz w:val="12"/>
          <w:szCs w:val="12"/>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w:t>
      </w:r>
    </w:p>
    <w:p>
      <w:pPr>
        <w:sectPr>
          <w:pgSz w:w="11900" w:h="16838" w:orient="portrait"/>
          <w:cols w:equalWidth="0" w:num="1">
            <w:col w:w="9019"/>
          </w:cols>
          <w:pgMar w:left="1440" w:top="235" w:right="1440" w:bottom="1440" w:gutter="0" w:footer="0" w:header="0"/>
        </w:sectPr>
      </w:pPr>
    </w:p>
    <w:bookmarkStart w:id="13" w:name="page14"/>
    <w:bookmarkEnd w:id="13"/>
    <w:p>
      <w:pPr>
        <w:ind w:left="640" w:right="659"/>
        <w:spacing w:after="0" w:line="29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clients’ businesses and levels of business activity,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2022 filed on December 13, 2022.</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w:t>
      </w:r>
      <w:r>
        <w:rPr>
          <w:rFonts w:ascii="Arial" w:cs="Arial" w:eastAsia="Arial" w:hAnsi="Arial"/>
          <w:sz w:val="13"/>
          <w:szCs w:val="13"/>
          <w:color w:val="auto"/>
        </w:rPr>
        <w:t>:</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Matthew Smith</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E-mail: dox_info@amdocs.com</w:t>
      </w:r>
    </w:p>
    <w:p>
      <w:pPr>
        <w:sectPr>
          <w:pgSz w:w="11900" w:h="16838" w:orient="portrait"/>
          <w:cols w:equalWidth="0" w:num="1">
            <w:col w:w="9019"/>
          </w:cols>
          <w:pgMar w:left="1440" w:top="235"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Income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(In thousands, except per share data)</w:t>
      </w:r>
    </w:p>
    <w:p>
      <w:pPr>
        <w:spacing w:after="0" w:line="149" w:lineRule="exact"/>
        <w:rPr>
          <w:sz w:val="20"/>
          <w:szCs w:val="20"/>
          <w:color w:val="auto"/>
        </w:rPr>
      </w:pPr>
    </w:p>
    <w:p>
      <w:pPr>
        <w:jc w:val="center"/>
        <w:ind w:left="6260"/>
        <w:spacing w:after="0"/>
        <w:rPr>
          <w:sz w:val="20"/>
          <w:szCs w:val="20"/>
          <w:color w:val="auto"/>
        </w:rPr>
      </w:pPr>
      <w:r>
        <w:rPr>
          <w:rFonts w:ascii="Arial" w:cs="Arial" w:eastAsia="Arial" w:hAnsi="Arial"/>
          <w:sz w:val="10"/>
          <w:szCs w:val="10"/>
          <w:b w:val="1"/>
          <w:bCs w:val="1"/>
          <w:color w:val="auto"/>
        </w:rPr>
        <w:t>Three months ended</w:t>
      </w:r>
    </w:p>
    <w:p>
      <w:pPr>
        <w:jc w:val="center"/>
        <w:ind w:left="6260"/>
        <w:spacing w:after="0" w:line="227" w:lineRule="auto"/>
        <w:rPr>
          <w:sz w:val="20"/>
          <w:szCs w:val="20"/>
          <w:color w:val="auto"/>
        </w:rPr>
      </w:pPr>
      <w:r>
        <w:rPr>
          <w:rFonts w:ascii="Arial" w:cs="Arial" w:eastAsia="Arial" w:hAnsi="Arial"/>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63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7"/>
              <w:spacing w:after="0" w:line="94" w:lineRule="exact"/>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7"/>
              <w:spacing w:after="0" w:line="9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1,185,720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1,104,632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340" w:type="dxa"/>
            <w:vAlign w:val="bottom"/>
          </w:tcPr>
          <w:p>
            <w:pPr>
              <w:spacing w:after="0"/>
              <w:rPr>
                <w:sz w:val="20"/>
                <w:szCs w:val="20"/>
                <w:color w:val="auto"/>
              </w:rPr>
            </w:pPr>
            <w:r>
              <w:rPr>
                <w:rFonts w:ascii="Arial" w:cs="Arial" w:eastAsia="Arial" w:hAnsi="Arial"/>
                <w:sz w:val="13"/>
                <w:szCs w:val="13"/>
                <w:color w:val="auto"/>
              </w:rPr>
              <w:t>Operating expenses: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Cost of revenue</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756,849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716,718</w:t>
            </w:r>
          </w:p>
        </w:tc>
        <w:tc>
          <w:tcPr>
            <w:tcW w:w="0" w:type="dxa"/>
            <w:vAlign w:val="bottom"/>
          </w:tcPr>
          <w:p>
            <w:pPr>
              <w:spacing w:after="0"/>
              <w:rPr>
                <w:sz w:val="1"/>
                <w:szCs w:val="1"/>
                <w:color w:val="auto"/>
              </w:rPr>
            </w:pPr>
          </w:p>
        </w:tc>
      </w:tr>
      <w:tr>
        <w:trPr>
          <w:trHeight w:val="152"/>
        </w:trPr>
        <w:tc>
          <w:tcPr>
            <w:tcW w:w="6340" w:type="dxa"/>
            <w:vAlign w:val="bottom"/>
          </w:tcPr>
          <w:p>
            <w:pPr>
              <w:ind w:left="260"/>
              <w:spacing w:after="0"/>
              <w:rPr>
                <w:sz w:val="20"/>
                <w:szCs w:val="20"/>
                <w:color w:val="auto"/>
              </w:rPr>
            </w:pPr>
            <w:r>
              <w:rPr>
                <w:rFonts w:ascii="Arial" w:cs="Arial" w:eastAsia="Arial" w:hAnsi="Arial"/>
                <w:sz w:val="13"/>
                <w:szCs w:val="13"/>
                <w:color w:val="auto"/>
              </w:rPr>
              <w:t>Research and development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95,726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81,945</w:t>
            </w:r>
          </w:p>
        </w:tc>
        <w:tc>
          <w:tcPr>
            <w:tcW w:w="0" w:type="dxa"/>
            <w:vAlign w:val="bottom"/>
          </w:tcPr>
          <w:p>
            <w:pPr>
              <w:spacing w:after="0"/>
              <w:rPr>
                <w:sz w:val="1"/>
                <w:szCs w:val="1"/>
                <w:color w:val="auto"/>
              </w:rPr>
            </w:pPr>
          </w:p>
        </w:tc>
      </w:tr>
      <w:tr>
        <w:trPr>
          <w:trHeight w:val="152"/>
        </w:trPr>
        <w:tc>
          <w:tcPr>
            <w:tcW w:w="6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143,222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128,076</w:t>
            </w:r>
          </w:p>
        </w:tc>
        <w:tc>
          <w:tcPr>
            <w:tcW w:w="0" w:type="dxa"/>
            <w:vAlign w:val="bottom"/>
          </w:tcPr>
          <w:p>
            <w:pPr>
              <w:spacing w:after="0"/>
              <w:rPr>
                <w:sz w:val="1"/>
                <w:szCs w:val="1"/>
                <w:color w:val="auto"/>
              </w:rPr>
            </w:pPr>
          </w:p>
        </w:tc>
      </w:tr>
      <w:tr>
        <w:trPr>
          <w:trHeight w:val="152"/>
        </w:trPr>
        <w:tc>
          <w:tcPr>
            <w:tcW w:w="6340" w:type="dxa"/>
            <w:vAlign w:val="bottom"/>
          </w:tcPr>
          <w:p>
            <w:pPr>
              <w:ind w:left="260"/>
              <w:spacing w:after="0"/>
              <w:rPr>
                <w:sz w:val="20"/>
                <w:szCs w:val="20"/>
                <w:color w:val="auto"/>
              </w:rPr>
            </w:pPr>
            <w:r>
              <w:rPr>
                <w:rFonts w:ascii="Arial" w:cs="Arial" w:eastAsia="Arial" w:hAnsi="Arial"/>
                <w:sz w:val="13"/>
                <w:szCs w:val="13"/>
                <w:color w:val="auto"/>
              </w:rPr>
              <w:t>Amortization of purchased intangible assets and other</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15,313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17,747</w:t>
            </w:r>
          </w:p>
        </w:tc>
        <w:tc>
          <w:tcPr>
            <w:tcW w:w="0" w:type="dxa"/>
            <w:vAlign w:val="bottom"/>
          </w:tcPr>
          <w:p>
            <w:pPr>
              <w:spacing w:after="0"/>
              <w:rPr>
                <w:sz w:val="1"/>
                <w:szCs w:val="1"/>
                <w:color w:val="auto"/>
              </w:rPr>
            </w:pPr>
          </w:p>
        </w:tc>
      </w:tr>
      <w:tr>
        <w:trPr>
          <w:trHeight w:val="152"/>
        </w:trPr>
        <w:tc>
          <w:tcPr>
            <w:tcW w:w="6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Restructuring charges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24,536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6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1,035,646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944,486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150,074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160,146</w:t>
            </w:r>
          </w:p>
        </w:tc>
        <w:tc>
          <w:tcPr>
            <w:tcW w:w="0" w:type="dxa"/>
            <w:vAlign w:val="bottom"/>
          </w:tcPr>
          <w:p>
            <w:pPr>
              <w:spacing w:after="0"/>
              <w:rPr>
                <w:sz w:val="1"/>
                <w:szCs w:val="1"/>
                <w:color w:val="auto"/>
              </w:rPr>
            </w:pPr>
          </w:p>
        </w:tc>
      </w:tr>
      <w:tr>
        <w:trPr>
          <w:trHeight w:val="152"/>
        </w:trPr>
        <w:tc>
          <w:tcPr>
            <w:tcW w:w="634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(4,963)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(2,562)</w:t>
            </w:r>
          </w:p>
        </w:tc>
        <w:tc>
          <w:tcPr>
            <w:tcW w:w="0" w:type="dxa"/>
            <w:vAlign w:val="bottom"/>
          </w:tcPr>
          <w:p>
            <w:pPr>
              <w:spacing w:after="0"/>
              <w:rPr>
                <w:sz w:val="1"/>
                <w:szCs w:val="1"/>
                <w:color w:val="auto"/>
              </w:rPr>
            </w:pPr>
          </w:p>
        </w:tc>
      </w:tr>
      <w:tr>
        <w:trPr>
          <w:trHeight w:val="152"/>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Gain from sale of a business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40" w:type="dxa"/>
            <w:vAlign w:val="bottom"/>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145,111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167,584</w:t>
            </w:r>
          </w:p>
        </w:tc>
        <w:tc>
          <w:tcPr>
            <w:tcW w:w="0" w:type="dxa"/>
            <w:vAlign w:val="bottom"/>
          </w:tcPr>
          <w:p>
            <w:pPr>
              <w:spacing w:after="0"/>
              <w:rPr>
                <w:sz w:val="1"/>
                <w:szCs w:val="1"/>
                <w:color w:val="auto"/>
              </w:rPr>
            </w:pPr>
          </w:p>
        </w:tc>
      </w:tr>
      <w:tr>
        <w:trPr>
          <w:trHeight w:val="152"/>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15,239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33,982</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4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129,872</w:t>
            </w:r>
          </w:p>
        </w:tc>
        <w:tc>
          <w:tcPr>
            <w:tcW w:w="10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133,602</w:t>
            </w:r>
          </w:p>
        </w:tc>
        <w:tc>
          <w:tcPr>
            <w:tcW w:w="0" w:type="dxa"/>
            <w:vAlign w:val="bottom"/>
          </w:tcPr>
          <w:p>
            <w:pPr>
              <w:spacing w:after="0"/>
              <w:rPr>
                <w:sz w:val="1"/>
                <w:szCs w:val="1"/>
                <w:color w:val="auto"/>
              </w:rPr>
            </w:pPr>
          </w:p>
        </w:tc>
      </w:tr>
      <w:tr>
        <w:trPr>
          <w:trHeight w:val="151"/>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noncontrolling Interests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40" w:type="dxa"/>
            <w:vAlign w:val="bottom"/>
          </w:tcPr>
          <w:p>
            <w:pPr>
              <w:spacing w:after="0"/>
              <w:rPr>
                <w:sz w:val="20"/>
                <w:szCs w:val="20"/>
                <w:color w:val="auto"/>
              </w:rPr>
            </w:pPr>
            <w:r>
              <w:rPr>
                <w:rFonts w:ascii="Arial" w:cs="Arial" w:eastAsia="Arial" w:hAnsi="Arial"/>
                <w:sz w:val="13"/>
                <w:szCs w:val="13"/>
                <w:color w:val="auto"/>
              </w:rPr>
              <w:t>Net Income attributable to Amdocs Limited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129,667</w:t>
            </w:r>
          </w:p>
        </w:tc>
        <w:tc>
          <w:tcPr>
            <w:tcW w:w="10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133,602</w:t>
            </w:r>
          </w:p>
        </w:tc>
        <w:tc>
          <w:tcPr>
            <w:tcW w:w="0" w:type="dxa"/>
            <w:vAlign w:val="bottom"/>
          </w:tcPr>
          <w:p>
            <w:pPr>
              <w:spacing w:after="0"/>
              <w:rPr>
                <w:sz w:val="1"/>
                <w:szCs w:val="1"/>
                <w:color w:val="auto"/>
              </w:rPr>
            </w:pPr>
          </w:p>
        </w:tc>
      </w:tr>
      <w:tr>
        <w:trPr>
          <w:trHeight w:val="28"/>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28"/>
        </w:trPr>
        <w:tc>
          <w:tcPr>
            <w:tcW w:w="634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3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Basic weighted average number of shares outstanding</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120,652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124,502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Arial" w:cs="Arial" w:eastAsia="Arial" w:hAnsi="Arial"/>
                <w:sz w:val="13"/>
                <w:szCs w:val="13"/>
                <w:color w:val="auto"/>
              </w:rPr>
              <w:t>Diluted weighted average number of shares outstanding</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125,304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0.395</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0.36</w:t>
            </w:r>
          </w:p>
        </w:tc>
        <w:tc>
          <w:tcPr>
            <w:tcW w:w="0" w:type="dxa"/>
            <w:vAlign w:val="bottom"/>
          </w:tcPr>
          <w:p>
            <w:pPr>
              <w:spacing w:after="0"/>
              <w:rPr>
                <w:sz w:val="1"/>
                <w:szCs w:val="1"/>
                <w:color w:val="auto"/>
              </w:rPr>
            </w:pPr>
          </w:p>
        </w:tc>
      </w:tr>
      <w:tr>
        <w:trPr>
          <w:trHeight w:val="28"/>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Financial Metrics</w:t>
      </w:r>
    </w:p>
    <w:p>
      <w:pPr>
        <w:jc w:val="center"/>
        <w:spacing w:after="0"/>
        <w:rPr>
          <w:sz w:val="20"/>
          <w:szCs w:val="20"/>
          <w:color w:val="auto"/>
        </w:rPr>
      </w:pPr>
      <w:r>
        <w:rPr>
          <w:rFonts w:ascii="Arial" w:cs="Arial" w:eastAsia="Arial" w:hAnsi="Arial"/>
          <w:sz w:val="10"/>
          <w:szCs w:val="10"/>
          <w:b w:val="1"/>
          <w:bCs w:val="1"/>
          <w:color w:val="auto"/>
        </w:rPr>
        <w:t>(In thousands, except per share data)</w:t>
      </w:r>
    </w:p>
    <w:p>
      <w:pPr>
        <w:spacing w:after="0" w:line="149" w:lineRule="exact"/>
        <w:rPr>
          <w:sz w:val="20"/>
          <w:szCs w:val="20"/>
          <w:color w:val="auto"/>
        </w:rPr>
      </w:pPr>
    </w:p>
    <w:p>
      <w:pPr>
        <w:jc w:val="center"/>
        <w:ind w:left="6300"/>
        <w:spacing w:after="0"/>
        <w:rPr>
          <w:sz w:val="20"/>
          <w:szCs w:val="20"/>
          <w:color w:val="auto"/>
        </w:rPr>
      </w:pPr>
      <w:r>
        <w:rPr>
          <w:rFonts w:ascii="Arial" w:cs="Arial" w:eastAsia="Arial" w:hAnsi="Arial"/>
          <w:sz w:val="10"/>
          <w:szCs w:val="10"/>
          <w:b w:val="1"/>
          <w:bCs w:val="1"/>
          <w:color w:val="auto"/>
        </w:rPr>
        <w:t>Three months ended</w:t>
      </w:r>
    </w:p>
    <w:p>
      <w:pPr>
        <w:jc w:val="center"/>
        <w:ind w:left="6300"/>
        <w:spacing w:after="0" w:line="227" w:lineRule="auto"/>
        <w:rPr>
          <w:sz w:val="20"/>
          <w:szCs w:val="20"/>
          <w:color w:val="auto"/>
        </w:rPr>
      </w:pPr>
      <w:r>
        <w:rPr>
          <w:rFonts w:ascii="Arial" w:cs="Arial" w:eastAsia="Arial" w:hAnsi="Arial"/>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31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24"/>
              <w:spacing w:after="0" w:line="94" w:lineRule="exact"/>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00"/>
              <w:spacing w:after="0" w:line="9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41"/>
        </w:trPr>
        <w:tc>
          <w:tcPr>
            <w:tcW w:w="31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32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$1,185,720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$1,104,632</w:t>
            </w:r>
          </w:p>
        </w:tc>
        <w:tc>
          <w:tcPr>
            <w:tcW w:w="40" w:type="dxa"/>
            <w:vAlign w:val="bottom"/>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Arial" w:cs="Arial" w:eastAsia="Arial" w:hAnsi="Arial"/>
                <w:sz w:val="13"/>
                <w:szCs w:val="13"/>
                <w:color w:val="auto"/>
              </w:rPr>
              <w:t>Non-GAAP operating income</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209,538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7"/>
              </w:rPr>
              <w:t>193,607</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w:t>
            </w:r>
          </w:p>
        </w:tc>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176,542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7"/>
              </w:rPr>
              <w:t>150,135</w:t>
            </w:r>
          </w:p>
        </w:tc>
        <w:tc>
          <w:tcPr>
            <w:tcW w:w="40" w:type="dxa"/>
            <w:vAlign w:val="bottom"/>
            <w:shd w:val="clear" w:color="auto" w:fill="CCEEFF"/>
          </w:tcPr>
          <w:p>
            <w:pPr>
              <w:spacing w:after="0"/>
              <w:rPr>
                <w:sz w:val="13"/>
                <w:szCs w:val="13"/>
                <w:color w:val="auto"/>
              </w:rPr>
            </w:pPr>
          </w:p>
        </w:tc>
      </w:tr>
      <w:tr>
        <w:trPr>
          <w:trHeight w:val="152"/>
        </w:trPr>
        <w:tc>
          <w:tcPr>
            <w:tcW w:w="3120" w:type="dxa"/>
            <w:vAlign w:val="bottom"/>
          </w:tcPr>
          <w:p>
            <w:pPr>
              <w:spacing w:after="0"/>
              <w:rPr>
                <w:sz w:val="20"/>
                <w:szCs w:val="20"/>
                <w:color w:val="auto"/>
              </w:rPr>
            </w:pPr>
            <w:r>
              <w:rPr>
                <w:rFonts w:ascii="Arial" w:cs="Arial" w:eastAsia="Arial" w:hAnsi="Arial"/>
                <w:sz w:val="13"/>
                <w:szCs w:val="13"/>
                <w:color w:val="auto"/>
                <w:w w:val="99"/>
              </w:rPr>
              <w:t>Non-GAAP net income attributable to Amdocs Limited</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176,337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7"/>
              </w:rPr>
              <w:t>150,135</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Non-GAAP diluted earnings per share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1.20</w:t>
            </w:r>
          </w:p>
        </w:tc>
      </w:tr>
      <w:tr>
        <w:trPr>
          <w:trHeight w:val="161"/>
        </w:trPr>
        <w:tc>
          <w:tcPr>
            <w:tcW w:w="3120" w:type="dxa"/>
            <w:vAlign w:val="bottom"/>
          </w:tcPr>
          <w:p>
            <w:pPr>
              <w:spacing w:after="0"/>
              <w:rPr>
                <w:sz w:val="20"/>
                <w:szCs w:val="20"/>
                <w:color w:val="auto"/>
              </w:rPr>
            </w:pPr>
            <w:r>
              <w:rPr>
                <w:rFonts w:ascii="Arial" w:cs="Arial" w:eastAsia="Arial" w:hAnsi="Arial"/>
                <w:sz w:val="13"/>
                <w:szCs w:val="13"/>
                <w:color w:val="auto"/>
                <w:w w:val="96"/>
              </w:rPr>
              <w:t>Diluted weighted average number of shares outstanding</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121,500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7"/>
              </w:rPr>
              <w:t>125,304</w:t>
            </w:r>
          </w:p>
        </w:tc>
        <w:tc>
          <w:tcPr>
            <w:tcW w:w="40" w:type="dxa"/>
            <w:vAlign w:val="bottom"/>
          </w:tcPr>
          <w:p>
            <w:pPr>
              <w:spacing w:after="0"/>
              <w:rPr>
                <w:sz w:val="13"/>
                <w:szCs w:val="13"/>
                <w:color w:val="auto"/>
              </w:rPr>
            </w:pPr>
          </w:p>
        </w:tc>
      </w:tr>
      <w:tr>
        <w:trPr>
          <w:trHeight w:val="431"/>
        </w:trPr>
        <w:tc>
          <w:tcPr>
            <w:tcW w:w="3120" w:type="dxa"/>
            <w:vAlign w:val="bottom"/>
          </w:tcPr>
          <w:p>
            <w:pPr>
              <w:spacing w:after="0"/>
              <w:rPr>
                <w:sz w:val="24"/>
                <w:szCs w:val="24"/>
                <w:color w:val="auto"/>
              </w:rPr>
            </w:pPr>
          </w:p>
        </w:tc>
        <w:tc>
          <w:tcPr>
            <w:tcW w:w="3340" w:type="dxa"/>
            <w:vAlign w:val="bottom"/>
            <w:gridSpan w:val="2"/>
          </w:tcPr>
          <w:p>
            <w:pPr>
              <w:jc w:val="center"/>
              <w:ind w:right="1777"/>
              <w:spacing w:after="0"/>
              <w:rPr>
                <w:sz w:val="20"/>
                <w:szCs w:val="20"/>
                <w:color w:val="auto"/>
              </w:rPr>
            </w:pPr>
            <w:r>
              <w:rPr>
                <w:rFonts w:ascii="Arial" w:cs="Arial" w:eastAsia="Arial" w:hAnsi="Arial"/>
                <w:sz w:val="13"/>
                <w:szCs w:val="13"/>
                <w:b w:val="1"/>
                <w:bCs w:val="1"/>
                <w:color w:val="auto"/>
                <w:w w:val="87"/>
              </w:rPr>
              <w:t>Free Cash Flows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0"/>
        </w:trPr>
        <w:tc>
          <w:tcPr>
            <w:tcW w:w="3120" w:type="dxa"/>
            <w:vAlign w:val="bottom"/>
          </w:tcPr>
          <w:p>
            <w:pPr>
              <w:spacing w:after="0"/>
              <w:rPr>
                <w:sz w:val="11"/>
                <w:szCs w:val="11"/>
                <w:color w:val="auto"/>
              </w:rPr>
            </w:pPr>
          </w:p>
        </w:tc>
        <w:tc>
          <w:tcPr>
            <w:tcW w:w="3340" w:type="dxa"/>
            <w:vAlign w:val="bottom"/>
            <w:gridSpan w:val="2"/>
          </w:tcPr>
          <w:p>
            <w:pPr>
              <w:jc w:val="center"/>
              <w:ind w:right="1777"/>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9"/>
        </w:trPr>
        <w:tc>
          <w:tcPr>
            <w:tcW w:w="31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7"/>
          </w:tcPr>
          <w:p>
            <w:pPr>
              <w:jc w:val="center"/>
              <w:ind w:right="100"/>
              <w:spacing w:after="0"/>
              <w:rPr>
                <w:sz w:val="20"/>
                <w:szCs w:val="20"/>
                <w:color w:val="auto"/>
              </w:rPr>
            </w:pPr>
            <w:r>
              <w:rPr>
                <w:rFonts w:ascii="Arial" w:cs="Arial" w:eastAsia="Arial" w:hAnsi="Arial"/>
                <w:sz w:val="10"/>
                <w:szCs w:val="10"/>
                <w:b w:val="1"/>
                <w:bCs w:val="1"/>
                <w:color w:val="auto"/>
                <w:w w:val="89"/>
              </w:rPr>
              <w:t>Three months ended</w:t>
            </w:r>
          </w:p>
        </w:tc>
      </w:tr>
      <w:tr>
        <w:trPr>
          <w:trHeight w:val="119"/>
        </w:trPr>
        <w:tc>
          <w:tcPr>
            <w:tcW w:w="31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7"/>
          </w:tcPr>
          <w:p>
            <w:pPr>
              <w:jc w:val="center"/>
              <w:ind w:right="80"/>
              <w:spacing w:after="0"/>
              <w:rPr>
                <w:sz w:val="20"/>
                <w:szCs w:val="20"/>
                <w:color w:val="auto"/>
              </w:rPr>
            </w:pPr>
            <w:r>
              <w:rPr>
                <w:rFonts w:ascii="Arial" w:cs="Arial" w:eastAsia="Arial" w:hAnsi="Arial"/>
                <w:sz w:val="10"/>
                <w:szCs w:val="10"/>
                <w:b w:val="1"/>
                <w:bCs w:val="1"/>
                <w:color w:val="auto"/>
                <w:w w:val="89"/>
              </w:rPr>
              <w:t>December 31,</w:t>
            </w:r>
          </w:p>
        </w:tc>
      </w:tr>
      <w:tr>
        <w:trPr>
          <w:trHeight w:val="94"/>
        </w:trPr>
        <w:tc>
          <w:tcPr>
            <w:tcW w:w="31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80"/>
              <w:spacing w:after="0" w:line="9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41"/>
        </w:trPr>
        <w:tc>
          <w:tcPr>
            <w:tcW w:w="31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Cash Provided by Operating Activities</w:t>
            </w:r>
          </w:p>
        </w:tc>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$ 83,226</w:t>
            </w: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72"/>
              </w:rPr>
              <w:t>$ 204,118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2"/>
        </w:trPr>
        <w:tc>
          <w:tcPr>
            <w:tcW w:w="3120" w:type="dxa"/>
            <w:vAlign w:val="bottom"/>
          </w:tcPr>
          <w:p>
            <w:pPr>
              <w:spacing w:after="0" w:line="152" w:lineRule="exact"/>
              <w:rPr>
                <w:sz w:val="20"/>
                <w:szCs w:val="20"/>
                <w:color w:val="auto"/>
              </w:rPr>
            </w:pPr>
            <w:r>
              <w:rPr>
                <w:rFonts w:ascii="Arial" w:cs="Arial" w:eastAsia="Arial" w:hAnsi="Arial"/>
                <w:sz w:val="12"/>
                <w:szCs w:val="12"/>
                <w:color w:val="auto"/>
              </w:rPr>
              <w:t>Purchase of property and equipment, net</w:t>
            </w:r>
            <w:r>
              <w:rPr>
                <w:rFonts w:ascii="Arial" w:cs="Arial" w:eastAsia="Arial" w:hAnsi="Arial"/>
                <w:sz w:val="17"/>
                <w:szCs w:val="17"/>
                <w:color w:val="auto"/>
                <w:vertAlign w:val="superscript"/>
              </w:rPr>
              <w:t>(a)</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w w:val="99"/>
              </w:rPr>
              <w:t>(33,703)</w:t>
            </w:r>
          </w:p>
        </w:tc>
        <w:tc>
          <w:tcPr>
            <w:tcW w:w="100" w:type="dxa"/>
            <w:vAlign w:val="bottom"/>
          </w:tcPr>
          <w:p>
            <w:pPr>
              <w:spacing w:after="0"/>
              <w:rPr>
                <w:sz w:val="13"/>
                <w:szCs w:val="13"/>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3"/>
                <w:szCs w:val="13"/>
                <w:color w:val="auto"/>
                <w:w w:val="94"/>
              </w:rPr>
              <w:t>(57,225)</w:t>
            </w:r>
          </w:p>
        </w:tc>
      </w:tr>
      <w:tr>
        <w:trPr>
          <w:trHeight w:val="20"/>
        </w:trPr>
        <w:tc>
          <w:tcPr>
            <w:tcW w:w="3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Free Cash Flow</w:t>
            </w:r>
          </w:p>
        </w:tc>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$ 49,523</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5"/>
              </w:rPr>
              <w:t>$146,893</w:t>
            </w:r>
          </w:p>
        </w:tc>
        <w:tc>
          <w:tcPr>
            <w:tcW w:w="40" w:type="dxa"/>
            <w:vAlign w:val="bottom"/>
            <w:shd w:val="clear" w:color="auto" w:fill="CCEEFF"/>
          </w:tcPr>
          <w:p>
            <w:pPr>
              <w:spacing w:after="0"/>
              <w:rPr>
                <w:sz w:val="13"/>
                <w:szCs w:val="13"/>
                <w:color w:val="auto"/>
              </w:rPr>
            </w:pPr>
          </w:p>
        </w:tc>
      </w:tr>
    </w:tbl>
    <w:p>
      <w:pPr>
        <w:spacing w:after="0" w:line="143" w:lineRule="exact"/>
        <w:rPr>
          <w:sz w:val="20"/>
          <w:szCs w:val="20"/>
          <w:color w:val="auto"/>
        </w:rPr>
      </w:pPr>
    </w:p>
    <w:p>
      <w:pPr>
        <w:ind w:left="640" w:right="759"/>
        <w:spacing w:after="0" w:line="210" w:lineRule="auto"/>
        <w:rPr>
          <w:sz w:val="20"/>
          <w:szCs w:val="20"/>
          <w:color w:val="auto"/>
        </w:rPr>
      </w:pPr>
      <w:r>
        <w:rPr>
          <w:rFonts w:ascii="Arial" w:cs="Arial" w:eastAsia="Arial" w:hAnsi="Arial"/>
          <w:sz w:val="13"/>
          <w:szCs w:val="13"/>
          <w:color w:val="auto"/>
        </w:rPr>
        <w:t>Normalized Free Cash Flow</w:t>
      </w:r>
      <w:r>
        <w:rPr>
          <w:rFonts w:ascii="Arial" w:cs="Arial" w:eastAsia="Arial" w:hAnsi="Arial"/>
          <w:sz w:val="18"/>
          <w:szCs w:val="18"/>
          <w:color w:val="auto"/>
          <w:vertAlign w:val="superscript"/>
        </w:rPr>
        <w:t>(b)</w:t>
      </w:r>
      <w:r>
        <w:rPr>
          <w:rFonts w:ascii="Arial" w:cs="Arial" w:eastAsia="Arial" w:hAnsi="Arial"/>
          <w:sz w:val="13"/>
          <w:szCs w:val="13"/>
          <w:color w:val="auto"/>
        </w:rPr>
        <w:t xml:space="preserve"> for the three months ended December 31, 2021: $185,679, excluding net capital expenditures related to the new campus development of $29,307 and payment for acquisition related liability of $9,479.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4" w:lineRule="exact"/>
        <w:rPr>
          <w:sz w:val="20"/>
          <w:szCs w:val="20"/>
          <w:color w:val="auto"/>
        </w:rPr>
      </w:pPr>
    </w:p>
    <w:p>
      <w:pPr>
        <w:ind w:left="940" w:right="1059" w:hanging="303"/>
        <w:spacing w:after="0" w:line="296" w:lineRule="auto"/>
        <w:tabs>
          <w:tab w:leader="none" w:pos="9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amounts under “Purchase of property and equipment, net”, include proceeds from sale of property and equipment. There were no such proceeds in the three months ended December 31, 2022, while there was $269 for the three months ended December 31, 2021.</w:t>
      </w:r>
    </w:p>
    <w:p>
      <w:pPr>
        <w:ind w:left="940" w:hanging="303"/>
        <w:spacing w:after="0"/>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Since Q12023, the Normalized Free Cash Flow is no longer applicable.</w:t>
      </w:r>
    </w:p>
    <w:p>
      <w:pPr>
        <w:sectPr>
          <w:pgSz w:w="11900" w:h="16838" w:orient="portrait"/>
          <w:cols w:equalWidth="0" w:num="1">
            <w:col w:w="9019"/>
          </w:cols>
          <w:pgMar w:left="1440" w:top="231"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11"/>
          </w:tcPr>
          <w:p>
            <w:pPr>
              <w:jc w:val="right"/>
              <w:ind w:right="320"/>
              <w:spacing w:after="0"/>
              <w:rPr>
                <w:sz w:val="20"/>
                <w:szCs w:val="20"/>
                <w:color w:val="auto"/>
              </w:rPr>
            </w:pPr>
            <w:r>
              <w:rPr>
                <w:rFonts w:ascii="Arial" w:cs="Arial" w:eastAsia="Arial" w:hAnsi="Arial"/>
                <w:sz w:val="10"/>
                <w:szCs w:val="10"/>
                <w:b w:val="1"/>
                <w:bCs w:val="1"/>
                <w:color w:val="auto"/>
                <w:w w:val="99"/>
              </w:rPr>
              <w:t>Three months ended December 31, 2022</w:t>
            </w: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4"/>
          </w:tcPr>
          <w:p>
            <w:pPr>
              <w:jc w:val="center"/>
              <w:ind w:right="40"/>
              <w:spacing w:after="0" w:line="94" w:lineRule="exact"/>
              <w:rPr>
                <w:sz w:val="20"/>
                <w:szCs w:val="20"/>
                <w:color w:val="auto"/>
              </w:rPr>
            </w:pPr>
            <w:r>
              <w:rPr>
                <w:rFonts w:ascii="Arial" w:cs="Arial" w:eastAsia="Arial" w:hAnsi="Arial"/>
                <w:sz w:val="10"/>
                <w:szCs w:val="10"/>
                <w:b w:val="1"/>
                <w:bCs w:val="1"/>
                <w:color w:val="auto"/>
                <w:w w:val="88"/>
              </w:rPr>
              <w:t>Reconciliation items</w:t>
            </w: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6"/>
          </w:tcPr>
          <w:p>
            <w:pPr>
              <w:spacing w:after="0" w:line="79" w:lineRule="exact"/>
              <w:rPr>
                <w:sz w:val="20"/>
                <w:szCs w:val="20"/>
                <w:color w:val="auto"/>
              </w:rPr>
            </w:pPr>
            <w:r>
              <w:rPr>
                <w:rFonts w:ascii="Arial" w:cs="Arial" w:eastAsia="Arial" w:hAnsi="Arial"/>
                <w:sz w:val="9"/>
                <w:szCs w:val="9"/>
                <w:b w:val="1"/>
                <w:bCs w:val="1"/>
                <w:color w:val="auto"/>
              </w:rPr>
              <w:t>Amortization of</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4"/>
          </w:tcPr>
          <w:p>
            <w:pPr>
              <w:ind w:left="60"/>
              <w:spacing w:after="0" w:line="79" w:lineRule="exact"/>
              <w:rPr>
                <w:sz w:val="20"/>
                <w:szCs w:val="20"/>
                <w:color w:val="auto"/>
              </w:rPr>
            </w:pPr>
            <w:r>
              <w:rPr>
                <w:rFonts w:ascii="Arial" w:cs="Arial" w:eastAsia="Arial" w:hAnsi="Arial"/>
                <w:sz w:val="9"/>
                <w:szCs w:val="9"/>
                <w:b w:val="1"/>
                <w:bCs w:val="1"/>
                <w:color w:val="auto"/>
              </w:rPr>
              <w:t>Changes in certain</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5"/>
          </w:tcPr>
          <w:p>
            <w:pPr>
              <w:ind w:left="40"/>
              <w:spacing w:after="0" w:line="104" w:lineRule="exact"/>
              <w:rPr>
                <w:sz w:val="20"/>
                <w:szCs w:val="20"/>
                <w:color w:val="auto"/>
              </w:rPr>
            </w:pPr>
            <w:r>
              <w:rPr>
                <w:rFonts w:ascii="Arial" w:cs="Arial" w:eastAsia="Arial" w:hAnsi="Arial"/>
                <w:sz w:val="10"/>
                <w:szCs w:val="10"/>
                <w:b w:val="1"/>
                <w:bCs w:val="1"/>
                <w:color w:val="auto"/>
              </w:rPr>
              <w:t>purchased</w:t>
            </w:r>
          </w:p>
        </w:tc>
        <w:tc>
          <w:tcPr>
            <w:tcW w:w="20" w:type="dxa"/>
            <w:vAlign w:val="bottom"/>
          </w:tcPr>
          <w:p>
            <w:pPr>
              <w:spacing w:after="0"/>
              <w:rPr>
                <w:sz w:val="9"/>
                <w:szCs w:val="9"/>
                <w:color w:val="auto"/>
              </w:rPr>
            </w:pPr>
          </w:p>
        </w:tc>
        <w:tc>
          <w:tcPr>
            <w:tcW w:w="800" w:type="dxa"/>
            <w:vAlign w:val="bottom"/>
            <w:gridSpan w:val="6"/>
          </w:tcPr>
          <w:p>
            <w:pPr>
              <w:jc w:val="right"/>
              <w:ind w:right="220"/>
              <w:spacing w:after="0" w:line="104" w:lineRule="exact"/>
              <w:rPr>
                <w:sz w:val="20"/>
                <w:szCs w:val="20"/>
                <w:color w:val="auto"/>
              </w:rPr>
            </w:pPr>
            <w:r>
              <w:rPr>
                <w:rFonts w:ascii="Arial" w:cs="Arial" w:eastAsia="Arial" w:hAnsi="Arial"/>
                <w:sz w:val="10"/>
                <w:szCs w:val="10"/>
                <w:b w:val="1"/>
                <w:bCs w:val="1"/>
                <w:color w:val="auto"/>
                <w:w w:val="89"/>
              </w:rPr>
              <w:t>Equity based</w:t>
            </w:r>
          </w:p>
        </w:tc>
        <w:tc>
          <w:tcPr>
            <w:tcW w:w="1100" w:type="dxa"/>
            <w:vAlign w:val="bottom"/>
            <w:gridSpan w:val="4"/>
          </w:tcPr>
          <w:p>
            <w:pPr>
              <w:jc w:val="right"/>
              <w:ind w:right="220"/>
              <w:spacing w:after="0" w:line="104" w:lineRule="exact"/>
              <w:rPr>
                <w:sz w:val="20"/>
                <w:szCs w:val="20"/>
                <w:color w:val="auto"/>
              </w:rPr>
            </w:pPr>
            <w:r>
              <w:rPr>
                <w:rFonts w:ascii="Arial" w:cs="Arial" w:eastAsia="Arial" w:hAnsi="Arial"/>
                <w:sz w:val="10"/>
                <w:szCs w:val="10"/>
                <w:b w:val="1"/>
                <w:bCs w:val="1"/>
                <w:color w:val="auto"/>
                <w:w w:val="91"/>
              </w:rPr>
              <w:t>acquisitions related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6"/>
          </w:tcPr>
          <w:p>
            <w:pPr>
              <w:spacing w:after="0" w:line="104" w:lineRule="exact"/>
              <w:rPr>
                <w:sz w:val="20"/>
                <w:szCs w:val="20"/>
                <w:color w:val="auto"/>
              </w:rPr>
            </w:pPr>
            <w:r>
              <w:rPr>
                <w:rFonts w:ascii="Arial" w:cs="Arial" w:eastAsia="Arial" w:hAnsi="Arial"/>
                <w:sz w:val="10"/>
                <w:szCs w:val="10"/>
                <w:b w:val="1"/>
                <w:bCs w:val="1"/>
                <w:color w:val="auto"/>
              </w:rPr>
              <w:t>intangible assets</w:t>
            </w:r>
          </w:p>
        </w:tc>
        <w:tc>
          <w:tcPr>
            <w:tcW w:w="20" w:type="dxa"/>
            <w:vAlign w:val="bottom"/>
          </w:tcPr>
          <w:p>
            <w:pPr>
              <w:spacing w:after="0"/>
              <w:rPr>
                <w:sz w:val="9"/>
                <w:szCs w:val="9"/>
                <w:color w:val="auto"/>
              </w:rPr>
            </w:pPr>
          </w:p>
        </w:tc>
        <w:tc>
          <w:tcPr>
            <w:tcW w:w="800" w:type="dxa"/>
            <w:vAlign w:val="bottom"/>
            <w:gridSpan w:val="6"/>
          </w:tcPr>
          <w:p>
            <w:pPr>
              <w:spacing w:after="0" w:line="104" w:lineRule="exact"/>
              <w:rPr>
                <w:sz w:val="20"/>
                <w:szCs w:val="20"/>
                <w:color w:val="auto"/>
              </w:rPr>
            </w:pPr>
            <w:r>
              <w:rPr>
                <w:rFonts w:ascii="Arial" w:cs="Arial" w:eastAsia="Arial" w:hAnsi="Arial"/>
                <w:sz w:val="10"/>
                <w:szCs w:val="10"/>
                <w:b w:val="1"/>
                <w:bCs w:val="1"/>
                <w:color w:val="auto"/>
              </w:rPr>
              <w:t>compensation</w:t>
            </w:r>
          </w:p>
        </w:tc>
        <w:tc>
          <w:tcPr>
            <w:tcW w:w="1100" w:type="dxa"/>
            <w:vAlign w:val="bottom"/>
            <w:gridSpan w:val="4"/>
          </w:tcPr>
          <w:p>
            <w:pPr>
              <w:spacing w:after="0" w:line="104" w:lineRule="exact"/>
              <w:rPr>
                <w:sz w:val="20"/>
                <w:szCs w:val="20"/>
                <w:color w:val="auto"/>
              </w:rPr>
            </w:pPr>
            <w:r>
              <w:rPr>
                <w:rFonts w:ascii="Arial" w:cs="Arial" w:eastAsia="Arial" w:hAnsi="Arial"/>
                <w:sz w:val="10"/>
                <w:szCs w:val="10"/>
                <w:b w:val="1"/>
                <w:bCs w:val="1"/>
                <w:color w:val="auto"/>
              </w:rPr>
              <w:t>liabilities measured at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Tax</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GAAP</w:t>
            </w:r>
          </w:p>
        </w:tc>
        <w:tc>
          <w:tcPr>
            <w:tcW w:w="80" w:type="dxa"/>
            <w:vAlign w:val="bottom"/>
          </w:tcPr>
          <w:p>
            <w:pPr>
              <w:spacing w:after="0"/>
              <w:rPr>
                <w:sz w:val="10"/>
                <w:szCs w:val="10"/>
                <w:color w:val="auto"/>
              </w:rPr>
            </w:pPr>
          </w:p>
        </w:tc>
        <w:tc>
          <w:tcPr>
            <w:tcW w:w="800" w:type="dxa"/>
            <w:vAlign w:val="bottom"/>
            <w:gridSpan w:val="5"/>
          </w:tcPr>
          <w:p>
            <w:pPr>
              <w:ind w:left="60"/>
              <w:spacing w:after="0"/>
              <w:rPr>
                <w:sz w:val="20"/>
                <w:szCs w:val="20"/>
                <w:color w:val="auto"/>
              </w:rPr>
            </w:pPr>
            <w:r>
              <w:rPr>
                <w:rFonts w:ascii="Arial" w:cs="Arial" w:eastAsia="Arial" w:hAnsi="Arial"/>
                <w:sz w:val="10"/>
                <w:szCs w:val="10"/>
                <w:b w:val="1"/>
                <w:bCs w:val="1"/>
                <w:color w:val="auto"/>
              </w:rPr>
              <w:t>and 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w w:val="84"/>
              </w:rPr>
              <w:t>expense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0"/>
                <w:szCs w:val="10"/>
                <w:b w:val="1"/>
                <w:bCs w:val="1"/>
                <w:color w:val="auto"/>
              </w:rPr>
              <w:t>fair value</w:t>
            </w:r>
          </w:p>
        </w:tc>
        <w:tc>
          <w:tcPr>
            <w:tcW w:w="40" w:type="dxa"/>
            <w:vAlign w:val="bottom"/>
          </w:tcPr>
          <w:p>
            <w:pPr>
              <w:spacing w:after="0"/>
              <w:rPr>
                <w:sz w:val="10"/>
                <w:szCs w:val="10"/>
                <w:color w:val="auto"/>
              </w:rPr>
            </w:pPr>
          </w:p>
        </w:tc>
        <w:tc>
          <w:tcPr>
            <w:tcW w:w="1140" w:type="dxa"/>
            <w:vAlign w:val="bottom"/>
            <w:gridSpan w:val="7"/>
          </w:tcPr>
          <w:p>
            <w:pPr>
              <w:spacing w:after="0"/>
              <w:rPr>
                <w:sz w:val="20"/>
                <w:szCs w:val="20"/>
                <w:color w:val="auto"/>
              </w:rPr>
            </w:pPr>
            <w:r>
              <w:rPr>
                <w:rFonts w:ascii="Arial" w:cs="Arial" w:eastAsia="Arial" w:hAnsi="Arial"/>
                <w:sz w:val="10"/>
                <w:szCs w:val="10"/>
                <w:b w:val="1"/>
                <w:bCs w:val="1"/>
                <w:color w:val="auto"/>
              </w:rPr>
              <w:t>Restructuring charges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tcPr>
          <w:p>
            <w:pPr>
              <w:ind w:left="40"/>
              <w:spacing w:after="0"/>
              <w:rPr>
                <w:sz w:val="20"/>
                <w:szCs w:val="20"/>
                <w:color w:val="auto"/>
              </w:rPr>
            </w:pPr>
            <w:r>
              <w:rPr>
                <w:rFonts w:ascii="Arial" w:cs="Arial" w:eastAsia="Arial" w:hAnsi="Arial"/>
                <w:sz w:val="10"/>
                <w:szCs w:val="10"/>
                <w:b w:val="1"/>
                <w:bCs w:val="1"/>
                <w:color w:val="auto"/>
              </w:rPr>
              <w:t>effect</w:t>
            </w:r>
          </w:p>
        </w:tc>
        <w:tc>
          <w:tcPr>
            <w:tcW w:w="8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2"/>
              </w:rPr>
              <w:t>Non-GAAP</w:t>
            </w:r>
          </w:p>
        </w:tc>
        <w:tc>
          <w:tcPr>
            <w:tcW w:w="0" w:type="dxa"/>
            <w:vAlign w:val="bottom"/>
          </w:tcPr>
          <w:p>
            <w:pPr>
              <w:spacing w:after="0"/>
              <w:rPr>
                <w:sz w:val="1"/>
                <w:szCs w:val="1"/>
                <w:color w:val="auto"/>
              </w:rPr>
            </w:pPr>
          </w:p>
        </w:tc>
      </w:tr>
      <w:tr>
        <w:trPr>
          <w:trHeight w:val="132"/>
        </w:trPr>
        <w:tc>
          <w:tcPr>
            <w:tcW w:w="164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40" w:type="dxa"/>
            <w:vAlign w:val="bottom"/>
          </w:tcPr>
          <w:p>
            <w:pPr>
              <w:ind w:left="120"/>
              <w:spacing w:after="0"/>
              <w:rPr>
                <w:sz w:val="20"/>
                <w:szCs w:val="20"/>
                <w:color w:val="auto"/>
              </w:rPr>
            </w:pPr>
            <w:r>
              <w:rPr>
                <w:rFonts w:ascii="Arial" w:cs="Arial" w:eastAsia="Arial" w:hAnsi="Arial"/>
                <w:sz w:val="13"/>
                <w:szCs w:val="13"/>
                <w:color w:val="auto"/>
              </w:rPr>
              <w:t>Cost of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756,849</w:t>
            </w:r>
          </w:p>
        </w:tc>
        <w:tc>
          <w:tcPr>
            <w:tcW w:w="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(8,655)</w:t>
            </w:r>
          </w:p>
        </w:tc>
        <w:tc>
          <w:tcPr>
            <w:tcW w:w="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(125)</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w w:val="96"/>
              </w:rPr>
              <w:t>$ 748,069</w:t>
            </w:r>
          </w:p>
        </w:tc>
        <w:tc>
          <w:tcPr>
            <w:tcW w:w="0" w:type="dxa"/>
            <w:vAlign w:val="bottom"/>
          </w:tcPr>
          <w:p>
            <w:pPr>
              <w:spacing w:after="0"/>
              <w:rPr>
                <w:sz w:val="1"/>
                <w:szCs w:val="1"/>
                <w:color w:val="auto"/>
              </w:rPr>
            </w:pPr>
          </w:p>
        </w:tc>
      </w:tr>
      <w:tr>
        <w:trPr>
          <w:trHeight w:val="152"/>
        </w:trPr>
        <w:tc>
          <w:tcPr>
            <w:tcW w:w="16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4"/>
              </w:rPr>
              <w:t>Research and development</w:t>
            </w:r>
          </w:p>
        </w:tc>
        <w:tc>
          <w:tcPr>
            <w:tcW w:w="12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95,726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(1,484)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94,242</w:t>
            </w:r>
          </w:p>
        </w:tc>
        <w:tc>
          <w:tcPr>
            <w:tcW w:w="0" w:type="dxa"/>
            <w:vAlign w:val="bottom"/>
          </w:tcPr>
          <w:p>
            <w:pPr>
              <w:spacing w:after="0"/>
              <w:rPr>
                <w:sz w:val="1"/>
                <w:szCs w:val="1"/>
                <w:color w:val="auto"/>
              </w:rPr>
            </w:pPr>
          </w:p>
        </w:tc>
      </w:tr>
      <w:tr>
        <w:trPr>
          <w:trHeight w:val="143"/>
        </w:trPr>
        <w:tc>
          <w:tcPr>
            <w:tcW w:w="1640" w:type="dxa"/>
            <w:vAlign w:val="bottom"/>
          </w:tcPr>
          <w:p>
            <w:pPr>
              <w:ind w:left="120"/>
              <w:spacing w:after="0" w:line="143" w:lineRule="exact"/>
              <w:rPr>
                <w:sz w:val="20"/>
                <w:szCs w:val="20"/>
                <w:color w:val="auto"/>
              </w:rPr>
            </w:pPr>
            <w:r>
              <w:rPr>
                <w:rFonts w:ascii="Arial" w:cs="Arial" w:eastAsia="Arial" w:hAnsi="Arial"/>
                <w:sz w:val="13"/>
                <w:szCs w:val="13"/>
                <w:color w:val="auto"/>
              </w:rPr>
              <w:t>Selling, general and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40" w:type="dxa"/>
            <w:vAlign w:val="bottom"/>
          </w:tcPr>
          <w:p>
            <w:pPr>
              <w:ind w:left="260"/>
              <w:spacing w:after="0"/>
              <w:rPr>
                <w:sz w:val="20"/>
                <w:szCs w:val="20"/>
                <w:color w:val="auto"/>
              </w:rPr>
            </w:pPr>
            <w:r>
              <w:rPr>
                <w:rFonts w:ascii="Arial" w:cs="Arial" w:eastAsia="Arial" w:hAnsi="Arial"/>
                <w:sz w:val="13"/>
                <w:szCs w:val="13"/>
                <w:color w:val="auto"/>
              </w:rPr>
              <w:t>administrative</w:t>
            </w:r>
          </w:p>
        </w:tc>
        <w:tc>
          <w:tcPr>
            <w:tcW w:w="120" w:type="dxa"/>
            <w:vAlign w:val="bottom"/>
          </w:tcPr>
          <w:p>
            <w:pPr>
              <w:spacing w:after="0"/>
              <w:rPr>
                <w:sz w:val="13"/>
                <w:szCs w:val="1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143,222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(9,351)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133,871</w:t>
            </w:r>
          </w:p>
        </w:tc>
        <w:tc>
          <w:tcPr>
            <w:tcW w:w="0" w:type="dxa"/>
            <w:vAlign w:val="bottom"/>
          </w:tcPr>
          <w:p>
            <w:pPr>
              <w:spacing w:after="0"/>
              <w:rPr>
                <w:sz w:val="1"/>
                <w:szCs w:val="1"/>
                <w:color w:val="auto"/>
              </w:rPr>
            </w:pPr>
          </w:p>
        </w:tc>
      </w:tr>
      <w:tr>
        <w:trPr>
          <w:trHeight w:val="143"/>
        </w:trPr>
        <w:tc>
          <w:tcPr>
            <w:tcW w:w="1640" w:type="dxa"/>
            <w:vAlign w:val="bottom"/>
            <w:shd w:val="clear" w:color="auto" w:fill="CCEEFF"/>
          </w:tcPr>
          <w:p>
            <w:pPr>
              <w:ind w:left="120"/>
              <w:spacing w:after="0" w:line="143" w:lineRule="exact"/>
              <w:rPr>
                <w:sz w:val="20"/>
                <w:szCs w:val="20"/>
                <w:color w:val="auto"/>
              </w:rPr>
            </w:pPr>
            <w:r>
              <w:rPr>
                <w:rFonts w:ascii="Arial" w:cs="Arial" w:eastAsia="Arial" w:hAnsi="Arial"/>
                <w:sz w:val="13"/>
                <w:szCs w:val="13"/>
                <w:color w:val="auto"/>
                <w:w w:val="99"/>
              </w:rPr>
              <w:t>Amortization of purchased</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intangible assets and</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12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15,313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(15,313)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640" w:type="dxa"/>
            <w:vAlign w:val="bottom"/>
          </w:tcPr>
          <w:p>
            <w:pPr>
              <w:ind w:left="120"/>
              <w:spacing w:after="0"/>
              <w:rPr>
                <w:sz w:val="20"/>
                <w:szCs w:val="20"/>
                <w:color w:val="auto"/>
              </w:rPr>
            </w:pPr>
            <w:r>
              <w:rPr>
                <w:rFonts w:ascii="Arial" w:cs="Arial" w:eastAsia="Arial" w:hAnsi="Arial"/>
                <w:sz w:val="13"/>
                <w:szCs w:val="13"/>
                <w:color w:val="auto"/>
              </w:rPr>
              <w:t>Restructuring charges</w:t>
            </w: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24,536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60"/>
              <w:spacing w:after="0"/>
              <w:rPr>
                <w:sz w:val="20"/>
                <w:szCs w:val="20"/>
                <w:color w:val="auto"/>
              </w:rPr>
            </w:pPr>
            <w:r>
              <w:rPr>
                <w:rFonts w:ascii="Arial" w:cs="Arial" w:eastAsia="Arial" w:hAnsi="Arial"/>
                <w:sz w:val="13"/>
                <w:szCs w:val="13"/>
                <w:color w:val="auto"/>
              </w:rPr>
              <w:t>—</w:t>
            </w: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3"/>
                <w:szCs w:val="13"/>
                <w:color w:val="auto"/>
                <w:w w:val="94"/>
              </w:rPr>
              <w:t>(24,536)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operating expenses</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6"/>
              </w:rPr>
              <w:t>1,035,646</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(15,313)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(19,490)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(125)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4"/>
              </w:rPr>
              <w:t>(24,536)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976,182</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150,074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15,313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w w:val="85"/>
              </w:rPr>
              <w:t>19,490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520"/>
              <w:spacing w:after="0"/>
              <w:rPr>
                <w:sz w:val="20"/>
                <w:szCs w:val="20"/>
                <w:color w:val="auto"/>
              </w:rPr>
            </w:pPr>
            <w:r>
              <w:rPr>
                <w:rFonts w:ascii="Arial" w:cs="Arial" w:eastAsia="Arial" w:hAnsi="Arial"/>
                <w:sz w:val="11"/>
                <w:szCs w:val="11"/>
                <w:color w:val="auto"/>
                <w:w w:val="76"/>
              </w:rPr>
              <w:t>125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3"/>
                <w:szCs w:val="13"/>
                <w:color w:val="auto"/>
              </w:rPr>
              <w:t>24,536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209,538</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w w:val="90"/>
              </w:rPr>
              <w:t>Interest and other expense, net</w:t>
            </w:r>
          </w:p>
        </w:tc>
        <w:tc>
          <w:tcPr>
            <w:tcW w:w="12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(4,963)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(4,963)</w:t>
            </w:r>
          </w:p>
        </w:tc>
        <w:tc>
          <w:tcPr>
            <w:tcW w:w="0" w:type="dxa"/>
            <w:vAlign w:val="bottom"/>
          </w:tcPr>
          <w:p>
            <w:pPr>
              <w:spacing w:after="0"/>
              <w:rPr>
                <w:sz w:val="1"/>
                <w:szCs w:val="1"/>
                <w:color w:val="auto"/>
              </w:rPr>
            </w:pPr>
          </w:p>
        </w:tc>
      </w:tr>
      <w:tr>
        <w:trPr>
          <w:trHeight w:val="151"/>
        </w:trPr>
        <w:tc>
          <w:tcPr>
            <w:tcW w:w="1640" w:type="dxa"/>
            <w:vAlign w:val="bottom"/>
          </w:tcPr>
          <w:p>
            <w:pPr>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15,239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3"/>
                <w:szCs w:val="13"/>
                <w:color w:val="auto"/>
                <w:w w:val="85"/>
              </w:rPr>
              <w:t>12,794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129,872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15,313</w:t>
            </w: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5"/>
              </w:rPr>
              <w:t>19,490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1"/>
                <w:szCs w:val="11"/>
                <w:color w:val="auto"/>
                <w:w w:val="76"/>
              </w:rPr>
              <w:t>125</w:t>
            </w:r>
          </w:p>
        </w:tc>
        <w:tc>
          <w:tcPr>
            <w:tcW w:w="16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24,536</w:t>
            </w:r>
          </w:p>
        </w:tc>
        <w:tc>
          <w:tcPr>
            <w:tcW w:w="80" w:type="dxa"/>
            <w:vAlign w:val="bottom"/>
            <w:shd w:val="clear" w:color="auto" w:fill="CCEEFF"/>
          </w:tcPr>
          <w:p>
            <w:pPr>
              <w:spacing w:after="0"/>
              <w:rPr>
                <w:sz w:val="13"/>
                <w:szCs w:val="13"/>
                <w:color w:val="auto"/>
              </w:rPr>
            </w:pPr>
          </w:p>
        </w:tc>
        <w:tc>
          <w:tcPr>
            <w:tcW w:w="620" w:type="dxa"/>
            <w:vAlign w:val="bottom"/>
            <w:gridSpan w:val="5"/>
            <w:shd w:val="clear" w:color="auto" w:fill="CCEEFF"/>
          </w:tcPr>
          <w:p>
            <w:pPr>
              <w:ind w:left="2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(12,794)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6"/>
              </w:rPr>
              <w:t>$ 176,542</w:t>
            </w:r>
          </w:p>
        </w:tc>
        <w:tc>
          <w:tcPr>
            <w:tcW w:w="0" w:type="dxa"/>
            <w:vAlign w:val="bottom"/>
          </w:tcPr>
          <w:p>
            <w:pPr>
              <w:spacing w:after="0"/>
              <w:rPr>
                <w:sz w:val="1"/>
                <w:szCs w:val="1"/>
                <w:color w:val="auto"/>
              </w:rPr>
            </w:pPr>
          </w:p>
        </w:tc>
      </w:tr>
      <w:tr>
        <w:trPr>
          <w:trHeight w:val="142"/>
        </w:trPr>
        <w:tc>
          <w:tcPr>
            <w:tcW w:w="1640" w:type="dxa"/>
            <w:vAlign w:val="bottom"/>
          </w:tcPr>
          <w:p>
            <w:pPr>
              <w:spacing w:after="0" w:line="142" w:lineRule="exact"/>
              <w:rPr>
                <w:sz w:val="20"/>
                <w:szCs w:val="20"/>
                <w:color w:val="auto"/>
              </w:rPr>
            </w:pPr>
            <w:r>
              <w:rPr>
                <w:rFonts w:ascii="Arial" w:cs="Arial" w:eastAsia="Arial" w:hAnsi="Arial"/>
                <w:sz w:val="13"/>
                <w:szCs w:val="13"/>
                <w:color w:val="auto"/>
              </w:rPr>
              <w:t>Net income attributable to</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40" w:type="dxa"/>
            <w:vAlign w:val="bottom"/>
          </w:tcPr>
          <w:p>
            <w:pPr>
              <w:ind w:left="120"/>
              <w:spacing w:after="0"/>
              <w:rPr>
                <w:sz w:val="20"/>
                <w:szCs w:val="20"/>
                <w:color w:val="auto"/>
              </w:rPr>
            </w:pPr>
            <w:r>
              <w:rPr>
                <w:rFonts w:ascii="Arial" w:cs="Arial" w:eastAsia="Arial" w:hAnsi="Arial"/>
                <w:sz w:val="13"/>
                <w:szCs w:val="13"/>
                <w:color w:val="auto"/>
              </w:rPr>
              <w:t>noncontrolling interests</w:t>
            </w:r>
          </w:p>
        </w:tc>
        <w:tc>
          <w:tcPr>
            <w:tcW w:w="120" w:type="dxa"/>
            <w:vAlign w:val="bottom"/>
          </w:tcPr>
          <w:p>
            <w:pPr>
              <w:spacing w:after="0"/>
              <w:rPr>
                <w:sz w:val="13"/>
                <w:szCs w:val="1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205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42"/>
        </w:trPr>
        <w:tc>
          <w:tcPr>
            <w:tcW w:w="16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income attributable to</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Amdocs Limited</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129,872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15,313</w:t>
            </w: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5"/>
              </w:rPr>
              <w:t>19,490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1"/>
                <w:szCs w:val="11"/>
                <w:color w:val="auto"/>
                <w:w w:val="76"/>
              </w:rPr>
              <w:t>125</w:t>
            </w:r>
          </w:p>
        </w:tc>
        <w:tc>
          <w:tcPr>
            <w:tcW w:w="16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24,536</w:t>
            </w:r>
          </w:p>
        </w:tc>
        <w:tc>
          <w:tcPr>
            <w:tcW w:w="80" w:type="dxa"/>
            <w:vAlign w:val="bottom"/>
            <w:shd w:val="clear" w:color="auto" w:fill="CCEEFF"/>
          </w:tcPr>
          <w:p>
            <w:pPr>
              <w:spacing w:after="0"/>
              <w:rPr>
                <w:sz w:val="13"/>
                <w:szCs w:val="13"/>
                <w:color w:val="auto"/>
              </w:rPr>
            </w:pPr>
          </w:p>
        </w:tc>
        <w:tc>
          <w:tcPr>
            <w:tcW w:w="620" w:type="dxa"/>
            <w:vAlign w:val="bottom"/>
            <w:gridSpan w:val="5"/>
            <w:shd w:val="clear" w:color="auto" w:fill="CCEEFF"/>
          </w:tcPr>
          <w:p>
            <w:pPr>
              <w:ind w:left="2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(12,794)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6"/>
              </w:rPr>
              <w:t>$ 176,337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0"/>
                <w:szCs w:val="10"/>
                <w:b w:val="1"/>
                <w:bCs w:val="1"/>
                <w:color w:val="auto"/>
              </w:rPr>
              <w:t>Three months ended December 31, 2021</w:t>
            </w: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3"/>
          </w:tcPr>
          <w:p>
            <w:pPr>
              <w:jc w:val="right"/>
              <w:ind w:right="40"/>
              <w:spacing w:after="0" w:line="94" w:lineRule="exact"/>
              <w:rPr>
                <w:sz w:val="20"/>
                <w:szCs w:val="20"/>
                <w:color w:val="auto"/>
              </w:rPr>
            </w:pPr>
            <w:r>
              <w:rPr>
                <w:rFonts w:ascii="Arial" w:cs="Arial" w:eastAsia="Arial" w:hAnsi="Arial"/>
                <w:sz w:val="10"/>
                <w:szCs w:val="10"/>
                <w:b w:val="1"/>
                <w:bCs w:val="1"/>
                <w:color w:val="auto"/>
                <w:w w:val="92"/>
              </w:rPr>
              <w:t>Reconciliation items</w:t>
            </w: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4"/>
          </w:tcPr>
          <w:p>
            <w:pPr>
              <w:jc w:val="center"/>
              <w:ind w:right="20"/>
              <w:spacing w:after="0" w:line="79" w:lineRule="exact"/>
              <w:rPr>
                <w:sz w:val="20"/>
                <w:szCs w:val="20"/>
                <w:color w:val="auto"/>
              </w:rPr>
            </w:pPr>
            <w:r>
              <w:rPr>
                <w:rFonts w:ascii="Arial" w:cs="Arial" w:eastAsia="Arial" w:hAnsi="Arial"/>
                <w:sz w:val="9"/>
                <w:szCs w:val="9"/>
                <w:b w:val="1"/>
                <w:bCs w:val="1"/>
                <w:color w:val="auto"/>
              </w:rPr>
              <w:t>Amortization of</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3"/>
          </w:tcPr>
          <w:p>
            <w:pPr>
              <w:jc w:val="center"/>
              <w:ind w:right="140"/>
              <w:spacing w:after="0" w:line="79" w:lineRule="exact"/>
              <w:rPr>
                <w:sz w:val="20"/>
                <w:szCs w:val="20"/>
                <w:color w:val="auto"/>
              </w:rPr>
            </w:pPr>
            <w:r>
              <w:rPr>
                <w:rFonts w:ascii="Arial" w:cs="Arial" w:eastAsia="Arial" w:hAnsi="Arial"/>
                <w:sz w:val="9"/>
                <w:szCs w:val="9"/>
                <w:b w:val="1"/>
                <w:bCs w:val="1"/>
                <w:color w:val="auto"/>
              </w:rPr>
              <w:t>Changes in certain</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w w:val="86"/>
              </w:rPr>
              <w:t>purchased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w w:val="85"/>
              </w:rPr>
              <w:t>acquisitions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w w:val="93"/>
              </w:rPr>
              <w:t>intangible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4"/>
          </w:tcPr>
          <w:p>
            <w:pPr>
              <w:jc w:val="right"/>
              <w:ind w:right="60"/>
              <w:spacing w:after="0" w:line="104" w:lineRule="exact"/>
              <w:rPr>
                <w:sz w:val="20"/>
                <w:szCs w:val="20"/>
                <w:color w:val="auto"/>
              </w:rPr>
            </w:pPr>
            <w:r>
              <w:rPr>
                <w:rFonts w:ascii="Arial" w:cs="Arial" w:eastAsia="Arial" w:hAnsi="Arial"/>
                <w:sz w:val="10"/>
                <w:szCs w:val="10"/>
                <w:b w:val="1"/>
                <w:bCs w:val="1"/>
                <w:color w:val="auto"/>
                <w:w w:val="89"/>
              </w:rPr>
              <w:t>Equity based</w:t>
            </w:r>
          </w:p>
        </w:tc>
        <w:tc>
          <w:tcPr>
            <w:tcW w:w="140" w:type="dxa"/>
            <w:vAlign w:val="bottom"/>
          </w:tcPr>
          <w:p>
            <w:pPr>
              <w:spacing w:after="0"/>
              <w:rPr>
                <w:sz w:val="9"/>
                <w:szCs w:val="9"/>
                <w:color w:val="auto"/>
              </w:rPr>
            </w:pPr>
          </w:p>
        </w:tc>
        <w:tc>
          <w:tcPr>
            <w:tcW w:w="960" w:type="dxa"/>
            <w:vAlign w:val="bottom"/>
            <w:gridSpan w:val="3"/>
          </w:tcPr>
          <w:p>
            <w:pPr>
              <w:jc w:val="center"/>
              <w:ind w:right="160"/>
              <w:spacing w:after="0" w:line="104" w:lineRule="exact"/>
              <w:rPr>
                <w:sz w:val="20"/>
                <w:szCs w:val="20"/>
                <w:color w:val="auto"/>
              </w:rPr>
            </w:pPr>
            <w:r>
              <w:rPr>
                <w:rFonts w:ascii="Arial" w:cs="Arial" w:eastAsia="Arial" w:hAnsi="Arial"/>
                <w:sz w:val="10"/>
                <w:szCs w:val="10"/>
                <w:b w:val="1"/>
                <w:bCs w:val="1"/>
                <w:color w:val="auto"/>
                <w:w w:val="91"/>
              </w:rPr>
              <w:t>related liabilities</w:t>
            </w:r>
          </w:p>
        </w:tc>
        <w:tc>
          <w:tcPr>
            <w:tcW w:w="40" w:type="dxa"/>
            <w:vAlign w:val="bottom"/>
          </w:tcPr>
          <w:p>
            <w:pPr>
              <w:spacing w:after="0"/>
              <w:rPr>
                <w:sz w:val="9"/>
                <w:szCs w:val="9"/>
                <w:color w:val="auto"/>
              </w:rPr>
            </w:pPr>
          </w:p>
        </w:tc>
        <w:tc>
          <w:tcPr>
            <w:tcW w:w="54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Gain from</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w w:val="85"/>
              </w:rPr>
              <w:t>assets and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4"/>
          </w:tcPr>
          <w:p>
            <w:pPr>
              <w:spacing w:after="0" w:line="104" w:lineRule="exact"/>
              <w:rPr>
                <w:sz w:val="20"/>
                <w:szCs w:val="20"/>
                <w:color w:val="auto"/>
              </w:rPr>
            </w:pPr>
            <w:r>
              <w:rPr>
                <w:rFonts w:ascii="Arial" w:cs="Arial" w:eastAsia="Arial" w:hAnsi="Arial"/>
                <w:sz w:val="10"/>
                <w:szCs w:val="10"/>
                <w:b w:val="1"/>
                <w:bCs w:val="1"/>
                <w:color w:val="auto"/>
                <w:w w:val="91"/>
              </w:rPr>
              <w:t>compensation</w:t>
            </w:r>
          </w:p>
        </w:tc>
        <w:tc>
          <w:tcPr>
            <w:tcW w:w="140" w:type="dxa"/>
            <w:vAlign w:val="bottom"/>
          </w:tcPr>
          <w:p>
            <w:pPr>
              <w:spacing w:after="0"/>
              <w:rPr>
                <w:sz w:val="9"/>
                <w:szCs w:val="9"/>
                <w:color w:val="auto"/>
              </w:rPr>
            </w:pPr>
          </w:p>
        </w:tc>
        <w:tc>
          <w:tcPr>
            <w:tcW w:w="960" w:type="dxa"/>
            <w:vAlign w:val="bottom"/>
            <w:gridSpan w:val="3"/>
          </w:tcPr>
          <w:p>
            <w:pPr>
              <w:jc w:val="right"/>
              <w:ind w:right="200"/>
              <w:spacing w:after="0" w:line="104" w:lineRule="exact"/>
              <w:rPr>
                <w:sz w:val="20"/>
                <w:szCs w:val="20"/>
                <w:color w:val="auto"/>
              </w:rPr>
            </w:pPr>
            <w:r>
              <w:rPr>
                <w:rFonts w:ascii="Arial" w:cs="Arial" w:eastAsia="Arial" w:hAnsi="Arial"/>
                <w:sz w:val="10"/>
                <w:szCs w:val="10"/>
                <w:b w:val="1"/>
                <w:bCs w:val="1"/>
                <w:color w:val="auto"/>
                <w:w w:val="95"/>
              </w:rPr>
              <w:t>measured at fair</w:t>
            </w:r>
          </w:p>
        </w:tc>
        <w:tc>
          <w:tcPr>
            <w:tcW w:w="40" w:type="dxa"/>
            <w:vAlign w:val="bottom"/>
          </w:tcPr>
          <w:p>
            <w:pPr>
              <w:spacing w:after="0"/>
              <w:rPr>
                <w:sz w:val="9"/>
                <w:szCs w:val="9"/>
                <w:color w:val="auto"/>
              </w:rPr>
            </w:pPr>
          </w:p>
        </w:tc>
        <w:tc>
          <w:tcPr>
            <w:tcW w:w="540" w:type="dxa"/>
            <w:vAlign w:val="bottom"/>
            <w:gridSpan w:val="3"/>
          </w:tcPr>
          <w:p>
            <w:pPr>
              <w:jc w:val="right"/>
              <w:ind w:right="140"/>
              <w:spacing w:after="0" w:line="104" w:lineRule="exact"/>
              <w:rPr>
                <w:sz w:val="20"/>
                <w:szCs w:val="20"/>
                <w:color w:val="auto"/>
              </w:rPr>
            </w:pPr>
            <w:r>
              <w:rPr>
                <w:rFonts w:ascii="Arial" w:cs="Arial" w:eastAsia="Arial" w:hAnsi="Arial"/>
                <w:sz w:val="10"/>
                <w:szCs w:val="10"/>
                <w:b w:val="1"/>
                <w:bCs w:val="1"/>
                <w:color w:val="auto"/>
                <w:w w:val="94"/>
              </w:rPr>
              <w:t>sale of a</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Tax</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GAAP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5"/>
              </w:rPr>
              <w:t>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w w:val="89"/>
              </w:rPr>
              <w:t>expense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5"/>
              </w:rPr>
              <w:t>value</w:t>
            </w:r>
          </w:p>
        </w:tc>
        <w:tc>
          <w:tcPr>
            <w:tcW w:w="40" w:type="dxa"/>
            <w:vAlign w:val="bottom"/>
          </w:tcPr>
          <w:p>
            <w:pPr>
              <w:spacing w:after="0"/>
              <w:rPr>
                <w:sz w:val="10"/>
                <w:szCs w:val="10"/>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2"/>
              </w:rPr>
              <w:t>business</w:t>
            </w:r>
          </w:p>
        </w:tc>
        <w:tc>
          <w:tcPr>
            <w:tcW w:w="180" w:type="dxa"/>
            <w:vAlign w:val="bottom"/>
          </w:tcPr>
          <w:p>
            <w:pPr>
              <w:spacing w:after="0"/>
              <w:rPr>
                <w:sz w:val="10"/>
                <w:szCs w:val="10"/>
                <w:color w:val="auto"/>
              </w:rPr>
            </w:pPr>
          </w:p>
        </w:tc>
        <w:tc>
          <w:tcPr>
            <w:tcW w:w="420" w:type="dxa"/>
            <w:vAlign w:val="bottom"/>
            <w:gridSpan w:val="3"/>
          </w:tcPr>
          <w:p>
            <w:pPr>
              <w:spacing w:after="0"/>
              <w:rPr>
                <w:sz w:val="20"/>
                <w:szCs w:val="20"/>
                <w:color w:val="auto"/>
              </w:rPr>
            </w:pPr>
            <w:r>
              <w:rPr>
                <w:rFonts w:ascii="Arial" w:cs="Arial" w:eastAsia="Arial" w:hAnsi="Arial"/>
                <w:sz w:val="10"/>
                <w:szCs w:val="10"/>
                <w:b w:val="1"/>
                <w:bCs w:val="1"/>
                <w:color w:val="auto"/>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spacing w:after="0"/>
              <w:rPr>
                <w:sz w:val="20"/>
                <w:szCs w:val="20"/>
                <w:color w:val="auto"/>
              </w:rPr>
            </w:pPr>
            <w:r>
              <w:rPr>
                <w:rFonts w:ascii="Arial" w:cs="Arial" w:eastAsia="Arial" w:hAnsi="Arial"/>
                <w:sz w:val="10"/>
                <w:szCs w:val="10"/>
                <w:b w:val="1"/>
                <w:bCs w:val="1"/>
                <w:color w:val="auto"/>
              </w:rPr>
              <w:t>effect</w:t>
            </w:r>
          </w:p>
        </w:tc>
        <w:tc>
          <w:tcPr>
            <w:tcW w:w="8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2"/>
              </w:rPr>
              <w:t>Non-GAAP</w:t>
            </w:r>
          </w:p>
        </w:tc>
        <w:tc>
          <w:tcPr>
            <w:tcW w:w="0" w:type="dxa"/>
            <w:vAlign w:val="bottom"/>
          </w:tcPr>
          <w:p>
            <w:pPr>
              <w:spacing w:after="0"/>
              <w:rPr>
                <w:sz w:val="1"/>
                <w:szCs w:val="1"/>
                <w:color w:val="auto"/>
              </w:rPr>
            </w:pPr>
          </w:p>
        </w:tc>
      </w:tr>
      <w:tr>
        <w:trPr>
          <w:trHeight w:val="132"/>
        </w:trPr>
        <w:tc>
          <w:tcPr>
            <w:tcW w:w="164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40" w:type="dxa"/>
            <w:vAlign w:val="bottom"/>
          </w:tcPr>
          <w:p>
            <w:pPr>
              <w:ind w:left="120"/>
              <w:spacing w:after="0"/>
              <w:rPr>
                <w:sz w:val="20"/>
                <w:szCs w:val="20"/>
                <w:color w:val="auto"/>
              </w:rPr>
            </w:pPr>
            <w:r>
              <w:rPr>
                <w:rFonts w:ascii="Arial" w:cs="Arial" w:eastAsia="Arial" w:hAnsi="Arial"/>
                <w:sz w:val="13"/>
                <w:szCs w:val="13"/>
                <w:color w:val="auto"/>
              </w:rPr>
              <w:t>Cost of revenue</w:t>
            </w:r>
          </w:p>
        </w:tc>
        <w:tc>
          <w:tcPr>
            <w:tcW w:w="12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$716,718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(7,147)</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1,027</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80" w:type="dxa"/>
            <w:vAlign w:val="bottom"/>
            <w:gridSpan w:val="3"/>
          </w:tcPr>
          <w:p>
            <w:pPr>
              <w:ind w:left="100"/>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w w:val="96"/>
              </w:rPr>
              <w:t>$ 710,598</w:t>
            </w:r>
          </w:p>
        </w:tc>
        <w:tc>
          <w:tcPr>
            <w:tcW w:w="0" w:type="dxa"/>
            <w:vAlign w:val="bottom"/>
          </w:tcPr>
          <w:p>
            <w:pPr>
              <w:spacing w:after="0"/>
              <w:rPr>
                <w:sz w:val="1"/>
                <w:szCs w:val="1"/>
                <w:color w:val="auto"/>
              </w:rPr>
            </w:pPr>
          </w:p>
        </w:tc>
      </w:tr>
      <w:tr>
        <w:trPr>
          <w:trHeight w:val="152"/>
        </w:trPr>
        <w:tc>
          <w:tcPr>
            <w:tcW w:w="16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4"/>
              </w:rPr>
              <w:t>Research and development</w:t>
            </w:r>
          </w:p>
        </w:tc>
        <w:tc>
          <w:tcPr>
            <w:tcW w:w="12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81,945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80,722</w:t>
            </w:r>
          </w:p>
        </w:tc>
        <w:tc>
          <w:tcPr>
            <w:tcW w:w="0" w:type="dxa"/>
            <w:vAlign w:val="bottom"/>
          </w:tcPr>
          <w:p>
            <w:pPr>
              <w:spacing w:after="0"/>
              <w:rPr>
                <w:sz w:val="1"/>
                <w:szCs w:val="1"/>
                <w:color w:val="auto"/>
              </w:rPr>
            </w:pPr>
          </w:p>
        </w:tc>
      </w:tr>
      <w:tr>
        <w:trPr>
          <w:trHeight w:val="143"/>
        </w:trPr>
        <w:tc>
          <w:tcPr>
            <w:tcW w:w="1640" w:type="dxa"/>
            <w:vAlign w:val="bottom"/>
          </w:tcPr>
          <w:p>
            <w:pPr>
              <w:ind w:left="120"/>
              <w:spacing w:after="0" w:line="143" w:lineRule="exact"/>
              <w:rPr>
                <w:sz w:val="20"/>
                <w:szCs w:val="20"/>
                <w:color w:val="auto"/>
              </w:rPr>
            </w:pPr>
            <w:r>
              <w:rPr>
                <w:rFonts w:ascii="Arial" w:cs="Arial" w:eastAsia="Arial" w:hAnsi="Arial"/>
                <w:sz w:val="13"/>
                <w:szCs w:val="13"/>
                <w:color w:val="auto"/>
              </w:rPr>
              <w:t>Selling, general and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40" w:type="dxa"/>
            <w:vAlign w:val="bottom"/>
          </w:tcPr>
          <w:p>
            <w:pPr>
              <w:ind w:left="260"/>
              <w:spacing w:after="0"/>
              <w:rPr>
                <w:sz w:val="20"/>
                <w:szCs w:val="20"/>
                <w:color w:val="auto"/>
              </w:rPr>
            </w:pPr>
            <w:r>
              <w:rPr>
                <w:rFonts w:ascii="Arial" w:cs="Arial" w:eastAsia="Arial" w:hAnsi="Arial"/>
                <w:sz w:val="13"/>
                <w:szCs w:val="13"/>
                <w:color w:val="auto"/>
              </w:rPr>
              <w:t>administrative</w:t>
            </w:r>
          </w:p>
        </w:tc>
        <w:tc>
          <w:tcPr>
            <w:tcW w:w="12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128,076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(8,371)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2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119,705</w:t>
            </w:r>
          </w:p>
        </w:tc>
        <w:tc>
          <w:tcPr>
            <w:tcW w:w="0" w:type="dxa"/>
            <w:vAlign w:val="bottom"/>
          </w:tcPr>
          <w:p>
            <w:pPr>
              <w:spacing w:after="0"/>
              <w:rPr>
                <w:sz w:val="1"/>
                <w:szCs w:val="1"/>
                <w:color w:val="auto"/>
              </w:rPr>
            </w:pPr>
          </w:p>
        </w:tc>
      </w:tr>
      <w:tr>
        <w:trPr>
          <w:trHeight w:val="143"/>
        </w:trPr>
        <w:tc>
          <w:tcPr>
            <w:tcW w:w="1640" w:type="dxa"/>
            <w:vAlign w:val="bottom"/>
            <w:shd w:val="clear" w:color="auto" w:fill="CCEEFF"/>
          </w:tcPr>
          <w:p>
            <w:pPr>
              <w:ind w:left="120"/>
              <w:spacing w:after="0" w:line="143" w:lineRule="exact"/>
              <w:rPr>
                <w:sz w:val="20"/>
                <w:szCs w:val="20"/>
                <w:color w:val="auto"/>
              </w:rPr>
            </w:pPr>
            <w:r>
              <w:rPr>
                <w:rFonts w:ascii="Arial" w:cs="Arial" w:eastAsia="Arial" w:hAnsi="Arial"/>
                <w:sz w:val="13"/>
                <w:szCs w:val="13"/>
                <w:color w:val="auto"/>
                <w:w w:val="99"/>
              </w:rPr>
              <w:t>Amortization of purchased</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4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7"/>
              </w:rPr>
              <w:t>intangible assets and other</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17,747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ind w:left="220"/>
              <w:spacing w:after="0"/>
              <w:rPr>
                <w:sz w:val="20"/>
                <w:szCs w:val="20"/>
                <w:color w:val="auto"/>
              </w:rPr>
            </w:pPr>
            <w:r>
              <w:rPr>
                <w:rFonts w:ascii="Arial" w:cs="Arial" w:eastAsia="Arial" w:hAnsi="Arial"/>
                <w:sz w:val="13"/>
                <w:szCs w:val="13"/>
                <w:color w:val="auto"/>
              </w:rPr>
              <w:t>(17,747)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7"/>
              </w:rPr>
              <w:t>944,486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5"/>
          </w:tcPr>
          <w:p>
            <w:pPr>
              <w:ind w:left="220"/>
              <w:spacing w:after="0"/>
              <w:rPr>
                <w:sz w:val="20"/>
                <w:szCs w:val="20"/>
                <w:color w:val="auto"/>
              </w:rPr>
            </w:pPr>
            <w:r>
              <w:rPr>
                <w:rFonts w:ascii="Arial" w:cs="Arial" w:eastAsia="Arial" w:hAnsi="Arial"/>
                <w:sz w:val="13"/>
                <w:szCs w:val="13"/>
                <w:color w:val="auto"/>
              </w:rPr>
              <w:t>(17,747)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(16,741)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1,027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2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911,025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7"/>
              </w:rPr>
              <w:t>160,146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w w:val="85"/>
              </w:rPr>
              <w:t>17,747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16,741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193,607</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13"/>
                <w:szCs w:val="13"/>
                <w:color w:val="auto"/>
                <w:w w:val="90"/>
              </w:rPr>
              <w:t>Interest and other expense, net</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4"/>
          </w:tcPr>
          <w:p>
            <w:pPr>
              <w:jc w:val="right"/>
              <w:ind w:right="3"/>
              <w:spacing w:after="0"/>
              <w:rPr>
                <w:sz w:val="20"/>
                <w:szCs w:val="20"/>
                <w:color w:val="auto"/>
              </w:rPr>
            </w:pPr>
            <w:r>
              <w:rPr>
                <w:rFonts w:ascii="Arial" w:cs="Arial" w:eastAsia="Arial" w:hAnsi="Arial"/>
                <w:sz w:val="13"/>
                <w:szCs w:val="13"/>
                <w:color w:val="auto"/>
              </w:rPr>
              <w:t>(2,562)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w w:val="97"/>
              </w:rPr>
              <w:t>(3,605)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(6,167)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w w:val="98"/>
              </w:rPr>
              <w:t>Gain from sale of a business</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(10,000)</w:t>
            </w: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33,982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2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3"/>
                <w:szCs w:val="13"/>
                <w:color w:val="auto"/>
                <w:w w:val="85"/>
              </w:rPr>
              <w:t>3,323</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37,305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133,602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w w:val="85"/>
              </w:rPr>
              <w:t>17,747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16,741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(1,027)</w:t>
            </w:r>
          </w:p>
        </w:tc>
        <w:tc>
          <w:tcPr>
            <w:tcW w:w="580" w:type="dxa"/>
            <w:vAlign w:val="bottom"/>
            <w:gridSpan w:val="4"/>
            <w:shd w:val="clear" w:color="auto" w:fill="CCEEFF"/>
          </w:tcPr>
          <w:p>
            <w:pPr>
              <w:ind w:left="40"/>
              <w:spacing w:after="0"/>
              <w:rPr>
                <w:sz w:val="20"/>
                <w:szCs w:val="20"/>
                <w:color w:val="auto"/>
              </w:rPr>
            </w:pPr>
            <w:r>
              <w:rPr>
                <w:rFonts w:ascii="Arial" w:cs="Arial" w:eastAsia="Arial" w:hAnsi="Arial"/>
                <w:sz w:val="13"/>
                <w:szCs w:val="13"/>
                <w:u w:val="single" w:color="auto"/>
                <w:color w:val="auto"/>
                <w:w w:val="93"/>
              </w:rPr>
              <w:t>$</w:t>
            </w:r>
            <w:r>
              <w:rPr>
                <w:rFonts w:ascii="Arial" w:cs="Arial" w:eastAsia="Arial" w:hAnsi="Arial"/>
                <w:sz w:val="13"/>
                <w:szCs w:val="13"/>
                <w:color w:val="auto"/>
                <w:w w:val="93"/>
              </w:rPr>
              <w:t>(10,000)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42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7"/>
              </w:rPr>
              <w:t>(3,605)</w:t>
            </w:r>
          </w:p>
        </w:tc>
        <w:tc>
          <w:tcPr>
            <w:tcW w:w="620" w:type="dxa"/>
            <w:vAlign w:val="bottom"/>
            <w:gridSpan w:val="5"/>
            <w:shd w:val="clear" w:color="auto" w:fill="CCEEFF"/>
          </w:tcPr>
          <w:p>
            <w:pPr>
              <w:ind w:left="10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(3,323)</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6"/>
              </w:rPr>
              <w:t>$ 150,135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Balance Sheets</w:t>
      </w:r>
    </w:p>
    <w:p>
      <w:pPr>
        <w:jc w:val="center"/>
        <w:ind w:right="19"/>
        <w:spacing w:after="0"/>
        <w:rPr>
          <w:sz w:val="20"/>
          <w:szCs w:val="20"/>
          <w:color w:val="auto"/>
        </w:rPr>
      </w:pPr>
      <w:r>
        <w:rPr>
          <w:rFonts w:ascii="Arial" w:cs="Arial" w:eastAsia="Arial" w:hAnsi="Arial"/>
          <w:sz w:val="10"/>
          <w:szCs w:val="10"/>
          <w:b w:val="1"/>
          <w:bCs w:val="1"/>
          <w:color w:val="auto"/>
        </w:rPr>
        <w:t>(In thousands)</w:t>
      </w:r>
    </w:p>
    <w:p>
      <w:pPr>
        <w:spacing w:after="0" w:line="150"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6300" w:type="dxa"/>
            <w:vAlign w:val="bottom"/>
          </w:tcPr>
          <w:p>
            <w:pPr>
              <w:spacing w:after="0"/>
              <w:rPr>
                <w:sz w:val="6"/>
                <w:szCs w:val="6"/>
                <w:color w:val="auto"/>
              </w:rPr>
            </w:pPr>
          </w:p>
        </w:tc>
        <w:tc>
          <w:tcPr>
            <w:tcW w:w="58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5"/>
              </w:rPr>
              <w:t>December 31,</w:t>
            </w:r>
          </w:p>
        </w:tc>
        <w:tc>
          <w:tcPr>
            <w:tcW w:w="200" w:type="dxa"/>
            <w:vAlign w:val="bottom"/>
          </w:tcPr>
          <w:p>
            <w:pPr>
              <w:spacing w:after="0"/>
              <w:rPr>
                <w:sz w:val="6"/>
                <w:szCs w:val="6"/>
                <w:color w:val="auto"/>
              </w:rPr>
            </w:pPr>
          </w:p>
        </w:tc>
        <w:tc>
          <w:tcPr>
            <w:tcW w:w="62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7"/>
              </w:rPr>
              <w:t>September 30,</w:t>
            </w:r>
          </w:p>
        </w:tc>
        <w:tc>
          <w:tcPr>
            <w:tcW w:w="40" w:type="dxa"/>
            <w:vAlign w:val="bottom"/>
          </w:tcPr>
          <w:p>
            <w:pPr>
              <w:spacing w:after="0"/>
              <w:rPr>
                <w:sz w:val="6"/>
                <w:szCs w:val="6"/>
                <w:color w:val="auto"/>
              </w:rPr>
            </w:pPr>
          </w:p>
        </w:tc>
      </w:tr>
      <w:tr>
        <w:trPr>
          <w:trHeight w:val="119"/>
        </w:trPr>
        <w:tc>
          <w:tcPr>
            <w:tcW w:w="63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r>
      <w:tr>
        <w:trPr>
          <w:trHeight w:val="132"/>
        </w:trPr>
        <w:tc>
          <w:tcPr>
            <w:tcW w:w="630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492,179</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573,377</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Short-term interest-bearing investments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242,377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244,603</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net, including unbilled of $181,895 and $157,165, respectively</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1,136,200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946,777</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213,630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238,390</w:t>
            </w:r>
          </w:p>
        </w:tc>
        <w:tc>
          <w:tcPr>
            <w:tcW w:w="40" w:type="dxa"/>
            <w:vAlign w:val="bottom"/>
          </w:tcPr>
          <w:p>
            <w:pPr>
              <w:spacing w:after="0"/>
              <w:rPr>
                <w:sz w:val="13"/>
                <w:szCs w:val="13"/>
                <w:color w:val="auto"/>
              </w:rPr>
            </w:pPr>
          </w:p>
        </w:tc>
      </w:tr>
      <w:tr>
        <w:trPr>
          <w:trHeight w:val="151"/>
        </w:trPr>
        <w:tc>
          <w:tcPr>
            <w:tcW w:w="6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2,084,386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2,003,147</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798,907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794,287</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158,633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176,884</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Goodwill and other intangible assets,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2,810,079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2,841,137</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606,849</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574,938</w:t>
            </w:r>
          </w:p>
        </w:tc>
        <w:tc>
          <w:tcPr>
            <w:tcW w:w="40" w:type="dxa"/>
            <w:vAlign w:val="bottom"/>
            <w:shd w:val="clear" w:color="auto" w:fill="CCEEFF"/>
          </w:tcPr>
          <w:p>
            <w:pPr>
              <w:spacing w:after="0"/>
              <w:rPr>
                <w:sz w:val="13"/>
                <w:szCs w:val="13"/>
                <w:color w:val="auto"/>
              </w:rPr>
            </w:pPr>
          </w:p>
        </w:tc>
      </w:tr>
      <w:tr>
        <w:trPr>
          <w:trHeight w:val="159"/>
        </w:trPr>
        <w:tc>
          <w:tcPr>
            <w:tcW w:w="6300" w:type="dxa"/>
            <w:vAlign w:val="bottom"/>
          </w:tcPr>
          <w:p>
            <w:pPr>
              <w:spacing w:after="0"/>
              <w:rPr>
                <w:sz w:val="20"/>
                <w:szCs w:val="20"/>
                <w:color w:val="auto"/>
              </w:rPr>
            </w:pPr>
            <w:r>
              <w:rPr>
                <w:rFonts w:ascii="Arial" w:cs="Arial" w:eastAsia="Arial" w:hAnsi="Arial"/>
                <w:sz w:val="13"/>
                <w:szCs w:val="13"/>
                <w:color w:val="auto"/>
              </w:rPr>
              <w:t>Total assets</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2"/>
              </w:rPr>
              <w:t>6,458,854</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6,390,393</w:t>
            </w:r>
          </w:p>
        </w:tc>
        <w:tc>
          <w:tcPr>
            <w:tcW w:w="40" w:type="dxa"/>
            <w:vAlign w:val="bottom"/>
          </w:tcPr>
          <w:p>
            <w:pPr>
              <w:spacing w:after="0"/>
              <w:rPr>
                <w:sz w:val="13"/>
                <w:szCs w:val="13"/>
                <w:color w:val="auto"/>
              </w:rPr>
            </w:pP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Current liabilities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 accruals and other</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1,033,484</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955,658</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Lease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39,724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43,336</w:t>
            </w: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255,642</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253,686</w:t>
            </w:r>
          </w:p>
        </w:tc>
        <w:tc>
          <w:tcPr>
            <w:tcW w:w="40" w:type="dxa"/>
            <w:vAlign w:val="bottom"/>
            <w:shd w:val="clear" w:color="auto" w:fill="CCEEFF"/>
          </w:tcPr>
          <w:p>
            <w:pPr>
              <w:spacing w:after="0"/>
              <w:rPr>
                <w:sz w:val="13"/>
                <w:szCs w:val="13"/>
                <w:color w:val="auto"/>
              </w:rPr>
            </w:pPr>
          </w:p>
        </w:tc>
      </w:tr>
      <w:tr>
        <w:trPr>
          <w:trHeight w:val="151"/>
        </w:trPr>
        <w:tc>
          <w:tcPr>
            <w:tcW w:w="6300" w:type="dxa"/>
            <w:vAlign w:val="bottom"/>
          </w:tcPr>
          <w:p>
            <w:pPr>
              <w:ind w:left="260"/>
              <w:spacing w:after="0"/>
              <w:rPr>
                <w:sz w:val="20"/>
                <w:szCs w:val="20"/>
                <w:color w:val="auto"/>
              </w:rPr>
            </w:pPr>
            <w:r>
              <w:rPr>
                <w:rFonts w:ascii="Arial" w:cs="Arial" w:eastAsia="Arial" w:hAnsi="Arial"/>
                <w:sz w:val="13"/>
                <w:szCs w:val="13"/>
                <w:color w:val="auto"/>
              </w:rPr>
              <w:t>Total current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1,328,850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1,252,680</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122,488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138,378</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Long-term debt, net of unamortized debt issuance costs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645,262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645,117</w:t>
            </w: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772,329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793,940</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Arial" w:cs="Arial" w:eastAsia="Arial" w:hAnsi="Arial"/>
                <w:sz w:val="13"/>
                <w:szCs w:val="13"/>
                <w:color w:val="auto"/>
              </w:rPr>
              <w:t>Total Amdocs Limited Shareholders’ equity</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3,547,211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3,517,769</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42,714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42,509</w:t>
            </w:r>
          </w:p>
        </w:tc>
      </w:tr>
      <w:tr>
        <w:trPr>
          <w:trHeight w:val="151"/>
        </w:trPr>
        <w:tc>
          <w:tcPr>
            <w:tcW w:w="6300" w:type="dxa"/>
            <w:vAlign w:val="bottom"/>
          </w:tcPr>
          <w:p>
            <w:pPr>
              <w:spacing w:after="0"/>
              <w:rPr>
                <w:sz w:val="20"/>
                <w:szCs w:val="20"/>
                <w:color w:val="auto"/>
              </w:rPr>
            </w:pPr>
            <w:r>
              <w:rPr>
                <w:rFonts w:ascii="Arial" w:cs="Arial" w:eastAsia="Arial" w:hAnsi="Arial"/>
                <w:sz w:val="13"/>
                <w:szCs w:val="13"/>
                <w:color w:val="auto"/>
              </w:rPr>
              <w:t>Total equity</w:t>
            </w: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3,589,925</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3,560,278</w:t>
            </w:r>
          </w:p>
        </w:tc>
        <w:tc>
          <w:tcPr>
            <w:tcW w:w="40" w:type="dxa"/>
            <w:vAlign w:val="bottom"/>
          </w:tcPr>
          <w:p>
            <w:pPr>
              <w:spacing w:after="0"/>
              <w:rPr>
                <w:sz w:val="13"/>
                <w:szCs w:val="13"/>
                <w:color w:val="auto"/>
              </w:rPr>
            </w:pPr>
          </w:p>
        </w:tc>
      </w:tr>
      <w:tr>
        <w:trPr>
          <w:trHeight w:val="15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equity</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6,458,854</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6,390,393</w:t>
            </w:r>
          </w:p>
        </w:tc>
        <w:tc>
          <w:tcPr>
            <w:tcW w:w="40" w:type="dxa"/>
            <w:vAlign w:val="bottom"/>
            <w:shd w:val="clear" w:color="auto" w:fill="CCEEFF"/>
          </w:tcPr>
          <w:p>
            <w:pPr>
              <w:spacing w:after="0"/>
              <w:rPr>
                <w:sz w:val="13"/>
                <w:szCs w:val="13"/>
                <w:color w:val="auto"/>
              </w:rPr>
            </w:pPr>
          </w:p>
        </w:tc>
      </w:tr>
      <w:tr>
        <w:trPr>
          <w:trHeight w:val="28"/>
        </w:trPr>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31"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7" w:lineRule="exact"/>
        <w:rPr>
          <w:sz w:val="20"/>
          <w:szCs w:val="20"/>
          <w:color w:val="auto"/>
        </w:rPr>
      </w:pPr>
    </w:p>
    <w:p>
      <w:pPr>
        <w:jc w:val="center"/>
        <w:ind w:left="6300"/>
        <w:spacing w:after="0"/>
        <w:rPr>
          <w:sz w:val="20"/>
          <w:szCs w:val="20"/>
          <w:color w:val="auto"/>
        </w:rPr>
      </w:pPr>
      <w:r>
        <w:rPr>
          <w:rFonts w:ascii="Arial" w:cs="Arial" w:eastAsia="Arial" w:hAnsi="Arial"/>
          <w:sz w:val="10"/>
          <w:szCs w:val="10"/>
          <w:b w:val="1"/>
          <w:bCs w:val="1"/>
          <w:color w:val="auto"/>
        </w:rPr>
        <w:t>Three months ended</w:t>
      </w:r>
    </w:p>
    <w:p>
      <w:pPr>
        <w:jc w:val="center"/>
        <w:ind w:left="6300"/>
        <w:spacing w:after="0" w:line="227" w:lineRule="auto"/>
        <w:rPr>
          <w:sz w:val="20"/>
          <w:szCs w:val="20"/>
          <w:color w:val="auto"/>
        </w:rPr>
      </w:pPr>
      <w:r>
        <w:rPr>
          <w:rFonts w:ascii="Arial" w:cs="Arial" w:eastAsia="Arial" w:hAnsi="Arial"/>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5040" w:type="dxa"/>
            <w:vAlign w:val="bottom"/>
            <w:tcBorders>
              <w:bottom w:val="single" w:sz="8" w:color="CCEEFF"/>
            </w:tcBorders>
          </w:tcPr>
          <w:p>
            <w:pPr>
              <w:spacing w:after="0"/>
              <w:rPr>
                <w:sz w:val="8"/>
                <w:szCs w:val="8"/>
                <w:color w:val="auto"/>
              </w:rPr>
            </w:pPr>
          </w:p>
        </w:tc>
        <w:tc>
          <w:tcPr>
            <w:tcW w:w="13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8"/>
              <w:spacing w:after="0" w:line="94" w:lineRule="exact"/>
              <w:rPr>
                <w:sz w:val="20"/>
                <w:szCs w:val="20"/>
                <w:color w:val="auto"/>
              </w:rPr>
            </w:pPr>
            <w:r>
              <w:rPr>
                <w:rFonts w:ascii="Arial" w:cs="Arial" w:eastAsia="Arial" w:hAnsi="Arial"/>
                <w:sz w:val="10"/>
                <w:szCs w:val="10"/>
                <w:b w:val="1"/>
                <w:bCs w:val="1"/>
                <w:color w:val="auto"/>
              </w:rPr>
              <w:t>2022</w:t>
            </w:r>
          </w:p>
        </w:tc>
        <w:tc>
          <w:tcPr>
            <w:tcW w:w="240" w:type="dxa"/>
            <w:vAlign w:val="bottom"/>
            <w:tcBorders>
              <w:top w:val="single" w:sz="8" w:color="auto"/>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7"/>
              <w:spacing w:after="0" w:line="9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04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Cash Flow from Operating Activities:</w:t>
            </w:r>
          </w:p>
        </w:tc>
        <w:tc>
          <w:tcPr>
            <w:tcW w:w="1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20"/>
                <w:szCs w:val="20"/>
                <w:color w:val="auto"/>
              </w:rPr>
            </w:pPr>
            <w:r>
              <w:rPr>
                <w:rFonts w:ascii="Arial" w:cs="Arial" w:eastAsia="Arial" w:hAnsi="Arial"/>
                <w:sz w:val="13"/>
                <w:szCs w:val="13"/>
                <w:color w:val="auto"/>
              </w:rPr>
              <w:t>Net income</w:t>
            </w:r>
          </w:p>
        </w:tc>
        <w:tc>
          <w:tcPr>
            <w:tcW w:w="2100" w:type="dxa"/>
            <w:vAlign w:val="bottom"/>
            <w:gridSpan w:val="3"/>
          </w:tcPr>
          <w:p>
            <w:pPr>
              <w:jc w:val="right"/>
              <w:ind w:right="240"/>
              <w:spacing w:after="0"/>
              <w:rPr>
                <w:sz w:val="20"/>
                <w:szCs w:val="20"/>
                <w:color w:val="auto"/>
              </w:rPr>
            </w:pPr>
            <w:r>
              <w:rPr>
                <w:rFonts w:ascii="Arial" w:cs="Arial" w:eastAsia="Arial" w:hAnsi="Arial"/>
                <w:sz w:val="13"/>
                <w:szCs w:val="13"/>
                <w:color w:val="auto"/>
              </w:rPr>
              <w:t>$ 129,872</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$ 133,602</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net income to net cash provided by operating activities: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40" w:type="dxa"/>
            <w:vAlign w:val="bottom"/>
          </w:tcPr>
          <w:p>
            <w:pPr>
              <w:ind w:left="260"/>
              <w:spacing w:after="0"/>
              <w:rPr>
                <w:sz w:val="20"/>
                <w:szCs w:val="20"/>
                <w:color w:val="auto"/>
              </w:rPr>
            </w:pPr>
            <w:r>
              <w:rPr>
                <w:rFonts w:ascii="Arial" w:cs="Arial" w:eastAsia="Arial" w:hAnsi="Arial"/>
                <w:sz w:val="13"/>
                <w:szCs w:val="13"/>
                <w:color w:val="auto"/>
              </w:rPr>
              <w:t>Depreciation, amortization and impairment</w:t>
            </w:r>
          </w:p>
        </w:tc>
        <w:tc>
          <w:tcPr>
            <w:tcW w:w="2100" w:type="dxa"/>
            <w:vAlign w:val="bottom"/>
            <w:gridSpan w:val="3"/>
          </w:tcPr>
          <w:p>
            <w:pPr>
              <w:jc w:val="right"/>
              <w:ind w:right="240"/>
              <w:spacing w:after="0"/>
              <w:rPr>
                <w:sz w:val="20"/>
                <w:szCs w:val="20"/>
                <w:color w:val="auto"/>
              </w:rPr>
            </w:pPr>
            <w:r>
              <w:rPr>
                <w:rFonts w:ascii="Arial" w:cs="Arial" w:eastAsia="Arial" w:hAnsi="Arial"/>
                <w:sz w:val="13"/>
                <w:szCs w:val="13"/>
                <w:color w:val="auto"/>
              </w:rPr>
              <w:t>61,071</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50,876</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costs</w:t>
            </w:r>
          </w:p>
        </w:tc>
        <w:tc>
          <w:tcPr>
            <w:tcW w:w="2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145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52"/>
        </w:trPr>
        <w:tc>
          <w:tcPr>
            <w:tcW w:w="5040" w:type="dxa"/>
            <w:vAlign w:val="bottom"/>
          </w:tcPr>
          <w:p>
            <w:pPr>
              <w:ind w:left="260"/>
              <w:spacing w:after="0"/>
              <w:rPr>
                <w:sz w:val="20"/>
                <w:szCs w:val="20"/>
                <w:color w:val="auto"/>
              </w:rPr>
            </w:pPr>
            <w:r>
              <w:rPr>
                <w:rFonts w:ascii="Arial" w:cs="Arial" w:eastAsia="Arial" w:hAnsi="Arial"/>
                <w:sz w:val="13"/>
                <w:szCs w:val="13"/>
                <w:color w:val="auto"/>
              </w:rPr>
              <w:t>Equity-based compensation expense</w:t>
            </w:r>
          </w:p>
        </w:tc>
        <w:tc>
          <w:tcPr>
            <w:tcW w:w="2100" w:type="dxa"/>
            <w:vAlign w:val="bottom"/>
            <w:gridSpan w:val="3"/>
          </w:tcPr>
          <w:p>
            <w:pPr>
              <w:jc w:val="right"/>
              <w:ind w:right="240"/>
              <w:spacing w:after="0"/>
              <w:rPr>
                <w:sz w:val="20"/>
                <w:szCs w:val="20"/>
                <w:color w:val="auto"/>
              </w:rPr>
            </w:pPr>
            <w:r>
              <w:rPr>
                <w:rFonts w:ascii="Arial" w:cs="Arial" w:eastAsia="Arial" w:hAnsi="Arial"/>
                <w:sz w:val="13"/>
                <w:szCs w:val="13"/>
                <w:color w:val="auto"/>
              </w:rPr>
              <w:t>19,490</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16,741</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Gain from sale of a business</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2"/>
        </w:trPr>
        <w:tc>
          <w:tcPr>
            <w:tcW w:w="504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2100" w:type="dxa"/>
            <w:vAlign w:val="bottom"/>
            <w:gridSpan w:val="3"/>
          </w:tcPr>
          <w:p>
            <w:pPr>
              <w:jc w:val="right"/>
              <w:ind w:right="200"/>
              <w:spacing w:after="0"/>
              <w:rPr>
                <w:sz w:val="20"/>
                <w:szCs w:val="20"/>
                <w:color w:val="auto"/>
              </w:rPr>
            </w:pPr>
            <w:r>
              <w:rPr>
                <w:rFonts w:ascii="Arial" w:cs="Arial" w:eastAsia="Arial" w:hAnsi="Arial"/>
                <w:sz w:val="13"/>
                <w:szCs w:val="13"/>
                <w:color w:val="auto"/>
              </w:rPr>
              <w:t>(16,973)</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4,143</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from short-term interest-bearing investments</w:t>
            </w:r>
          </w:p>
        </w:tc>
        <w:tc>
          <w:tcPr>
            <w:tcW w:w="2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639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20"/>
                <w:szCs w:val="20"/>
                <w:color w:val="auto"/>
              </w:rPr>
            </w:pPr>
            <w:r>
              <w:rPr>
                <w:rFonts w:ascii="Arial" w:cs="Arial" w:eastAsia="Arial" w:hAnsi="Arial"/>
                <w:sz w:val="13"/>
                <w:szCs w:val="13"/>
                <w:color w:val="auto"/>
              </w:rPr>
              <w:t>Net changes in operating assets and liabilities, net of amounts acquired:</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 net</w:t>
            </w:r>
          </w:p>
        </w:tc>
        <w:tc>
          <w:tcPr>
            <w:tcW w:w="21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(197,381)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(84,458)</w:t>
            </w:r>
          </w:p>
        </w:tc>
        <w:tc>
          <w:tcPr>
            <w:tcW w:w="0" w:type="dxa"/>
            <w:vAlign w:val="bottom"/>
          </w:tcPr>
          <w:p>
            <w:pPr>
              <w:spacing w:after="0"/>
              <w:rPr>
                <w:sz w:val="1"/>
                <w:szCs w:val="1"/>
                <w:color w:val="auto"/>
              </w:rPr>
            </w:pPr>
          </w:p>
        </w:tc>
      </w:tr>
      <w:tr>
        <w:trPr>
          <w:trHeight w:val="152"/>
        </w:trPr>
        <w:tc>
          <w:tcPr>
            <w:tcW w:w="5040" w:type="dxa"/>
            <w:vAlign w:val="bottom"/>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2100" w:type="dxa"/>
            <w:vAlign w:val="bottom"/>
            <w:gridSpan w:val="3"/>
          </w:tcPr>
          <w:p>
            <w:pPr>
              <w:jc w:val="right"/>
              <w:ind w:right="240"/>
              <w:spacing w:after="0"/>
              <w:rPr>
                <w:sz w:val="20"/>
                <w:szCs w:val="20"/>
                <w:color w:val="auto"/>
              </w:rPr>
            </w:pPr>
            <w:r>
              <w:rPr>
                <w:rFonts w:ascii="Arial" w:cs="Arial" w:eastAsia="Arial" w:hAnsi="Arial"/>
                <w:sz w:val="13"/>
                <w:szCs w:val="13"/>
                <w:color w:val="auto"/>
              </w:rPr>
              <w:t>16,069</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(15,696)</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noncurrent assets</w:t>
            </w:r>
          </w:p>
        </w:tc>
        <w:tc>
          <w:tcPr>
            <w:tcW w:w="21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(848)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(11,835)</w:t>
            </w:r>
          </w:p>
        </w:tc>
        <w:tc>
          <w:tcPr>
            <w:tcW w:w="0" w:type="dxa"/>
            <w:vAlign w:val="bottom"/>
          </w:tcPr>
          <w:p>
            <w:pPr>
              <w:spacing w:after="0"/>
              <w:rPr>
                <w:sz w:val="1"/>
                <w:szCs w:val="1"/>
                <w:color w:val="auto"/>
              </w:rPr>
            </w:pPr>
          </w:p>
        </w:tc>
      </w:tr>
      <w:tr>
        <w:trPr>
          <w:trHeight w:val="152"/>
        </w:trPr>
        <w:tc>
          <w:tcPr>
            <w:tcW w:w="5040" w:type="dxa"/>
            <w:vAlign w:val="bottom"/>
          </w:tcPr>
          <w:p>
            <w:pPr>
              <w:ind w:left="260"/>
              <w:spacing w:after="0"/>
              <w:rPr>
                <w:sz w:val="20"/>
                <w:szCs w:val="20"/>
                <w:color w:val="auto"/>
              </w:rPr>
            </w:pPr>
            <w:r>
              <w:rPr>
                <w:rFonts w:ascii="Arial" w:cs="Arial" w:eastAsia="Arial" w:hAnsi="Arial"/>
                <w:sz w:val="13"/>
                <w:szCs w:val="13"/>
                <w:color w:val="auto"/>
              </w:rPr>
              <w:t>Lease assets and liabilities, net</w:t>
            </w:r>
          </w:p>
        </w:tc>
        <w:tc>
          <w:tcPr>
            <w:tcW w:w="2100" w:type="dxa"/>
            <w:vAlign w:val="bottom"/>
            <w:gridSpan w:val="3"/>
          </w:tcPr>
          <w:p>
            <w:pPr>
              <w:jc w:val="right"/>
              <w:ind w:right="200"/>
              <w:spacing w:after="0"/>
              <w:rPr>
                <w:sz w:val="20"/>
                <w:szCs w:val="20"/>
                <w:color w:val="auto"/>
              </w:rPr>
            </w:pPr>
            <w:r>
              <w:rPr>
                <w:rFonts w:ascii="Arial" w:cs="Arial" w:eastAsia="Arial" w:hAnsi="Arial"/>
                <w:sz w:val="13"/>
                <w:szCs w:val="13"/>
                <w:color w:val="auto"/>
              </w:rPr>
              <w:t>(1,251)</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2,030</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 accrued expenses and accrued personnel</w:t>
            </w:r>
          </w:p>
        </w:tc>
        <w:tc>
          <w:tcPr>
            <w:tcW w:w="2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82,136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(3,053)</w:t>
            </w:r>
          </w:p>
        </w:tc>
        <w:tc>
          <w:tcPr>
            <w:tcW w:w="0" w:type="dxa"/>
            <w:vAlign w:val="bottom"/>
          </w:tcPr>
          <w:p>
            <w:pPr>
              <w:spacing w:after="0"/>
              <w:rPr>
                <w:sz w:val="1"/>
                <w:szCs w:val="1"/>
                <w:color w:val="auto"/>
              </w:rPr>
            </w:pPr>
          </w:p>
        </w:tc>
      </w:tr>
      <w:tr>
        <w:trPr>
          <w:trHeight w:val="152"/>
        </w:trPr>
        <w:tc>
          <w:tcPr>
            <w:tcW w:w="5040" w:type="dxa"/>
            <w:vAlign w:val="bottom"/>
          </w:tcPr>
          <w:p>
            <w:pPr>
              <w:ind w:left="260"/>
              <w:spacing w:after="0"/>
              <w:rPr>
                <w:sz w:val="20"/>
                <w:szCs w:val="20"/>
                <w:color w:val="auto"/>
              </w:rPr>
            </w:pPr>
            <w:r>
              <w:rPr>
                <w:rFonts w:ascii="Arial" w:cs="Arial" w:eastAsia="Arial" w:hAnsi="Arial"/>
                <w:sz w:val="13"/>
                <w:szCs w:val="13"/>
                <w:color w:val="auto"/>
              </w:rPr>
              <w:t>Deferred revenue</w:t>
            </w:r>
          </w:p>
        </w:tc>
        <w:tc>
          <w:tcPr>
            <w:tcW w:w="2100" w:type="dxa"/>
            <w:vAlign w:val="bottom"/>
            <w:gridSpan w:val="3"/>
          </w:tcPr>
          <w:p>
            <w:pPr>
              <w:jc w:val="right"/>
              <w:ind w:right="200"/>
              <w:spacing w:after="0"/>
              <w:rPr>
                <w:sz w:val="20"/>
                <w:szCs w:val="20"/>
                <w:color w:val="auto"/>
              </w:rPr>
            </w:pPr>
            <w:r>
              <w:rPr>
                <w:rFonts w:ascii="Arial" w:cs="Arial" w:eastAsia="Arial" w:hAnsi="Arial"/>
                <w:sz w:val="13"/>
                <w:szCs w:val="13"/>
                <w:color w:val="auto"/>
              </w:rPr>
              <w:t>(6,194)</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86,049</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Income taxes payable, net</w:t>
            </w:r>
          </w:p>
        </w:tc>
        <w:tc>
          <w:tcPr>
            <w:tcW w:w="21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(11,242)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16,802</w:t>
            </w:r>
          </w:p>
        </w:tc>
        <w:tc>
          <w:tcPr>
            <w:tcW w:w="0" w:type="dxa"/>
            <w:vAlign w:val="bottom"/>
          </w:tcPr>
          <w:p>
            <w:pPr>
              <w:spacing w:after="0"/>
              <w:rPr>
                <w:sz w:val="1"/>
                <w:szCs w:val="1"/>
                <w:color w:val="auto"/>
              </w:rPr>
            </w:pPr>
          </w:p>
        </w:tc>
      </w:tr>
      <w:tr>
        <w:trPr>
          <w:trHeight w:val="152"/>
        </w:trPr>
        <w:tc>
          <w:tcPr>
            <w:tcW w:w="5040" w:type="dxa"/>
            <w:vAlign w:val="bottom"/>
          </w:tcPr>
          <w:p>
            <w:pPr>
              <w:ind w:left="260"/>
              <w:spacing w:after="0"/>
              <w:rPr>
                <w:sz w:val="20"/>
                <w:szCs w:val="20"/>
                <w:color w:val="auto"/>
              </w:rPr>
            </w:pPr>
            <w:r>
              <w:rPr>
                <w:rFonts w:ascii="Arial" w:cs="Arial" w:eastAsia="Arial" w:hAnsi="Arial"/>
                <w:sz w:val="13"/>
                <w:szCs w:val="13"/>
                <w:color w:val="auto"/>
              </w:rPr>
              <w:t>Other noncurrent liabilities</w:t>
            </w:r>
          </w:p>
        </w:tc>
        <w:tc>
          <w:tcPr>
            <w:tcW w:w="134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7,693</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18,129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83,226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204,118</w:t>
            </w:r>
          </w:p>
        </w:tc>
        <w:tc>
          <w:tcPr>
            <w:tcW w:w="0" w:type="dxa"/>
            <w:vAlign w:val="bottom"/>
          </w:tcPr>
          <w:p>
            <w:pPr>
              <w:spacing w:after="0"/>
              <w:rPr>
                <w:sz w:val="1"/>
                <w:szCs w:val="1"/>
                <w:color w:val="auto"/>
              </w:rPr>
            </w:pPr>
          </w:p>
        </w:tc>
      </w:tr>
      <w:tr>
        <w:trPr>
          <w:trHeight w:val="151"/>
        </w:trPr>
        <w:tc>
          <w:tcPr>
            <w:tcW w:w="5040" w:type="dxa"/>
            <w:vAlign w:val="bottom"/>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13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spacing w:after="0" w:line="152" w:lineRule="exact"/>
              <w:rPr>
                <w:sz w:val="20"/>
                <w:szCs w:val="20"/>
                <w:color w:val="auto"/>
              </w:rPr>
            </w:pPr>
            <w:r>
              <w:rPr>
                <w:rFonts w:ascii="Arial" w:cs="Arial" w:eastAsia="Arial" w:hAnsi="Arial"/>
                <w:sz w:val="12"/>
                <w:szCs w:val="12"/>
                <w:color w:val="auto"/>
              </w:rPr>
              <w:t>Purchase of property and equipment, net</w:t>
            </w:r>
            <w:r>
              <w:rPr>
                <w:rFonts w:ascii="Arial" w:cs="Arial" w:eastAsia="Arial" w:hAnsi="Arial"/>
                <w:sz w:val="17"/>
                <w:szCs w:val="17"/>
                <w:color w:val="auto"/>
                <w:vertAlign w:val="superscript"/>
              </w:rPr>
              <w:t>(a)</w:t>
            </w:r>
          </w:p>
        </w:tc>
        <w:tc>
          <w:tcPr>
            <w:tcW w:w="21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(33,703)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(57,225)</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20"/>
                <w:szCs w:val="20"/>
                <w:color w:val="auto"/>
              </w:rPr>
            </w:pPr>
            <w:r>
              <w:rPr>
                <w:rFonts w:ascii="Arial" w:cs="Arial" w:eastAsia="Arial" w:hAnsi="Arial"/>
                <w:sz w:val="13"/>
                <w:szCs w:val="13"/>
                <w:color w:val="auto"/>
              </w:rPr>
              <w:t>Proceeds from sale of short-term interest-bearing investments</w:t>
            </w:r>
          </w:p>
        </w:tc>
        <w:tc>
          <w:tcPr>
            <w:tcW w:w="2100" w:type="dxa"/>
            <w:vAlign w:val="bottom"/>
            <w:gridSpan w:val="3"/>
          </w:tcPr>
          <w:p>
            <w:pPr>
              <w:jc w:val="right"/>
              <w:ind w:right="240"/>
              <w:spacing w:after="0"/>
              <w:rPr>
                <w:sz w:val="20"/>
                <w:szCs w:val="20"/>
                <w:color w:val="auto"/>
              </w:rPr>
            </w:pPr>
            <w:r>
              <w:rPr>
                <w:rFonts w:ascii="Arial" w:cs="Arial" w:eastAsia="Arial" w:hAnsi="Arial"/>
                <w:sz w:val="13"/>
                <w:szCs w:val="13"/>
                <w:color w:val="auto"/>
              </w:rPr>
              <w:t>3,734</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5,242</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Purchase of short-term interest-bearing investments</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(34,275)</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20"/>
                <w:szCs w:val="20"/>
                <w:color w:val="auto"/>
              </w:rPr>
            </w:pPr>
            <w:r>
              <w:rPr>
                <w:rFonts w:ascii="Arial" w:cs="Arial" w:eastAsia="Arial" w:hAnsi="Arial"/>
                <w:sz w:val="13"/>
                <w:szCs w:val="13"/>
                <w:color w:val="auto"/>
              </w:rPr>
              <w:t>Net cash paid for business acquisitions</w:t>
            </w:r>
          </w:p>
        </w:tc>
        <w:tc>
          <w:tcPr>
            <w:tcW w:w="13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(23,885)</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(30,804)</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(110,691)</w:t>
            </w:r>
          </w:p>
        </w:tc>
        <w:tc>
          <w:tcPr>
            <w:tcW w:w="0" w:type="dxa"/>
            <w:vAlign w:val="bottom"/>
          </w:tcPr>
          <w:p>
            <w:pPr>
              <w:spacing w:after="0"/>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134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20"/>
                <w:szCs w:val="20"/>
                <w:color w:val="auto"/>
              </w:rPr>
            </w:pPr>
            <w:r>
              <w:rPr>
                <w:rFonts w:ascii="Arial" w:cs="Arial" w:eastAsia="Arial" w:hAnsi="Arial"/>
                <w:sz w:val="13"/>
                <w:szCs w:val="13"/>
                <w:color w:val="auto"/>
              </w:rPr>
              <w:t>Repurchase of shares</w:t>
            </w:r>
          </w:p>
        </w:tc>
        <w:tc>
          <w:tcPr>
            <w:tcW w:w="2100" w:type="dxa"/>
            <w:vAlign w:val="bottom"/>
            <w:gridSpan w:val="3"/>
          </w:tcPr>
          <w:p>
            <w:pPr>
              <w:jc w:val="right"/>
              <w:ind w:right="200"/>
              <w:spacing w:after="0"/>
              <w:rPr>
                <w:sz w:val="20"/>
                <w:szCs w:val="20"/>
                <w:color w:val="auto"/>
              </w:rPr>
            </w:pPr>
            <w:r>
              <w:rPr>
                <w:rFonts w:ascii="Arial" w:cs="Arial" w:eastAsia="Arial" w:hAnsi="Arial"/>
                <w:sz w:val="13"/>
                <w:szCs w:val="13"/>
                <w:color w:val="auto"/>
              </w:rPr>
              <w:t>(100,021)</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(170,904)</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Proceeds from employee stock options exercises</w:t>
            </w:r>
          </w:p>
        </w:tc>
        <w:tc>
          <w:tcPr>
            <w:tcW w:w="2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14,589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6,012</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20"/>
                <w:szCs w:val="20"/>
                <w:color w:val="auto"/>
              </w:rPr>
            </w:pPr>
            <w:r>
              <w:rPr>
                <w:rFonts w:ascii="Arial" w:cs="Arial" w:eastAsia="Arial" w:hAnsi="Arial"/>
                <w:sz w:val="13"/>
                <w:szCs w:val="13"/>
                <w:color w:val="auto"/>
              </w:rPr>
              <w:t>Payments of dividends</w:t>
            </w:r>
          </w:p>
        </w:tc>
        <w:tc>
          <w:tcPr>
            <w:tcW w:w="2100" w:type="dxa"/>
            <w:vAlign w:val="bottom"/>
            <w:gridSpan w:val="3"/>
          </w:tcPr>
          <w:p>
            <w:pPr>
              <w:jc w:val="right"/>
              <w:ind w:right="200"/>
              <w:spacing w:after="0"/>
              <w:rPr>
                <w:sz w:val="20"/>
                <w:szCs w:val="20"/>
                <w:color w:val="auto"/>
              </w:rPr>
            </w:pPr>
            <w:r>
              <w:rPr>
                <w:rFonts w:ascii="Arial" w:cs="Arial" w:eastAsia="Arial" w:hAnsi="Arial"/>
                <w:sz w:val="13"/>
                <w:szCs w:val="13"/>
                <w:color w:val="auto"/>
              </w:rPr>
              <w:t>(47,735)</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(44,956)</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Payment of contingent consideration from a business acquisition</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(6,153)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3"/>
                <w:szCs w:val="13"/>
                <w:color w:val="auto"/>
              </w:rPr>
              <w:t>Net cash used in financing activities</w:t>
            </w: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(133,620)</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(216,001)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Net decrease in cash and cash equivalents</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(81,198)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(122,574)</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34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573,377</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709,064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6"/>
              </w:rPr>
              <w:t>$ 492,179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$ 586,490</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Supplementary Information</w:t>
      </w:r>
    </w:p>
    <w:p>
      <w:pPr>
        <w:jc w:val="center"/>
        <w:ind w:right="19"/>
        <w:spacing w:after="0"/>
        <w:rPr>
          <w:sz w:val="20"/>
          <w:szCs w:val="20"/>
          <w:color w:val="auto"/>
        </w:rPr>
      </w:pPr>
      <w:r>
        <w:rPr>
          <w:rFonts w:ascii="Arial" w:cs="Arial" w:eastAsia="Arial" w:hAnsi="Arial"/>
          <w:sz w:val="10"/>
          <w:szCs w:val="10"/>
          <w:b w:val="1"/>
          <w:bCs w:val="1"/>
          <w:color w:val="auto"/>
        </w:rPr>
        <w:t>(In millions)</w:t>
      </w:r>
    </w:p>
    <w:p>
      <w:pPr>
        <w:spacing w:after="0" w:line="150"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center"/>
              <w:ind w:left="263"/>
              <w:spacing w:after="0"/>
              <w:rPr>
                <w:sz w:val="20"/>
                <w:szCs w:val="20"/>
                <w:color w:val="auto"/>
              </w:rPr>
            </w:pPr>
            <w:r>
              <w:rPr>
                <w:rFonts w:ascii="Arial" w:cs="Arial" w:eastAsia="Arial" w:hAnsi="Arial"/>
                <w:sz w:val="10"/>
                <w:szCs w:val="10"/>
                <w:b w:val="1"/>
                <w:bCs w:val="1"/>
                <w:color w:val="auto"/>
                <w:w w:val="91"/>
              </w:rPr>
              <w:t>Three months ended</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28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80" w:type="dxa"/>
            <w:vAlign w:val="bottom"/>
            <w:gridSpan w:val="2"/>
          </w:tcPr>
          <w:p>
            <w:pPr>
              <w:jc w:val="center"/>
              <w:spacing w:after="0" w:line="79" w:lineRule="exact"/>
              <w:rPr>
                <w:sz w:val="20"/>
                <w:szCs w:val="20"/>
                <w:color w:val="auto"/>
              </w:rPr>
            </w:pPr>
            <w:r>
              <w:rPr>
                <w:rFonts w:ascii="Arial" w:cs="Arial" w:eastAsia="Arial" w:hAnsi="Arial"/>
                <w:sz w:val="9"/>
                <w:szCs w:val="9"/>
                <w:b w:val="1"/>
                <w:bCs w:val="1"/>
                <w:color w:val="auto"/>
                <w:w w:val="99"/>
              </w:rPr>
              <w:t>December 31,</w:t>
            </w:r>
          </w:p>
        </w:tc>
        <w:tc>
          <w:tcPr>
            <w:tcW w:w="180" w:type="dxa"/>
            <w:vAlign w:val="bottom"/>
          </w:tcPr>
          <w:p>
            <w:pPr>
              <w:spacing w:after="0"/>
              <w:rPr>
                <w:sz w:val="6"/>
                <w:szCs w:val="6"/>
                <w:color w:val="auto"/>
              </w:rPr>
            </w:pPr>
          </w:p>
        </w:tc>
        <w:tc>
          <w:tcPr>
            <w:tcW w:w="80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600" w:type="dxa"/>
            <w:vAlign w:val="bottom"/>
            <w:gridSpan w:val="3"/>
          </w:tcPr>
          <w:p>
            <w:pPr>
              <w:jc w:val="center"/>
              <w:ind w:right="160"/>
              <w:spacing w:after="0" w:line="79" w:lineRule="exact"/>
              <w:rPr>
                <w:sz w:val="20"/>
                <w:szCs w:val="20"/>
                <w:color w:val="auto"/>
              </w:rPr>
            </w:pPr>
            <w:r>
              <w:rPr>
                <w:rFonts w:ascii="Arial" w:cs="Arial" w:eastAsia="Arial" w:hAnsi="Arial"/>
                <w:sz w:val="9"/>
                <w:szCs w:val="9"/>
                <w:b w:val="1"/>
                <w:bCs w:val="1"/>
                <w:color w:val="auto"/>
                <w:w w:val="99"/>
              </w:rPr>
              <w:t>June 30,</w:t>
            </w:r>
          </w:p>
        </w:tc>
        <w:tc>
          <w:tcPr>
            <w:tcW w:w="20" w:type="dxa"/>
            <w:vAlign w:val="bottom"/>
          </w:tcPr>
          <w:p>
            <w:pPr>
              <w:spacing w:after="0"/>
              <w:rPr>
                <w:sz w:val="6"/>
                <w:szCs w:val="6"/>
                <w:color w:val="auto"/>
              </w:rPr>
            </w:pP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180" w:type="dxa"/>
            <w:vAlign w:val="bottom"/>
          </w:tcPr>
          <w:p>
            <w:pPr>
              <w:spacing w:after="0"/>
              <w:rPr>
                <w:sz w:val="6"/>
                <w:szCs w:val="6"/>
                <w:color w:val="auto"/>
              </w:rPr>
            </w:pPr>
          </w:p>
        </w:tc>
        <w:tc>
          <w:tcPr>
            <w:tcW w:w="60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9"/>
              </w:rPr>
              <w:t>December 31,</w:t>
            </w:r>
          </w:p>
        </w:tc>
        <w:tc>
          <w:tcPr>
            <w:tcW w:w="40" w:type="dxa"/>
            <w:vAlign w:val="bottom"/>
          </w:tcPr>
          <w:p>
            <w:pPr>
              <w:spacing w:after="0"/>
              <w:rPr>
                <w:sz w:val="6"/>
                <w:szCs w:val="6"/>
                <w:color w:val="auto"/>
              </w:rPr>
            </w:pPr>
          </w:p>
        </w:tc>
      </w:tr>
      <w:tr>
        <w:trPr>
          <w:trHeight w:val="119"/>
        </w:trPr>
        <w:tc>
          <w:tcPr>
            <w:tcW w:w="2840" w:type="dxa"/>
            <w:vAlign w:val="bottom"/>
            <w:tcBorders>
              <w:bottom w:val="single" w:sz="8" w:color="CCEEFF"/>
            </w:tcBorders>
          </w:tcPr>
          <w:p>
            <w:pPr>
              <w:spacing w:after="0"/>
              <w:rPr>
                <w:sz w:val="10"/>
                <w:szCs w:val="10"/>
                <w:color w:val="auto"/>
              </w:rPr>
            </w:pPr>
          </w:p>
        </w:tc>
        <w:tc>
          <w:tcPr>
            <w:tcW w:w="14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41"/>
        </w:trPr>
        <w:tc>
          <w:tcPr>
            <w:tcW w:w="28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North America</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812.7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794.4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788.0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8"/>
              </w:rPr>
              <w:t>772.2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745.5</w:t>
            </w:r>
          </w:p>
        </w:tc>
        <w:tc>
          <w:tcPr>
            <w:tcW w:w="40" w:type="dxa"/>
            <w:vAlign w:val="bottom"/>
            <w:shd w:val="clear" w:color="auto" w:fill="CCEEFF"/>
          </w:tcPr>
          <w:p>
            <w:pPr>
              <w:spacing w:after="0"/>
              <w:rPr>
                <w:sz w:val="12"/>
                <w:szCs w:val="12"/>
                <w:color w:val="auto"/>
              </w:rPr>
            </w:pPr>
          </w:p>
        </w:tc>
      </w:tr>
      <w:tr>
        <w:trPr>
          <w:trHeight w:val="152"/>
        </w:trPr>
        <w:tc>
          <w:tcPr>
            <w:tcW w:w="2840" w:type="dxa"/>
            <w:vAlign w:val="bottom"/>
          </w:tcPr>
          <w:p>
            <w:pPr>
              <w:spacing w:after="0"/>
              <w:rPr>
                <w:sz w:val="20"/>
                <w:szCs w:val="20"/>
                <w:color w:val="auto"/>
              </w:rPr>
            </w:pPr>
            <w:r>
              <w:rPr>
                <w:rFonts w:ascii="Arial" w:cs="Arial" w:eastAsia="Arial" w:hAnsi="Arial"/>
                <w:sz w:val="13"/>
                <w:szCs w:val="13"/>
                <w:color w:val="auto"/>
              </w:rPr>
              <w:t>Europe</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168.7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146.4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146.1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147.2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142.5</w:t>
            </w:r>
          </w:p>
        </w:tc>
        <w:tc>
          <w:tcPr>
            <w:tcW w:w="40" w:type="dxa"/>
            <w:vAlign w:val="bottom"/>
          </w:tcPr>
          <w:p>
            <w:pPr>
              <w:spacing w:after="0"/>
              <w:rPr>
                <w:sz w:val="13"/>
                <w:szCs w:val="13"/>
                <w:color w:val="auto"/>
              </w:rPr>
            </w:pPr>
          </w:p>
        </w:tc>
      </w:tr>
      <w:tr>
        <w:trPr>
          <w:trHeight w:val="152"/>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14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204.3</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226.2</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225.9</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216.6</w:t>
            </w:r>
          </w:p>
        </w:tc>
        <w:tc>
          <w:tcPr>
            <w:tcW w:w="40" w:type="dxa"/>
            <w:vAlign w:val="bottom"/>
            <w:shd w:val="clear" w:color="auto" w:fill="CCEEFF"/>
          </w:tcPr>
          <w:p>
            <w:pPr>
              <w:spacing w:after="0"/>
              <w:rPr>
                <w:sz w:val="13"/>
                <w:szCs w:val="13"/>
                <w:color w:val="auto"/>
              </w:rPr>
            </w:pPr>
          </w:p>
        </w:tc>
      </w:tr>
      <w:tr>
        <w:trPr>
          <w:trHeight w:val="151"/>
        </w:trPr>
        <w:tc>
          <w:tcPr>
            <w:tcW w:w="2840" w:type="dxa"/>
            <w:vAlign w:val="bottom"/>
          </w:tcPr>
          <w:p>
            <w:pPr>
              <w:spacing w:after="0"/>
              <w:rPr>
                <w:sz w:val="20"/>
                <w:szCs w:val="20"/>
                <w:color w:val="auto"/>
              </w:rPr>
            </w:pPr>
            <w:r>
              <w:rPr>
                <w:rFonts w:ascii="Arial" w:cs="Arial" w:eastAsia="Arial" w:hAnsi="Arial"/>
                <w:sz w:val="13"/>
                <w:szCs w:val="13"/>
                <w:color w:val="auto"/>
              </w:rPr>
              <w:t>Total Revenue</w:t>
            </w:r>
          </w:p>
        </w:tc>
        <w:tc>
          <w:tcPr>
            <w:tcW w:w="158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1,185.7</w:t>
            </w: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1,166.5</w:t>
            </w:r>
          </w:p>
        </w:tc>
        <w:tc>
          <w:tcPr>
            <w:tcW w:w="180" w:type="dxa"/>
            <w:vAlign w:val="bottom"/>
          </w:tcPr>
          <w:p>
            <w:pPr>
              <w:spacing w:after="0"/>
              <w:rPr>
                <w:sz w:val="13"/>
                <w:szCs w:val="13"/>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1,160.3</w:t>
            </w:r>
          </w:p>
        </w:tc>
        <w:tc>
          <w:tcPr>
            <w:tcW w:w="460" w:type="dxa"/>
            <w:vAlign w:val="bottom"/>
            <w:gridSpan w:val="3"/>
          </w:tcPr>
          <w:p>
            <w:pPr>
              <w:jc w:val="right"/>
              <w:spacing w:after="0"/>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1,145.3</w:t>
            </w: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1,104.6</w:t>
            </w:r>
          </w:p>
        </w:tc>
        <w:tc>
          <w:tcPr>
            <w:tcW w:w="40" w:type="dxa"/>
            <w:vAlign w:val="bottom"/>
          </w:tcPr>
          <w:p>
            <w:pPr>
              <w:spacing w:after="0"/>
              <w:rPr>
                <w:sz w:val="13"/>
                <w:szCs w:val="13"/>
                <w:color w:val="auto"/>
              </w:rPr>
            </w:pPr>
          </w:p>
        </w:tc>
      </w:tr>
      <w:tr>
        <w:trPr>
          <w:trHeight w:val="28"/>
        </w:trPr>
        <w:tc>
          <w:tcPr>
            <w:tcW w:w="2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5"/>
        </w:trPr>
        <w:tc>
          <w:tcPr>
            <w:tcW w:w="28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5"/>
          </w:tcPr>
          <w:p>
            <w:pPr>
              <w:jc w:val="center"/>
              <w:ind w:left="263"/>
              <w:spacing w:after="0"/>
              <w:rPr>
                <w:sz w:val="20"/>
                <w:szCs w:val="20"/>
                <w:color w:val="auto"/>
              </w:rPr>
            </w:pPr>
            <w:r>
              <w:rPr>
                <w:rFonts w:ascii="Arial" w:cs="Arial" w:eastAsia="Arial" w:hAnsi="Arial"/>
                <w:sz w:val="10"/>
                <w:szCs w:val="10"/>
                <w:b w:val="1"/>
                <w:bCs w:val="1"/>
                <w:color w:val="auto"/>
                <w:w w:val="91"/>
              </w:rPr>
              <w:t>Three months ended</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9"/>
        </w:trPr>
        <w:tc>
          <w:tcPr>
            <w:tcW w:w="28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80" w:type="dxa"/>
            <w:vAlign w:val="bottom"/>
            <w:gridSpan w:val="2"/>
          </w:tcPr>
          <w:p>
            <w:pPr>
              <w:jc w:val="center"/>
              <w:spacing w:after="0" w:line="79" w:lineRule="exact"/>
              <w:rPr>
                <w:sz w:val="20"/>
                <w:szCs w:val="20"/>
                <w:color w:val="auto"/>
              </w:rPr>
            </w:pPr>
            <w:r>
              <w:rPr>
                <w:rFonts w:ascii="Arial" w:cs="Arial" w:eastAsia="Arial" w:hAnsi="Arial"/>
                <w:sz w:val="9"/>
                <w:szCs w:val="9"/>
                <w:b w:val="1"/>
                <w:bCs w:val="1"/>
                <w:color w:val="auto"/>
                <w:w w:val="99"/>
              </w:rPr>
              <w:t>December 31,</w:t>
            </w:r>
          </w:p>
        </w:tc>
        <w:tc>
          <w:tcPr>
            <w:tcW w:w="180" w:type="dxa"/>
            <w:vAlign w:val="bottom"/>
          </w:tcPr>
          <w:p>
            <w:pPr>
              <w:spacing w:after="0"/>
              <w:rPr>
                <w:sz w:val="6"/>
                <w:szCs w:val="6"/>
                <w:color w:val="auto"/>
              </w:rPr>
            </w:pPr>
          </w:p>
        </w:tc>
        <w:tc>
          <w:tcPr>
            <w:tcW w:w="80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600" w:type="dxa"/>
            <w:vAlign w:val="bottom"/>
            <w:gridSpan w:val="3"/>
          </w:tcPr>
          <w:p>
            <w:pPr>
              <w:jc w:val="center"/>
              <w:ind w:right="160"/>
              <w:spacing w:after="0" w:line="79" w:lineRule="exact"/>
              <w:rPr>
                <w:sz w:val="20"/>
                <w:szCs w:val="20"/>
                <w:color w:val="auto"/>
              </w:rPr>
            </w:pPr>
            <w:r>
              <w:rPr>
                <w:rFonts w:ascii="Arial" w:cs="Arial" w:eastAsia="Arial" w:hAnsi="Arial"/>
                <w:sz w:val="9"/>
                <w:szCs w:val="9"/>
                <w:b w:val="1"/>
                <w:bCs w:val="1"/>
                <w:color w:val="auto"/>
                <w:w w:val="99"/>
              </w:rPr>
              <w:t>June 30,</w:t>
            </w:r>
          </w:p>
        </w:tc>
        <w:tc>
          <w:tcPr>
            <w:tcW w:w="20" w:type="dxa"/>
            <w:vAlign w:val="bottom"/>
          </w:tcPr>
          <w:p>
            <w:pPr>
              <w:spacing w:after="0"/>
              <w:rPr>
                <w:sz w:val="6"/>
                <w:szCs w:val="6"/>
                <w:color w:val="auto"/>
              </w:rPr>
            </w:pP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180" w:type="dxa"/>
            <w:vAlign w:val="bottom"/>
          </w:tcPr>
          <w:p>
            <w:pPr>
              <w:spacing w:after="0"/>
              <w:rPr>
                <w:sz w:val="6"/>
                <w:szCs w:val="6"/>
                <w:color w:val="auto"/>
              </w:rPr>
            </w:pPr>
          </w:p>
        </w:tc>
        <w:tc>
          <w:tcPr>
            <w:tcW w:w="60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9"/>
              </w:rPr>
              <w:t>December 31,</w:t>
            </w:r>
          </w:p>
        </w:tc>
        <w:tc>
          <w:tcPr>
            <w:tcW w:w="40" w:type="dxa"/>
            <w:vAlign w:val="bottom"/>
          </w:tcPr>
          <w:p>
            <w:pPr>
              <w:spacing w:after="0"/>
              <w:rPr>
                <w:sz w:val="6"/>
                <w:szCs w:val="6"/>
                <w:color w:val="auto"/>
              </w:rPr>
            </w:pPr>
          </w:p>
        </w:tc>
      </w:tr>
      <w:tr>
        <w:trPr>
          <w:trHeight w:val="119"/>
        </w:trPr>
        <w:tc>
          <w:tcPr>
            <w:tcW w:w="2840" w:type="dxa"/>
            <w:vAlign w:val="bottom"/>
            <w:tcBorders>
              <w:bottom w:val="single" w:sz="8" w:color="CCEEFF"/>
            </w:tcBorders>
          </w:tcPr>
          <w:p>
            <w:pPr>
              <w:spacing w:after="0"/>
              <w:rPr>
                <w:sz w:val="10"/>
                <w:szCs w:val="10"/>
                <w:color w:val="auto"/>
              </w:rPr>
            </w:pPr>
          </w:p>
        </w:tc>
        <w:tc>
          <w:tcPr>
            <w:tcW w:w="14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41"/>
        </w:trPr>
        <w:tc>
          <w:tcPr>
            <w:tcW w:w="28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Managed Services Revenue</w:t>
            </w:r>
          </w:p>
        </w:tc>
        <w:tc>
          <w:tcPr>
            <w:tcW w:w="14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9"/>
                <w:szCs w:val="9"/>
                <w:color w:val="auto"/>
                <w:w w:val="78"/>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699.8</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714.6</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717.9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8"/>
              </w:rPr>
              <w:t>663.4</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659.7</w:t>
            </w:r>
          </w:p>
        </w:tc>
        <w:tc>
          <w:tcPr>
            <w:tcW w:w="40" w:type="dxa"/>
            <w:vAlign w:val="bottom"/>
            <w:shd w:val="clear" w:color="auto" w:fill="CCEEFF"/>
          </w:tcPr>
          <w:p>
            <w:pPr>
              <w:spacing w:after="0"/>
              <w:rPr>
                <w:sz w:val="12"/>
                <w:szCs w:val="12"/>
                <w:color w:val="auto"/>
              </w:rPr>
            </w:pPr>
          </w:p>
        </w:tc>
      </w:tr>
      <w:tr>
        <w:trPr>
          <w:trHeight w:val="255"/>
        </w:trPr>
        <w:tc>
          <w:tcPr>
            <w:tcW w:w="28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0"/>
                <w:szCs w:val="10"/>
                <w:b w:val="1"/>
                <w:bCs w:val="1"/>
                <w:color w:val="auto"/>
                <w:w w:val="87"/>
              </w:rPr>
              <w:t>As of</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79"/>
        </w:trPr>
        <w:tc>
          <w:tcPr>
            <w:tcW w:w="28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80" w:type="dxa"/>
            <w:vAlign w:val="bottom"/>
            <w:gridSpan w:val="2"/>
          </w:tcPr>
          <w:p>
            <w:pPr>
              <w:jc w:val="center"/>
              <w:spacing w:after="0" w:line="79" w:lineRule="exact"/>
              <w:rPr>
                <w:sz w:val="20"/>
                <w:szCs w:val="20"/>
                <w:color w:val="auto"/>
              </w:rPr>
            </w:pPr>
            <w:r>
              <w:rPr>
                <w:rFonts w:ascii="Arial" w:cs="Arial" w:eastAsia="Arial" w:hAnsi="Arial"/>
                <w:sz w:val="9"/>
                <w:szCs w:val="9"/>
                <w:b w:val="1"/>
                <w:bCs w:val="1"/>
                <w:color w:val="auto"/>
                <w:w w:val="99"/>
              </w:rPr>
              <w:t>December 31,</w:t>
            </w:r>
          </w:p>
        </w:tc>
        <w:tc>
          <w:tcPr>
            <w:tcW w:w="180" w:type="dxa"/>
            <w:vAlign w:val="bottom"/>
          </w:tcPr>
          <w:p>
            <w:pPr>
              <w:spacing w:after="0"/>
              <w:rPr>
                <w:sz w:val="6"/>
                <w:szCs w:val="6"/>
                <w:color w:val="auto"/>
              </w:rPr>
            </w:pPr>
          </w:p>
        </w:tc>
        <w:tc>
          <w:tcPr>
            <w:tcW w:w="80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600" w:type="dxa"/>
            <w:vAlign w:val="bottom"/>
            <w:gridSpan w:val="3"/>
          </w:tcPr>
          <w:p>
            <w:pPr>
              <w:jc w:val="center"/>
              <w:ind w:right="160"/>
              <w:spacing w:after="0" w:line="79" w:lineRule="exact"/>
              <w:rPr>
                <w:sz w:val="20"/>
                <w:szCs w:val="20"/>
                <w:color w:val="auto"/>
              </w:rPr>
            </w:pPr>
            <w:r>
              <w:rPr>
                <w:rFonts w:ascii="Arial" w:cs="Arial" w:eastAsia="Arial" w:hAnsi="Arial"/>
                <w:sz w:val="9"/>
                <w:szCs w:val="9"/>
                <w:b w:val="1"/>
                <w:bCs w:val="1"/>
                <w:color w:val="auto"/>
                <w:w w:val="99"/>
              </w:rPr>
              <w:t>June 30,</w:t>
            </w:r>
          </w:p>
        </w:tc>
        <w:tc>
          <w:tcPr>
            <w:tcW w:w="20" w:type="dxa"/>
            <w:vAlign w:val="bottom"/>
          </w:tcPr>
          <w:p>
            <w:pPr>
              <w:spacing w:after="0"/>
              <w:rPr>
                <w:sz w:val="6"/>
                <w:szCs w:val="6"/>
                <w:color w:val="auto"/>
              </w:rPr>
            </w:pP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180" w:type="dxa"/>
            <w:vAlign w:val="bottom"/>
          </w:tcPr>
          <w:p>
            <w:pPr>
              <w:spacing w:after="0"/>
              <w:rPr>
                <w:sz w:val="6"/>
                <w:szCs w:val="6"/>
                <w:color w:val="auto"/>
              </w:rPr>
            </w:pPr>
          </w:p>
        </w:tc>
        <w:tc>
          <w:tcPr>
            <w:tcW w:w="60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9"/>
              </w:rPr>
              <w:t>December 31,</w:t>
            </w:r>
          </w:p>
        </w:tc>
        <w:tc>
          <w:tcPr>
            <w:tcW w:w="40" w:type="dxa"/>
            <w:vAlign w:val="bottom"/>
          </w:tcPr>
          <w:p>
            <w:pPr>
              <w:spacing w:after="0"/>
              <w:rPr>
                <w:sz w:val="6"/>
                <w:szCs w:val="6"/>
                <w:color w:val="auto"/>
              </w:rPr>
            </w:pPr>
          </w:p>
        </w:tc>
      </w:tr>
      <w:tr>
        <w:trPr>
          <w:trHeight w:val="119"/>
        </w:trPr>
        <w:tc>
          <w:tcPr>
            <w:tcW w:w="2840" w:type="dxa"/>
            <w:vAlign w:val="bottom"/>
            <w:tcBorders>
              <w:bottom w:val="single" w:sz="8" w:color="CCEEFF"/>
            </w:tcBorders>
          </w:tcPr>
          <w:p>
            <w:pPr>
              <w:spacing w:after="0"/>
              <w:rPr>
                <w:sz w:val="10"/>
                <w:szCs w:val="10"/>
                <w:color w:val="auto"/>
              </w:rPr>
            </w:pPr>
          </w:p>
        </w:tc>
        <w:tc>
          <w:tcPr>
            <w:tcW w:w="14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41"/>
        </w:trPr>
        <w:tc>
          <w:tcPr>
            <w:tcW w:w="28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12-Month Backlog</w:t>
            </w:r>
          </w:p>
        </w:tc>
        <w:tc>
          <w:tcPr>
            <w:tcW w:w="14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9"/>
                <w:szCs w:val="9"/>
                <w:color w:val="auto"/>
                <w:w w:val="78"/>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4,090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3,970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3,950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8"/>
              </w:rPr>
              <w:t>3,890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3,830</w:t>
            </w:r>
          </w:p>
        </w:tc>
        <w:tc>
          <w:tcPr>
            <w:tcW w:w="40" w:type="dxa"/>
            <w:vAlign w:val="bottom"/>
            <w:shd w:val="clear" w:color="auto" w:fill="CCEEFF"/>
          </w:tcPr>
          <w:p>
            <w:pPr>
              <w:spacing w:after="0"/>
              <w:rPr>
                <w:sz w:val="12"/>
                <w:szCs w:val="12"/>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 # #</w:t>
      </w:r>
    </w:p>
    <w:p>
      <w:pPr>
        <w:sectPr>
          <w:pgSz w:w="11900" w:h="16838" w:orient="portrait"/>
          <w:cols w:equalWidth="0" w:num="1">
            <w:col w:w="9019"/>
          </w:cols>
          <w:pgMar w:left="1440" w:top="231" w:right="1440" w:bottom="1440"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2023-02-01T05:27:10Z</dcterms:created>
  <dcterms:modified xsi:type="dcterms:W3CDTF">2023-02-01T05:27:10Z</dcterms:modified>
</cp:coreProperties>
</file>