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FORM 6-K</w:t>
      </w:r>
    </w:p>
    <w:p>
      <w:pPr>
        <w:spacing w:after="0" w:line="17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REPORT OF FOREIGN PRIVATE ISSUER</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PURSUANT TO RULE 13A-16 OR 15D-16 OF</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YEAR ENDED SEPTEMBER 30, 2000</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Suite 5, Tower Hill House Le Bordage</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St. Peter Port, Island of Guernsey, GY1 3QT Channel Islands</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Amdocs, Inc.</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173"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73" w:lineRule="exact"/>
        <w:rPr>
          <w:sz w:val="24"/>
          <w:szCs w:val="24"/>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(Indicate by check mark whether the registrant files or will file annual reports under cover of Form 20-F or Form 40-F)</w:t>
      </w:r>
    </w:p>
    <w:p>
      <w:pPr>
        <w:spacing w:after="0" w:line="160" w:lineRule="exact"/>
        <w:rPr>
          <w:sz w:val="24"/>
          <w:szCs w:val="24"/>
          <w:color w:val="auto"/>
        </w:rPr>
      </w:pPr>
    </w:p>
    <w:p>
      <w:pPr>
        <w:ind w:left="2420"/>
        <w:spacing w:after="0"/>
        <w:tabs>
          <w:tab w:leader="none" w:pos="3340" w:val="left"/>
          <w:tab w:leader="none" w:pos="3600" w:val="left"/>
        </w:tabs>
        <w:rPr>
          <w:sz w:val="20"/>
          <w:szCs w:val="20"/>
          <w:color w:val="auto"/>
        </w:rPr>
      </w:pPr>
      <w:r>
        <w:rPr>
          <w:rFonts w:ascii="Courier New" w:cs="Courier New" w:eastAsia="Courier New" w:hAnsi="Courier New"/>
          <w:sz w:val="14"/>
          <w:szCs w:val="14"/>
          <w:color w:val="auto"/>
        </w:rPr>
        <w:t>Form 20 F</w:t>
        <w:tab/>
        <w:t>X</w:t>
        <w:tab/>
        <w:t>Form 40 F</w:t>
      </w:r>
    </w:p>
    <w:p>
      <w:pPr>
        <w:spacing w:after="0" w:line="7" w:lineRule="exact"/>
        <w:rPr>
          <w:sz w:val="24"/>
          <w:szCs w:val="24"/>
          <w:color w:val="auto"/>
        </w:rPr>
      </w:pPr>
    </w:p>
    <w:p>
      <w:pPr>
        <w:ind w:left="3280"/>
        <w:spacing w:after="0"/>
        <w:tabs>
          <w:tab w:leader="none" w:pos="4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39"/>
          </w:cols>
          <w:pgMar w:left="220" w:top="230" w:right="1440" w:bottom="1440" w:gutter="0" w:footer="0" w:header="0"/>
        </w:sectPr>
      </w:pPr>
    </w:p>
    <w:p>
      <w:pPr>
        <w:spacing w:after="0" w:line="162" w:lineRule="exact"/>
        <w:rPr>
          <w:sz w:val="24"/>
          <w:szCs w:val="24"/>
          <w:color w:val="auto"/>
        </w:rPr>
      </w:pPr>
    </w:p>
    <w:p>
      <w:pPr>
        <w:ind w:left="2860"/>
        <w:spacing w:after="0"/>
        <w:rPr>
          <w:sz w:val="20"/>
          <w:szCs w:val="20"/>
          <w:color w:val="auto"/>
        </w:rPr>
      </w:pPr>
      <w:r>
        <w:rPr>
          <w:rFonts w:ascii="Courier New" w:cs="Courier New" w:eastAsia="Courier New" w:hAnsi="Courier New"/>
          <w:sz w:val="13"/>
          <w:szCs w:val="13"/>
          <w:color w:val="auto"/>
        </w:rPr>
        <w:t>YES</w:t>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6099"/>
        <w:spacing w:after="0"/>
        <w:rPr>
          <w:sz w:val="20"/>
          <w:szCs w:val="20"/>
          <w:color w:val="auto"/>
        </w:rPr>
      </w:pPr>
      <w:r>
        <w:rPr>
          <w:rFonts w:ascii="Courier New" w:cs="Courier New" w:eastAsia="Courier New" w:hAnsi="Courier New"/>
          <w:sz w:val="14"/>
          <w:szCs w:val="14"/>
          <w:color w:val="auto"/>
        </w:rPr>
        <w:t>X</w:t>
      </w:r>
    </w:p>
    <w:p>
      <w:pPr>
        <w:spacing w:after="0" w:line="7" w:lineRule="exact"/>
        <w:rPr>
          <w:sz w:val="24"/>
          <w:szCs w:val="24"/>
          <w:color w:val="auto"/>
        </w:rPr>
      </w:pPr>
    </w:p>
    <w:p>
      <w:pPr>
        <w:jc w:val="center"/>
        <w:ind w:right="609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4">
            <w:col w:w="3100" w:space="100"/>
            <w:col w:w="260" w:space="160"/>
            <w:col w:w="180" w:space="80"/>
            <w:col w:w="635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6-K</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REPORT OF FOREIGN PRIVATE ISSUER</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YEAR ENDED SEPTEMBER 30, 2000</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INDEX</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ind w:left="860"/>
        <w:spacing w:after="0"/>
        <w:tabs>
          <w:tab w:leader="none" w:pos="172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Report of Independent Auditors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Consolidated Balance Sheets as of September 30, 2000 and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1999</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Consolidated Statements of Operations for the years ended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September 30, 2000, 1999 and 1998</w:t>
      </w:r>
    </w:p>
    <w:p>
      <w:pPr>
        <w:spacing w:after="0" w:line="7" w:lineRule="exact"/>
        <w:rPr>
          <w:sz w:val="20"/>
          <w:szCs w:val="20"/>
          <w:color w:val="auto"/>
        </w:rPr>
      </w:pPr>
    </w:p>
    <w:p>
      <w:pPr>
        <w:ind w:left="1900" w:right="3339" w:hanging="171"/>
        <w:spacing w:after="0" w:line="250" w:lineRule="auto"/>
        <w:rPr>
          <w:sz w:val="20"/>
          <w:szCs w:val="20"/>
          <w:color w:val="auto"/>
        </w:rPr>
      </w:pPr>
      <w:r>
        <w:rPr>
          <w:rFonts w:ascii="Courier New" w:cs="Courier New" w:eastAsia="Courier New" w:hAnsi="Courier New"/>
          <w:sz w:val="14"/>
          <w:szCs w:val="14"/>
          <w:color w:val="auto"/>
        </w:rPr>
        <w:t>Consolidated Statements of Changes in Shareholders' Equity (Deficit) for the years ended September 30, 2000, 1999 and 1998</w:t>
      </w:r>
    </w:p>
    <w:p>
      <w:pPr>
        <w:spacing w:after="0" w:line="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Consolidated Statements of Cash Flows for the years ended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September 30, 2000, 1999 and 1998</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860"/>
        <w:spacing w:after="0"/>
        <w:tabs>
          <w:tab w:leader="none" w:pos="172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Financial Statement Schedule</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173" w:lineRule="exact"/>
        <w:rPr>
          <w:sz w:val="20"/>
          <w:szCs w:val="20"/>
          <w:color w:val="auto"/>
        </w:rPr>
      </w:pPr>
    </w:p>
    <w:p>
      <w:pPr>
        <w:ind w:left="860"/>
        <w:spacing w:after="0"/>
        <w:tabs>
          <w:tab w:leader="none" w:pos="172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information presented herein shall be deemed filed by us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Section 18 of the Securities Exchange Act of 1934, as amended,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by reference.</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ind w:left="860"/>
        <w:spacing w:after="0"/>
        <w:tabs>
          <w:tab w:leader="none" w:pos="172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Financial Statements</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Amdocs Limited as of September 30, 2000 and 1999, and the related statements of operations, changes in stockholders' equity (deficit) and cash flows for each of the three years in the period ended September 30, 2000. Our audits also included the financial statement schedule listed in the index at Item 2 of Part I. These financial statements and the financial statement schedule are the responsibility of the Company's management. Our responsibility is to express an opinion on these financial statements and the financial statement schedule based on our audits.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Amdocs Limited at September 30, 2000 and 1999, and the consolidated results of its operations and its cash flows for each of the three years in the period ended September 30, 2000, in conformity with accounting principles generally accepted in the United States. Also, in our opinion, the related financial statement schedule, when considered in relation to the basic consolidated financial statements taken as a whole, presents fairly in all material respects the information set forth therein.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Louis, Missouri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 2000</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AS OF SEPTEMBER 30,</w:t>
            </w:r>
          </w:p>
        </w:tc>
      </w:tr>
      <w:tr>
        <w:trPr>
          <w:trHeight w:val="166"/>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spacing w:after="0"/>
              <w:rPr>
                <w:sz w:val="24"/>
                <w:szCs w:val="24"/>
                <w:color w:val="auto"/>
              </w:rPr>
            </w:pPr>
          </w:p>
        </w:tc>
        <w:tc>
          <w:tcPr>
            <w:tcW w:w="34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ASSETS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402,300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85,174</w:t>
            </w: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Accounts receivable, including unbilled of $4,203 and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$4,243, less allowances of $6,868 and $0, in 2000 and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1999, respectively(*)..................................</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263,100</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159,312</w:t>
            </w: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Deferred income taxes and taxes receivable................</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35,179</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29,899</w:t>
            </w: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34,327</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16,390</w:t>
            </w:r>
          </w:p>
        </w:tc>
      </w:tr>
      <w:tr>
        <w:trPr>
          <w:trHeight w:val="166"/>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Total current assets..............................</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734,906</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290,775</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Equipment, vehicles and leasehold improvements, net.........</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128,081</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83,997</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13,900</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5,605</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Goodwill and other intangible assets, net...................</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1,011,053</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22,798</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Other noncurrent assets.....................................</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47,145</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26,836</w:t>
            </w:r>
          </w:p>
        </w:tc>
      </w:tr>
      <w:tr>
        <w:trPr>
          <w:trHeight w:val="166"/>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$1,935,085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430,011</w:t>
            </w:r>
          </w:p>
        </w:tc>
      </w:tr>
      <w:tr>
        <w:trPr>
          <w:trHeight w:val="166"/>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3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LIABILITIES AND SHAREHOLDERS' EQUITY</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Accounts payable and accrued expenses.....................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128,249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68,594</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Accrued personnel costs...................................</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70,196</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40,092</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Short-term financing arrangements.........................</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20,000</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2,381</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Deferred revenue..........................................</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133,546</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104,688</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Short-term portion of capital lease obligations...........</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8,713</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5,722</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Deferred income taxes and taxes payable...................</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55,197</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33,412</w:t>
            </w:r>
          </w:p>
        </w:tc>
      </w:tr>
      <w:tr>
        <w:trPr>
          <w:trHeight w:val="166"/>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Total current liabilities.........................</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415,901</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254,889</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Long-term portion of capital lease obligations..............</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23,417</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17,148</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11,191</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Other noncurrent liabilities................................</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53,804</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34,237</w:t>
            </w:r>
          </w:p>
        </w:tc>
      </w:tr>
      <w:tr>
        <w:trPr>
          <w:trHeight w:val="166"/>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Total liabilities.................................</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504,313</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306,274</w:t>
            </w:r>
          </w:p>
        </w:tc>
      </w:tr>
      <w:tr>
        <w:trPr>
          <w:trHeight w:val="166"/>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Preferred Shares --</w:t>
            </w:r>
          </w:p>
        </w:tc>
        <w:tc>
          <w:tcPr>
            <w:tcW w:w="3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Authorized 25,000 shares; L0.01 par</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value; 0 shares</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issued and outstanding.................</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Ordinary Shares --</w:t>
            </w:r>
          </w:p>
        </w:tc>
        <w:tc>
          <w:tcPr>
            <w:tcW w:w="3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Authorized 550,000 shares; L0.01 par</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value; 221,165 and 198,800 outstanding in 2000 and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1999, respectively.....................................</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3,539</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3,181</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Additional paid-in capital................................</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1,784,816</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489,099</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Accumulated other comprehensive income (loss).............</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1,159</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(1,157)</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Unearned compensation.....................................</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(1,164)</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(3,830)</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Accumulated deficit</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(357,578)</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(363,556)</w:t>
            </w:r>
          </w:p>
        </w:tc>
      </w:tr>
      <w:tr>
        <w:trPr>
          <w:trHeight w:val="166"/>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Total shareholders' equity........................</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1,430,772</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123,737</w:t>
            </w:r>
          </w:p>
        </w:tc>
      </w:tr>
      <w:tr>
        <w:trPr>
          <w:trHeight w:val="166"/>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$1,935,085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430,011</w:t>
            </w:r>
          </w:p>
        </w:tc>
      </w:tr>
      <w:tr>
        <w:trPr>
          <w:trHeight w:val="166"/>
        </w:trPr>
        <w:tc>
          <w:tcPr>
            <w:tcW w:w="1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See Note 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tcPr>
          <w:p>
            <w:pPr>
              <w:jc w:val="right"/>
              <w:ind w:right="368"/>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5260" w:type="dxa"/>
            <w:vAlign w:val="bottom"/>
          </w:tcPr>
          <w:p>
            <w:pPr>
              <w:spacing w:after="0"/>
              <w:rPr>
                <w:sz w:val="14"/>
                <w:szCs w:val="14"/>
                <w:color w:val="auto"/>
              </w:rPr>
            </w:pPr>
          </w:p>
        </w:tc>
        <w:tc>
          <w:tcPr>
            <w:tcW w:w="29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License(*).............................................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124,822</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$ 74,387</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$ 42,891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Service(*).............................................</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993,498</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552,468</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360,876</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1,118,320</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626,855</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403,767</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license........................................</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5,624</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5,515</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10,732</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service(*).....................................</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639,900</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357,809</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231,360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74,852</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40,874</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25,612</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137,004</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75,659</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51,168</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goodwill and purchased intangible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assets...............................................</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111,199</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In-process research and development and other indirect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acquisition-related costs............................</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75,617</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1,044,196</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479,857</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318,872</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74,124</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146,998</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84,895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(expense), net(*)..............................</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10,734</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(6,223)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(24,126)</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 and cumulative effect............</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84,858</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140,775</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60,769</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78,880</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42,232</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30,385</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cumulative effect.............................</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5,978</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98,543</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30,384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principle, net of</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 $0 and $277 tax, respectively.........................</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5,978</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$ 98,543</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$ 30,107</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cumulative effect...........................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0.19</w:t>
            </w:r>
          </w:p>
        </w:tc>
      </w:tr>
      <w:tr>
        <w:trPr>
          <w:trHeight w:val="166"/>
        </w:trPr>
        <w:tc>
          <w:tcPr>
            <w:tcW w:w="5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Cumulative effect of change in accounting principle ($0,</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 and less than $0.01, respectively)..................</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 per share............................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0.19</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cumulative effect...........................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0.19</w:t>
            </w:r>
          </w:p>
        </w:tc>
      </w:tr>
      <w:tr>
        <w:trPr>
          <w:trHeight w:val="166"/>
        </w:trPr>
        <w:tc>
          <w:tcPr>
            <w:tcW w:w="5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Cumulative effect of change in accounting principle ($0,</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 and less than $0.01, respectively)..................</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 per share............................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0.19</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 weighted average number of shares outstanding.........</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212,005</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197,436</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158,528</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 weighted average number of shares outstanding.......</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216,935</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200,262</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159,442</w:t>
            </w:r>
          </w:p>
        </w:tc>
      </w:tr>
      <w:tr>
        <w:trPr>
          <w:trHeight w:val="166"/>
        </w:trPr>
        <w:tc>
          <w:tcPr>
            <w:tcW w:w="526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See Note 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CONSOLIDATED STATEMENTS OF CHANGES IN SHAREHOLDERS' EQUITY (DEFICIT)</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ACCUMULATED</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OTHER</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68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ORDINARY SHARES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ADDITIONAL</w:t>
            </w:r>
          </w:p>
        </w:tc>
        <w:tc>
          <w:tcPr>
            <w:tcW w:w="13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COMPREHENSIVE</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SHAREHOLDERS'</w:t>
            </w:r>
          </w:p>
        </w:tc>
      </w:tr>
      <w:tr>
        <w:trPr>
          <w:trHeight w:val="166"/>
        </w:trPr>
        <w:tc>
          <w:tcPr>
            <w:tcW w:w="2680" w:type="dxa"/>
            <w:vAlign w:val="bottom"/>
          </w:tcPr>
          <w:p>
            <w:pPr>
              <w:spacing w:after="0"/>
              <w:rPr>
                <w:sz w:val="14"/>
                <w:szCs w:val="14"/>
                <w:color w:val="auto"/>
              </w:rPr>
            </w:pP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PAID-IN</w:t>
            </w:r>
          </w:p>
        </w:tc>
        <w:tc>
          <w:tcPr>
            <w:tcW w:w="13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INCOME</w:t>
            </w:r>
          </w:p>
        </w:tc>
        <w:tc>
          <w:tcPr>
            <w:tcW w:w="13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UNEARNED</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ACCUMULATED</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SHARES</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AMOUNT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13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(LOSS)</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COMPENSATION</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DEFICIT</w:t>
            </w:r>
          </w:p>
        </w:tc>
        <w:tc>
          <w:tcPr>
            <w:tcW w:w="12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(DEFICIT)</w:t>
            </w:r>
          </w:p>
        </w:tc>
      </w:tr>
      <w:tr>
        <w:trPr>
          <w:trHeight w:val="166"/>
        </w:trPr>
        <w:tc>
          <w:tcPr>
            <w:tcW w:w="26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124,708</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$1,996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105,779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(13,522)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94,253</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30,107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30,107</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Unrealized loss on derivative</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instruments, net of $640</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tax.........................</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(1,495)</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(1,495)</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Dividends declared, $3.76 per</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share.......................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(478,684)</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(478,684)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Issuance of Ordinary Shares,</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54,092</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97,583</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98,448</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Initial public offering of</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Ordinary Shares, net........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18,000</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233,902</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234,190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Stock options granted, net of</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forfeitures.................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10,239</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(10,239)</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compensation................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1,292</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1,292</w:t>
            </w:r>
          </w:p>
        </w:tc>
      </w:tr>
      <w:tr>
        <w:trPr>
          <w:trHeight w:val="166"/>
        </w:trPr>
        <w:tc>
          <w:tcPr>
            <w:tcW w:w="26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196,800</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3,149</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447,503</w:t>
            </w:r>
          </w:p>
        </w:tc>
        <w:tc>
          <w:tcPr>
            <w:tcW w:w="4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(1,495)</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(8,947)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(462,099)</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(21,889)</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98,543</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98,543</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Unrealized income on</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derivative instruments, net</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of $145 tax.................</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338</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338</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Issuance of Ordinary Shares,</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41,352</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41,384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Stock options granted, net of</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forfeitures.................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compensation................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5,280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5,280</w:t>
            </w:r>
          </w:p>
        </w:tc>
      </w:tr>
      <w:tr>
        <w:trPr>
          <w:trHeight w:val="166"/>
        </w:trPr>
        <w:tc>
          <w:tcPr>
            <w:tcW w:w="26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198,800</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3,181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489,099</w:t>
            </w:r>
          </w:p>
        </w:tc>
        <w:tc>
          <w:tcPr>
            <w:tcW w:w="4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(1,157)</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(3,830)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(363,556)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123,737</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5,978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5,978</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2,058</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21,327</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21,360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Tax benefit of stock options</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10,825</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10,825</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Unrealized other comprehensive</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income, net of $993 tax.....</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2,316</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2,316</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Issuance of Ordinary Shares</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related to acquisitions,</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20,307</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1,263,330</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1,263,655</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235</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compensation................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2,666</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2,666</w:t>
            </w:r>
          </w:p>
        </w:tc>
      </w:tr>
      <w:tr>
        <w:trPr>
          <w:trHeight w:val="166"/>
        </w:trPr>
        <w:tc>
          <w:tcPr>
            <w:tcW w:w="26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221,165</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$3,539</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$1,784,816</w:t>
            </w:r>
          </w:p>
        </w:tc>
        <w:tc>
          <w:tcPr>
            <w:tcW w:w="13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$ 1,159</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(1,164)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$(357,578)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$1,430,772</w:t>
            </w:r>
          </w:p>
        </w:tc>
      </w:tr>
      <w:tr>
        <w:trPr>
          <w:trHeight w:val="166"/>
        </w:trPr>
        <w:tc>
          <w:tcPr>
            <w:tcW w:w="26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statements.</w:t>
      </w:r>
    </w:p>
    <w:p>
      <w:pPr>
        <w:sectPr>
          <w:pgSz w:w="11900" w:h="16838" w:orient="portrait"/>
          <w:cols w:equalWidth="0" w:num="1">
            <w:col w:w="10520"/>
          </w:cols>
          <w:pgMar w:left="220" w:top="285" w:right="1159"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(IN THOUSANDS)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5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5180" w:type="dxa"/>
            <w:vAlign w:val="bottom"/>
          </w:tcPr>
          <w:p>
            <w:pPr>
              <w:spacing w:after="0"/>
              <w:rPr>
                <w:sz w:val="14"/>
                <w:szCs w:val="14"/>
                <w:color w:val="auto"/>
              </w:rPr>
            </w:pPr>
          </w:p>
        </w:tc>
        <w:tc>
          <w:tcPr>
            <w:tcW w:w="30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1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18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5,978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98,543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30,107</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Reconciliation of net income to net cash provided by</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3128"/>
              <w:spacing w:after="0"/>
              <w:rPr>
                <w:sz w:val="20"/>
                <w:szCs w:val="20"/>
                <w:color w:val="auto"/>
              </w:rPr>
            </w:pPr>
            <w:r>
              <w:rPr>
                <w:rFonts w:ascii="Courier New" w:cs="Courier New" w:eastAsia="Courier New" w:hAnsi="Courier New"/>
                <w:sz w:val="14"/>
                <w:szCs w:val="14"/>
                <w:color w:val="auto"/>
              </w:rPr>
              <w:t>operating activities: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155,359</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30,601</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29,096</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In-process research and development expenses.............</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70,319</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on sale of equipment................................</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549</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(1,196)</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(4,026)</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(1,351)</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 benefit of stock options exercised...................</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10,825</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Unrealized income (loss) on other comprehensive income...</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3,309</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483</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(2,135)</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changes in operating assets and liabilities: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receivable......................................</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(29,763)</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(69,354)</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(26,000)</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(12,408)</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(4,400)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(5,244)</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noncurrent assets..................................</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(10,861)</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(3,324)</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 and accrued expenses....................</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38,852</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22,893</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29,054</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revenue.........................................</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24,313</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75,448</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11,800</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payable.....................................</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16,071</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2,177</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(1,429)</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noncurrent liabilities.............................</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16,642</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9,739</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5,760</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287,588</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152,303</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66,483</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CASH FLOW FROM INVESTING ACTIVITIES: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 vehicles and leasehold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improvements.............................................</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1,280</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1,461</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889</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Payments for purchase of equipment, vehicles and leasehold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improvements.............................................</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(56,571)</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(42,180)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(26,566)</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 in noncurrent assets............................</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(9,000)</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acquired in acquisitions..........................</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67,791</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 of computer software and intellectual property....</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(6,169)</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investing activities......................</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(2,669)</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(41,719)</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(25,677)</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CASH FLOW FROM FINANCING ACTIVITIES: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paid.............................................</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(478,684)</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proceeds from issuance of Ordinary Shares..............</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42,535</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330,638</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employee stock options exercised.............</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21,360</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Payments under short-term finance arrangements.............</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(284,464)</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(395,345)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(269,946)</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Borrowings under short-term finance arrangements...........</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301,933</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306,161</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358,862</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proceeds from issuance of long-term debt...............</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364,127</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Principal payments on long-term debt.......................</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(368,521)</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Principal payments on capital lease obligations............</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(6,622)</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(2,357)</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Payments on issuance of notes payable......................</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(3,268)</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32,207</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(50,799)</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(69,149)</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317,126</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59,785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(28,343)</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85,174</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25,389</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53,732</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at end of year...................</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402,300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85,174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25,389</w:t>
            </w:r>
          </w:p>
        </w:tc>
      </w:tr>
      <w:tr>
        <w:trPr>
          <w:trHeight w:val="166"/>
        </w:trPr>
        <w:tc>
          <w:tcPr>
            <w:tcW w:w="518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3"/>
        </w:trPr>
        <w:tc>
          <w:tcPr>
            <w:tcW w:w="5260" w:type="dxa"/>
            <w:vAlign w:val="bottom"/>
          </w:tcPr>
          <w:p>
            <w:pPr>
              <w:spacing w:after="0"/>
              <w:rPr>
                <w:sz w:val="24"/>
                <w:szCs w:val="24"/>
                <w:color w:val="auto"/>
              </w:rPr>
            </w:pPr>
          </w:p>
        </w:tc>
        <w:tc>
          <w:tcPr>
            <w:tcW w:w="24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526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2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SUPPLEMENTARY CASH FLOW INFORMATION</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Interest and Income Taxes Paid</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Cash paid for:</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Income taxes, net of refunds...........................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$49,262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$38,369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$32,472</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Interest...............................................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2,614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25,150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 CASH INVESTING AND FINANCING ACTIVITIES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Capital lease obligations of $15,732, $14,853 and $5,200 were incurred during the years ended September 30, 2000, 1999 and 1998, respectively, when the Company (as hereinafter defined) entered into lease agreements for vehicles.</w:t>
      </w:r>
    </w:p>
    <w:p>
      <w:pPr>
        <w:spacing w:after="0" w:line="16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As of September 30, 1999, the Company incurred stock issuance costs of $1,153, which had not been paid as of that date. Such costs were paid during fiscal year 2000.</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issued 6,461 Ordinary Shares and 1,103 options in connection with the acquisition of ITDS (as hereinafter defined). The Company issued 13,846 exchangeable shares and 1,654 options in connection with the acquisition of Solect (as hereinafter defined). See Note 3.</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ectPr>
          <w:pgSz w:w="11900" w:h="16838" w:orient="portrait"/>
          <w:cols w:equalWidth="0" w:num="1">
            <w:col w:w="10239"/>
          </w:cols>
          <w:pgMar w:left="22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 NATURE OF ENTITY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Amdocs Limited (the "Company") is a leading provider of software products and services to the communications industry. The Company and its subsidiaries operate in one business segment, providing business support systems and related services for the communications industry. The Company designs, develops, markets, supports and operates information system solutions to major wireless, wireline and Internet Protocol ("IP") companies throughout the world.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a Guernsey corporation, which holds directly or indirectly several wholly-owned subsidiaries in the Asia-Pacific region, Australia, Europe, Israel, Latin America and North America. The Company's customers are mainly in North America, Europe, Latin America and the Asia-Pacific region. During fiscal 2000, the Company derived approximately 46 percent of its revenue from North America. The Company's main production and operating facilities are located in Israel, the United States, Cyprus, Ireland and Canada.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 SUMMARY OF SIGNIFICANT ACCOUNTING POLICIES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consolidated financial statements are prepared in accordance with accounting principles generally accepted in the United States.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CONSOLIDATION</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financial statements include the accounts of the Company and all its subsidiaries, which are wholly-owned. All significant intercompany transactions and balances have been eliminated in consolidation.</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FUNCTIONAL CURRENCY</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U.S. dollar is the functional currency for the Company and its subsidiaries, as the U.S. dollar is the predominant currency of the Company's revenue and expenses.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Cash and cash equivalents consist of cash and short-term investments with insignificant interest rate risk and original maturities of 90 days or less.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From time to time the Company invests in short-term interest-bearing investments. The Company classifies all of its short-term interest-bearing investments as available-for-sale securities. Such short-term interest-bearing investments consist primarily of United States governmental securities and commercial paper, which are stated at market value. Unrealized gains and losses are comprised of the difference between market value and amortized costs of such securities and are reflected, net of tax, as other comprehensive income in shareholders' equity. Realized gains and losses on short-term interest-bearing investments are included in earnings and are derived using the specific identification method for determining the cost of securities. Except for its cash and cash equivalents, the Company has no short-term interest-bearing investments as of September 30, 2000.</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also has certain investments in non-publicly traded companies. These investments are included in other noncurrent assets in the Company's balance sheet and are generally carried at cost. The Company monitors these investments for impairment and will make appropriate reductions in carrying values if necessary. There were no impairment charges in fiscal 2000.</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EQUIPMENT, VEHICLES AND LEASEHOLD IMPROVEMENTS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2 to 12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events or changes in circumstances indicate that the carrying amount of such assets may not be recoverable.</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accounts for certain costs incurred in connection with developing or obtaining software for internal use in accordance with Statement of Position (SOP) 98-1, "Accounting for the Costs of Computer Software Developed for or Obtained for Internal-Use". SOP 98-1 requires the capitalization of certain costs incurred in connection with developing or obtaining software for internal use.</w:t>
      </w:r>
    </w:p>
    <w:p>
      <w:pPr>
        <w:spacing w:after="0" w:line="32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GOODWILL AND OTHER INTANGIBLE ASSETS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total purchase price of product line or business acquisitions accounted for using the purchase method is allocated first to identifiable assets and liabilities based on estimated fair values. The excess of the purchase price over the fair value of net assets of purchased businesses is recorded as goodwill. Goodwill is amortized on a straight-line basis over its estimated useful life.</w:t>
      </w:r>
    </w:p>
    <w:p>
      <w:pPr>
        <w:spacing w:after="0" w:line="327"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Other intangible assets consist of purchased computer software, intellectual property rights, core technology, workforce-in-place and customer base.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Purchased computer software is reported at the lower of amortized cost or net realizable value, and is amortized over its estimated useful life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Intellectual property rights, core technology, workforce-in-place and customer base acquired by the Company are amortized over their estimated useful lives on a straight-line basis.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Periodically, the Company considers whether there are indicators of impairment that would require the evaluation of the net realizable value of goodwill and other intangible assets in comparison to their carrying value. Any impairment would be recognized when the expected future operating cash flows derived from such intangible assets is less than their carrying value.</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SPLIT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May 1998, the Board of Directors of the Company authorized a stock split that was effected as a dividend of Ordinary Shares. All references in the consolidated financial statements referring to shares, per share amounts and contingently issuable shares have been adjusted retroactively for the stock split.</w:t>
      </w:r>
    </w:p>
    <w:p>
      <w:pPr>
        <w:spacing w:after="0" w:line="32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COMPREHENSIVE INCOME</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 accounts for comprehensive income under the provisions of Statement of Financial Standards (SFAS) No. 130, "Reporting Comprehensive Income",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ectPr>
          <w:pgSz w:w="11900" w:h="16838" w:orient="portrait"/>
          <w:cols w:equalWidth="0" w:num="1">
            <w:col w:w="10239"/>
          </w:cols>
          <w:pgMar w:left="22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laws at the time the financial statements are prepared) when the deferred taxes are expected to be paid or realized. A valuation allowance is provided for deferred tax assets if it is more likely than not these items will either expire before the company is able to realize their benefit, or that future deductibility is uncertain. In the event that a valuation allowance relating to business acquisitions is subsequently reduced, the adjustment may reduce the original amount allocated to goodwill.</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Company's software products require significant customization and therefore the development projects are recognized as long term contracts in conformity with Accounting Research Bulletin (ARB) No. 45 "Long Term Construction Type Contracts", SOP 81-1 "Accounting for Performance of Construction Type and Certain Production Type Contracts" and SOP 97-2 "Software Revenue Recognition". Initial license fee revenue is recognized as work is performed, under the percentage of completion method of accounting. Subsequent license fee revenue is recognized upon completion of the specified conditions in each contract. Service revenue that involves significant ongoing obligations, including fees for customization, implementation and initial support services, is recognized as work is performed, under the percentage of completion method of accounting. In outsourcing contracts, revenue from operation and maintenance of customers' billing systems is recognized in the period in which the bills are produced. Revenue from ongoing support is recognized as work is performed. Revenue from third-party hardware and software sales is recognized upon delivery, and recorded at gross or net amount according to the criterions established in Emerging Issues Task Force (EITF) 99-19 "Recording Revenue Gross as a Principal versus Net as an Agent" and Staff Accounting Bulletins (SAB) 101 "Revenue Recognition in Financial Statements". Maintenance revenue is recognized ratably over the term of the maintenance agreement, which in most cases is one year or less. Losses are recognized on contracts in the period in which the liability is identified.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177"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Deferred revenue represents billings to customers for licenses, services and third-party products for which revenue has not been recognized.</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Included in service revenue are sales of third-party products. Revenue from sales of such products includes third-party computer hardware and computer software products and was less than 10 percent of total revenue in fiscal 2000, 1999 and 1998.</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COST OF LICENSE AND COST OF SERVICE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Included in cost of service are costs of third-party products associated with reselling third-party computer hardware and computer software products to customers, when revenue from third-party products is recognized at gross amount. Customers purchasing third-party products from the Company generally do so in conjunction with the purchase of services.</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Research and development expenditures consist of costs incurred in the development of new software modules and product offerings, either in conjunction with customer projects or as part of the Company's product development program. Research and development costs, which are in conjunction with a customer project, are expensed as incurred. Certain computer software costs are capitalized in accordance with SFAS No. 86, "Accounting for the Costs of Computer Software to be Sold, Leased or Otherwise Marketed", which requires capitalization of software development costs subsequent to the establishment of technological feasibility.</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STOCK-BASED COMPENSATION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accounts for stock-based compensation in accordance with Accounting Principles Board (APB)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No compensation expense is recorded for stock options that are granted to employees and directors at an exercise price equal to the fair market value of the Ordinary Shares at the time of the grant. See Note 17 for pro forma disclosures required in accordance with SFAS No. 123, "Accounting for Stock-Based Compensation".</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Compensation expenses that are deductible in a tax return in a period different from the one in which they are reported as expenses in measuring net income are temporary differences that result in deferred taxes. To the extent that compensation is not recorded for stock-based compensation, the benefit of the related tax deduction is recorded as an increase to additional paid-in capital in the period of the tax reduction.</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financial instruments of the Company consist mainly of cash and cash equivalents, short-term interest-bearing investments, accounts receivable, short-term financing arrangements, forward exchange contracts and lease obligations. In view of their nature, the fair value of the financial instruments included in the accounts of the Company does not significantly vary from their carrying amount. The fair values of the Company's foreign currency exchange contracts are estimated based on quoted market prices of comparable contracts.</w:t>
      </w:r>
    </w:p>
    <w:p>
      <w:pPr>
        <w:spacing w:after="0" w:line="3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CONCENTRATION OF CREDIT RISK</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trade receivables. The Company invests its excess cash primarily in highly liquid U.S. dollar-denominated securities with major U.S. and U.K. institutions. The Company does not expect any credit losses</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respect of these items. The Company's revenue is generated primarily in North America and Europe and to a lesser extent in the Asia-Pacific region and Latin America. Most customers are among the largest communications and directory publishing companies in the world (or are owned by them). The Company performs ongoing credit analyses of its customer base and generally does not require collateral.</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 is calculated using the weighted average number of shares outstanding during the period. Diluted earnings per share is computed on the basis of the weighted average number of shares outstanding and the effect of the dilutive outstanding stock options using the treasury stock method.</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DERIVATIVES AND HEDGING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July 1, 1998, the Company adopted SFAS No. 133, "Accounting for Derivative Instruments and Hedging Activities". SFAS No. 133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 The adoption of SFAS No. 133 on July 1, 1998 did not have a material impact on results of operations but resulted in the cumulative effect of change in accounting principle of $277, net of tax in 1998.</w:t>
      </w: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Certain amounts in prior years' financial statements have been reclassified to conform to the current year's presentation.</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the percentage of completion method of accounting. Actual results could differ from those estimates.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 ACQUISITIONS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ITDS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November 30, 1999, the Company completed a stock-for-stock acquisition transaction of International Telecommunication Data Systems, Inc. ("ITDS"), a leading provider of solutions to communications companies for outsourcing of billing operations. The total purchase price of $189,034, based on a per share price of $28.25 for the Company's Ordinary Shares, included issuance of 6,461 Ordinary Shares, the grant of 1,103 options and transaction costs. The acquisition was accounted for using the purchase method of accounting. The fair market value of ITDS' assets and liabilities has been included in the Company's balance sheet as of the acquisition date. The results of ITDS' operations are included in the Company's consolidated</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statement of operations, commencing December 1, 1999. An acquired technology valuation, which was independently determined, included both existing technology and in-process research and development. The valuation of these technologies was made by applying the income forecast method, which considered the present value of cash flows by product lines. The fair value of core technology was valued at $12,342 and is being amortized over five years. Purchased in-process research and development, valued at $19,876, was charged as an expense immediately following the completion of the acquisition since this technology had not reached technological feasibility and had no alternative use. This technology required additional development, coding and testing efforts before technological feasibility could be determined. The fair value of customer base was valued at $647 and the fair value of workforce-in-place was valued at $5,407, each of which is being amortized over five years. The excess of the purchase price over the fair value of the net assets acquired, or goodwill, of $71,154 is being amortized over 15 years.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SOLECT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April 5, 2000, the Company completed a stock-for-stock acquisition transaction of Solect Technology Group Inc. ("Solect"), a leading provider of customer care and billing software to IP service providers. Under the terms of the combination agreement, all then outstanding Solect common shares were exchanged for shares of a newly issued class of exchangeable shares of Solect. The Solect exchangeable shares entitle holders to dividends and other rights economically equivalent to the Company's Ordinary Shares, including the right, through a voting trust, to vote at the Company's shareholder meetings, and are exchangeable at the option of holders into the Company's Ordinary Shares on a one-for-one basis. The total purchase price of $1,087,711, based on a per share price of $69.875 for the Company's Ordinary Shares, included both the issuance of 13,846 exchangeable shares, the grant of options to purchase 1,654 Ordinary Shares, as well as transaction costs. An aggregate 1,170 of the exchangeable shares issued in the transaction have been placed in escrow until April 2001 to indemnify the Company against any breaches of representations or warranties under the combination agreement. The acquisition was accounted for using the purchase method of accounting. The fair market value of Solect's assets and liabilities has been included in the Company's balance sheet as of the acquisition date. The results of Solect's operations are included in the Company's consolidated statement of operations, commencing April 6, 2000. An acquired technology valuation, which was independently determined, included both existing technology and in-process research and development. The valuation of these technologies was made by applying the income forecast method, which considered the present value of cash flows by product lines. The fair value of core technology was valued at $18,259 and is being amortized over two years. Purchased in-process research and development, valued at $50,443, was charged as an expense immediately following the completion of the acquisition since this technology had not reached technological feasibility and had no alternative use. This technology required varying additional development, coding and testing efforts before technological feasibility could be determined. The fair value of customer base was valued at $1,211 and the fair value of workforce-in-place was valued at $3,259, each of which is being amortized over three years. The excess of the purchase price over the fair value of net assets acquired, or goodwill, of $986,312 is being amortized over five years.</w:t>
      </w:r>
    </w:p>
    <w:p>
      <w:pPr>
        <w:spacing w:after="0" w:line="346"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Set forth below is the pro forma revenue, operating income (loss), net loss and loss per share as if ITDS and Solect had been acquired as of October 1, 1998, excluding the write off of purchased in-process research and development and other indirect acquisition-related costs:</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30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YEAR ENDED SEPTEMBER 30,</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660"/>
        <w:spacing w:after="0"/>
        <w:tabs>
          <w:tab w:leader="none" w:pos="5760" w:val="left"/>
          <w:tab w:leader="none" w:pos="680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4400"/>
        <w:spacing w:after="0"/>
        <w:tabs>
          <w:tab w:leader="none" w:pos="5580" w:val="left"/>
          <w:tab w:leader="none" w:pos="66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$1,152,783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$775,653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$ 500,554</w:t>
      </w:r>
    </w:p>
    <w:p>
      <w:pPr>
        <w:spacing w:after="0" w:line="7" w:lineRule="exact"/>
        <w:rPr>
          <w:sz w:val="20"/>
          <w:szCs w:val="20"/>
          <w:color w:val="auto"/>
        </w:rPr>
      </w:pPr>
    </w:p>
    <w:p>
      <w:pPr>
        <w:sectPr>
          <w:pgSz w:w="11900" w:h="16838" w:orient="portrait"/>
          <w:cols w:equalWidth="0" w:num="4">
            <w:col w:w="4220" w:space="180"/>
            <w:col w:w="860" w:space="340"/>
            <w:col w:w="700" w:space="340"/>
            <w:col w:w="3599"/>
          </w:cols>
          <w:pgMar w:left="220" w:top="285" w:right="144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2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(loss)..........................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41,516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(43,744)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(134,543)</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37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(25,516)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(97,933)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(161,239)</w:t>
            </w:r>
          </w:p>
        </w:tc>
      </w:tr>
      <w:tr>
        <w:trPr>
          <w:trHeight w:val="166"/>
        </w:trPr>
        <w:tc>
          <w:tcPr>
            <w:tcW w:w="4440" w:type="dxa"/>
            <w:vAlign w:val="bottom"/>
            <w:gridSpan w:val="3"/>
          </w:tcPr>
          <w:p>
            <w:pPr>
              <w:spacing w:after="0"/>
              <w:rPr>
                <w:sz w:val="20"/>
                <w:szCs w:val="20"/>
                <w:color w:val="auto"/>
              </w:rPr>
            </w:pPr>
            <w:r>
              <w:rPr>
                <w:rFonts w:ascii="Courier New" w:cs="Courier New" w:eastAsia="Courier New" w:hAnsi="Courier New"/>
                <w:sz w:val="14"/>
                <w:szCs w:val="14"/>
                <w:color w:val="auto"/>
              </w:rPr>
              <w:t>Basic loss per share.............................</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Diluted loss per</w:t>
            </w:r>
          </w:p>
        </w:tc>
        <w:tc>
          <w:tcPr>
            <w:tcW w:w="2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497"/>
        </w:trPr>
        <w:tc>
          <w:tcPr>
            <w:tcW w:w="700" w:type="dxa"/>
            <w:vAlign w:val="bottom"/>
          </w:tcPr>
          <w:p>
            <w:pPr>
              <w:spacing w:after="0"/>
              <w:rPr>
                <w:sz w:val="20"/>
                <w:szCs w:val="20"/>
                <w:color w:val="auto"/>
              </w:rPr>
            </w:pPr>
            <w:r>
              <w:rPr>
                <w:rFonts w:ascii="Courier New" w:cs="Courier New" w:eastAsia="Courier New" w:hAnsi="Courier New"/>
                <w:sz w:val="14"/>
                <w:szCs w:val="14"/>
                <w:color w:val="auto"/>
                <w:w w:val="89"/>
              </w:rPr>
              <w:t>NOTE 4 --</w:t>
            </w:r>
          </w:p>
        </w:tc>
        <w:tc>
          <w:tcPr>
            <w:tcW w:w="374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RELATED PARTY TRANSACTIONS</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related party balances are included in the balance sheet:</w:t>
      </w:r>
    </w:p>
    <w:p>
      <w:pPr>
        <w:spacing w:after="0" w:line="200" w:lineRule="exact"/>
        <w:rPr>
          <w:sz w:val="20"/>
          <w:szCs w:val="20"/>
          <w:color w:val="auto"/>
        </w:rPr>
      </w:pPr>
    </w:p>
    <w:p>
      <w:pPr>
        <w:spacing w:after="0" w:line="304"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AS OF SEPTEMBER 30,</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60"/>
        <w:spacing w:after="0"/>
        <w:tabs>
          <w:tab w:leader="none" w:pos="62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ind w:left="5100"/>
        <w:spacing w:after="0"/>
        <w:tabs>
          <w:tab w:leader="none" w:pos="6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 including unbilled of $0 and $828 in</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2000 and 1999, respectively............................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$27,116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$14,128</w:t>
      </w:r>
    </w:p>
    <w:p>
      <w:pPr>
        <w:spacing w:after="0" w:line="200" w:lineRule="exact"/>
        <w:rPr>
          <w:sz w:val="20"/>
          <w:szCs w:val="20"/>
          <w:color w:val="auto"/>
        </w:rPr>
      </w:pPr>
    </w:p>
    <w:p>
      <w:pPr>
        <w:sectPr>
          <w:pgSz w:w="11900" w:h="16838" w:orient="portrait"/>
          <w:cols w:equalWidth="0" w:num="3">
            <w:col w:w="4920" w:space="180"/>
            <w:col w:w="600" w:space="420"/>
            <w:col w:w="4119"/>
          </w:cols>
          <w:pgMar w:left="220" w:top="285" w:right="1440" w:bottom="1440" w:gutter="0" w:footer="0" w:header="0"/>
          <w:type w:val="continuous"/>
        </w:sectPr>
      </w:pPr>
    </w:p>
    <w:p>
      <w:pPr>
        <w:spacing w:after="0" w:line="138"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following related party transactions are included in the statements of operations: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SEPTEMBER</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30,</w:t>
            </w:r>
          </w:p>
        </w:tc>
      </w:tr>
      <w:tr>
        <w:trPr>
          <w:trHeight w:val="166"/>
        </w:trPr>
        <w:tc>
          <w:tcPr>
            <w:tcW w:w="526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Revenue(1):</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License...................................................</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$ 15,888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743</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$ 2,300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Service...................................................</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144,859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98,761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82,100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Operating expenses(2):</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service...........................................</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2,656</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(expense), net(3)..............................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(6,268)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419" w:hanging="352"/>
        <w:spacing w:after="0" w:line="252"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licenses software and provides computer systems integration and related services to several affiliates of a significant shareholder of the Company (the "Affiliates").</w:t>
      </w:r>
    </w:p>
    <w:p>
      <w:pPr>
        <w:spacing w:after="0" w:line="162" w:lineRule="exact"/>
        <w:rPr>
          <w:rFonts w:ascii="Courier New" w:cs="Courier New" w:eastAsia="Courier New" w:hAnsi="Courier New"/>
          <w:sz w:val="14"/>
          <w:szCs w:val="14"/>
          <w:color w:val="auto"/>
        </w:rPr>
      </w:pPr>
    </w:p>
    <w:p>
      <w:pPr>
        <w:ind w:left="360" w:right="3599" w:hanging="352"/>
        <w:spacing w:after="0" w:line="252"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leases office space in Israel on a month-to-month basis and purchases other miscellaneous support services from affiliates of certain shareholders.</w:t>
      </w:r>
    </w:p>
    <w:p>
      <w:pPr>
        <w:spacing w:after="0" w:line="162" w:lineRule="exact"/>
        <w:rPr>
          <w:rFonts w:ascii="Courier New" w:cs="Courier New" w:eastAsia="Courier New" w:hAnsi="Courier New"/>
          <w:sz w:val="14"/>
          <w:szCs w:val="14"/>
          <w:color w:val="auto"/>
        </w:rPr>
      </w:pPr>
    </w:p>
    <w:p>
      <w:pPr>
        <w:ind w:left="360" w:right="3419" w:hanging="352"/>
        <w:spacing w:after="0" w:line="251"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22, 1997, the Company issued junior subordinated notes payable in the aggregate amount of $3,268 to certain persons affiliated with the investors party to the Share Subscription Agreement referred to in Note 16. The notes bore an interest rate of 5.75 percent per annum and were originally due September 22, 1998. The notes were paid in March 1998. In January 1998, the Company issued $123,500 in principal amount of 10 percent subordinated notes to affiliates of certain shareholders, which were party to the Conditional Investment Agreement referred to in Note 16. The subordinated notes were repaid in 1998.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 COMPENSATING BALANCES</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The Company was required to maintain compensating cash balances of $4,777 and $2,791 as of September 30, 2000 and 1999, respectively, primarily relating to foreign currency contracts, letters of credit and bank guarantees.</w:t>
      </w:r>
    </w:p>
    <w:p>
      <w:pPr>
        <w:sectPr>
          <w:pgSz w:w="11900" w:h="16838" w:orient="portrait"/>
          <w:cols w:equalWidth="0" w:num="1">
            <w:col w:w="10239"/>
          </w:cols>
          <w:pgMar w:left="220" w:top="285"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 EQUIPMENT, VEHICLES AND LEASEHOLD IMPROVEMENTS, NET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Components of equipment, vehicles and leasehold improvements, net are: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7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AS OF SEPTEMBER 30,</w:t>
            </w:r>
          </w:p>
        </w:tc>
      </w:tr>
      <w:tr>
        <w:trPr>
          <w:trHeight w:val="166"/>
        </w:trPr>
        <w:tc>
          <w:tcPr>
            <w:tcW w:w="492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92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24,297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$14,009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Computer equipment......................................</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110,583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67,416</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Vehicles furnished to employees.........................</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44,766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31,541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30,593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19,315</w:t>
            </w:r>
          </w:p>
        </w:tc>
      </w:tr>
      <w:tr>
        <w:trPr>
          <w:trHeight w:val="166"/>
        </w:trPr>
        <w:tc>
          <w:tcPr>
            <w:tcW w:w="492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210,239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132,281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82,158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48,284</w:t>
            </w:r>
          </w:p>
        </w:tc>
      </w:tr>
      <w:tr>
        <w:trPr>
          <w:trHeight w:val="166"/>
        </w:trPr>
        <w:tc>
          <w:tcPr>
            <w:tcW w:w="492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128,081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$83,997</w:t>
            </w:r>
          </w:p>
        </w:tc>
      </w:tr>
      <w:tr>
        <w:trPr>
          <w:trHeight w:val="166"/>
        </w:trPr>
        <w:tc>
          <w:tcPr>
            <w:tcW w:w="492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entered into various arrangements for the leasing of vehicles for periods of five years, carrying interest rates of LIBOR plus an interest rate of 0.5 percent (7.3 percent as of September 30, 2000). The Company has accounted for these as capital leases and amortization costs have been included in depreciation expense. Capital lease payments, excluding interest, due over the next five years 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4"/>
                <w:szCs w:val="4"/>
                <w:color w:val="auto"/>
                <w:w w:val="79"/>
              </w:rPr>
              <w:t>2001........................................</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$8,713</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4"/>
                <w:szCs w:val="4"/>
                <w:color w:val="auto"/>
                <w:w w:val="79"/>
              </w:rPr>
              <w:t>2002........................................</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8,068</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4"/>
                <w:szCs w:val="4"/>
                <w:color w:val="auto"/>
                <w:w w:val="79"/>
              </w:rPr>
              <w:t>2003........................................</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7,368</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4"/>
                <w:szCs w:val="4"/>
                <w:color w:val="auto"/>
                <w:w w:val="79"/>
              </w:rPr>
              <w:t>2004........................................</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5,234</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4"/>
                <w:szCs w:val="4"/>
                <w:color w:val="auto"/>
                <w:w w:val="79"/>
              </w:rPr>
              <w:t>2005........................................</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2,747</w:t>
            </w:r>
          </w:p>
        </w:tc>
      </w:tr>
      <w:tr>
        <w:trPr>
          <w:trHeight w:val="497"/>
        </w:trPr>
        <w:tc>
          <w:tcPr>
            <w:tcW w:w="860" w:type="dxa"/>
            <w:vAlign w:val="bottom"/>
          </w:tcPr>
          <w:p>
            <w:pPr>
              <w:spacing w:after="0"/>
              <w:rPr>
                <w:sz w:val="20"/>
                <w:szCs w:val="20"/>
                <w:color w:val="auto"/>
              </w:rPr>
            </w:pPr>
            <w:r>
              <w:rPr>
                <w:rFonts w:ascii="Courier New" w:cs="Courier New" w:eastAsia="Courier New" w:hAnsi="Courier New"/>
                <w:sz w:val="14"/>
                <w:szCs w:val="14"/>
                <w:color w:val="auto"/>
              </w:rPr>
              <w:t>NOTE 7 --</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GOODWILL AND OTHER INTANGIBLE ASSETS, NET</w:t>
            </w:r>
          </w:p>
        </w:tc>
      </w:tr>
    </w:tbl>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Goodwill and other intangible assets, net are: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ESTIMATED</w:t>
            </w:r>
          </w:p>
        </w:tc>
        <w:tc>
          <w:tcPr>
            <w:tcW w:w="19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AS OF SEPTEMBER 30,</w:t>
            </w:r>
          </w:p>
        </w:tc>
      </w:tr>
      <w:tr>
        <w:trPr>
          <w:trHeight w:val="166"/>
        </w:trPr>
        <w:tc>
          <w:tcPr>
            <w:tcW w:w="380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USEFUL LIFE</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1"/>
              </w:rPr>
              <w:t>---------------------</w:t>
            </w:r>
          </w:p>
        </w:tc>
        <w:tc>
          <w:tcPr>
            <w:tcW w:w="52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YEARS)</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380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5 - 15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$1,057,466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Intellectual property rights and purchased</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computer software........................</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2 - 10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74,107</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39,200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intangible assets....................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3 -  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12,403</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1,143,976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39,200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1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132,923</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16,402</w:t>
            </w:r>
          </w:p>
        </w:tc>
      </w:tr>
      <w:tr>
        <w:trPr>
          <w:trHeight w:val="166"/>
        </w:trPr>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$1,011,053</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$22,798</w:t>
            </w:r>
          </w:p>
        </w:tc>
      </w:tr>
      <w:tr>
        <w:trPr>
          <w:trHeight w:val="166"/>
        </w:trPr>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t>
            </w:r>
          </w:p>
        </w:tc>
      </w:tr>
    </w:tbl>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 OTHER NONCURRENT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noncurrent assets consist of the following:</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AS OF SEPTEMBER 30,</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Funded personnel benefit costs.........................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$25,913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$18,264</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Noncurrent investments, at cost........................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9,250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11,982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8,572</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$47,145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$26,836</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860" w:type="dxa"/>
            <w:vAlign w:val="bottom"/>
          </w:tcPr>
          <w:p>
            <w:pPr>
              <w:spacing w:after="0"/>
              <w:rPr>
                <w:sz w:val="20"/>
                <w:szCs w:val="20"/>
                <w:color w:val="auto"/>
              </w:rPr>
            </w:pPr>
            <w:r>
              <w:rPr>
                <w:rFonts w:ascii="Courier New" w:cs="Courier New" w:eastAsia="Courier New" w:hAnsi="Courier New"/>
                <w:sz w:val="14"/>
                <w:szCs w:val="14"/>
                <w:color w:val="auto"/>
              </w:rPr>
              <w:t>NOTE 9 --</w:t>
            </w:r>
          </w:p>
        </w:tc>
        <w:tc>
          <w:tcPr>
            <w:tcW w:w="40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provision for income taxes consists of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7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3980" w:type="dxa"/>
            <w:vAlign w:val="bottom"/>
          </w:tcPr>
          <w:p>
            <w:pPr>
              <w:spacing w:after="0"/>
              <w:rPr>
                <w:sz w:val="14"/>
                <w:szCs w:val="14"/>
                <w:color w:val="auto"/>
              </w:rPr>
            </w:pPr>
          </w:p>
        </w:tc>
        <w:tc>
          <w:tcPr>
            <w:tcW w:w="27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98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$80,076</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$46,258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$31,736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(1,351)</w:t>
            </w:r>
          </w:p>
        </w:tc>
      </w:tr>
      <w:tr>
        <w:trPr>
          <w:trHeight w:val="166"/>
        </w:trPr>
        <w:tc>
          <w:tcPr>
            <w:tcW w:w="398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$78,880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$42,232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$30,385</w:t>
            </w:r>
          </w:p>
        </w:tc>
      </w:tr>
      <w:tr>
        <w:trPr>
          <w:trHeight w:val="166"/>
        </w:trPr>
        <w:tc>
          <w:tcPr>
            <w:tcW w:w="398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Deferred income taxes are comprised of the following components: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AS OF SEPTEMBER 30,</w:t>
            </w:r>
          </w:p>
        </w:tc>
      </w:tr>
      <w:tr>
        <w:trPr>
          <w:trHeight w:val="166"/>
        </w:trPr>
        <w:tc>
          <w:tcPr>
            <w:tcW w:w="50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50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revenue.......................................</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$19,560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$21,021</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personnel costs................................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15,733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8,184</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Computer software and intellectual property............</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Warranty and maintenance accruals......................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operating loss carry forwards......................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18,713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5,685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4,947</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Valuation allowances...................................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(16,743)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deferred tax assets..............................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46,444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34,347</w:t>
            </w:r>
          </w:p>
        </w:tc>
      </w:tr>
      <w:tr>
        <w:trPr>
          <w:trHeight w:val="166"/>
        </w:trPr>
        <w:tc>
          <w:tcPr>
            <w:tcW w:w="50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Anticipated withholdings on subsidiaries' earnings.....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(17,391)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(14,033)</w:t>
            </w:r>
          </w:p>
        </w:tc>
      </w:tr>
      <w:tr>
        <w:trPr>
          <w:trHeight w:val="166"/>
        </w:trPr>
        <w:tc>
          <w:tcPr>
            <w:tcW w:w="5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Intangible assets, computer software and intellectual</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property............................................</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(11,191)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(2,071)</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deferred tax liabilities.........................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(16,104)</w:t>
            </w:r>
          </w:p>
        </w:tc>
      </w:tr>
      <w:tr>
        <w:trPr>
          <w:trHeight w:val="166"/>
        </w:trPr>
        <w:tc>
          <w:tcPr>
            <w:tcW w:w="50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deferred tax assets..................................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$17,362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$18,243</w:t>
            </w:r>
          </w:p>
        </w:tc>
      </w:tr>
      <w:tr>
        <w:trPr>
          <w:trHeight w:val="166"/>
        </w:trPr>
        <w:tc>
          <w:tcPr>
            <w:tcW w:w="50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The effective income tax rate varied from the statutory Guernsey tax</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rate</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as follows:</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663"/>
        </w:trPr>
        <w:tc>
          <w:tcPr>
            <w:tcW w:w="4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 ENDED</w:t>
            </w:r>
          </w:p>
        </w:tc>
        <w:tc>
          <w:tcPr>
            <w:tcW w:w="340" w:type="dxa"/>
            <w:vAlign w:val="bottom"/>
          </w:tcPr>
          <w:p>
            <w:pPr>
              <w:spacing w:after="0"/>
              <w:rPr>
                <w:sz w:val="24"/>
                <w:szCs w:val="24"/>
                <w:color w:val="auto"/>
              </w:rPr>
            </w:pPr>
          </w:p>
        </w:tc>
      </w:tr>
      <w:tr>
        <w:trPr>
          <w:trHeight w:val="166"/>
        </w:trPr>
        <w:tc>
          <w:tcPr>
            <w:tcW w:w="49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c>
          <w:tcPr>
            <w:tcW w:w="340" w:type="dxa"/>
            <w:vAlign w:val="bottom"/>
          </w:tcPr>
          <w:p>
            <w:pPr>
              <w:spacing w:after="0"/>
              <w:rPr>
                <w:sz w:val="14"/>
                <w:szCs w:val="14"/>
                <w:color w:val="auto"/>
              </w:rPr>
            </w:pPr>
          </w:p>
        </w:tc>
      </w:tr>
      <w:tr>
        <w:trPr>
          <w:trHeight w:val="166"/>
        </w:trPr>
        <w:tc>
          <w:tcPr>
            <w:tcW w:w="49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1998</w:t>
            </w:r>
          </w:p>
        </w:tc>
      </w:tr>
      <w:tr>
        <w:trPr>
          <w:trHeight w:val="166"/>
        </w:trPr>
        <w:tc>
          <w:tcPr>
            <w:tcW w:w="4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Statutory Guernsey tax rate.............................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Guernsey tax-exempt status..............................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Foreign taxes...........................................</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Effect of acquisition-related costs.....................</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49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fiscal 2000, the Company incurred certain non-tax deductible indirect acquisition- related costs and non deductible goodwill amortization related to the acquisitions of ITDS and Solect. As a result, the Company's effective income tax rate in 2000 (calculated based on the income taxes out of the income before income taxes, excluding non recurring charges for write-offs of purchased in-process research and development and other indirect acquisition-related costs) is significantly higher than the 1999 effective income tax rate.</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fiscal 1998, the Company incurred tax expense on the income of its operations in various countries and sustained a loss in a tax jurisdiction in which the Company is tax-exempt. This resulted in no tax benefit to offset the expense incurred. No such loss occurred in 1999 or 2000 and, as a result, the Company's effective income tax rate in 1998 was significantly higher than the 1999 effective income tax rate.</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Company's Israeli subsidiary, which accounted for approximately 34%, 36% and 34% for 2000, 1999 and 1998, respectively, of the Company's income before income taxes, enjoys tax benefits from Approved Enterprise status, as established under Israeli law. The benefits from this status began phasing out in 1999. However, the effect on the 1999 and 2000 effective income tax rate on the Company is not significant.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September 30, 2000, the Company had $41,900 of Canadian net operating loss carry-forwards, most of which were acquired in the Solect transaction. The net operating loss carry-forwards will expire within 5-10 years. Given the uncertainty of the realization of these assets through future taxable earnings, a valuation allowance of $16,743 has been recorded.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 SHORT-TERM FINANCING ARRANGEMENTS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Company's financing transactions are described below:</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December 1997, the Company entered into various credit agreements (the "Credit Agreements") with several commercial banks. According to an amendment to the Credit Agreements (the "Revolving Credit Agreement") entered into in July 1998, the Company may borrow up to $100,000 under a revolving line of credit. This agreement expires in June 2001. The revolving line of credit bears a variable interest rate (7.3 percent as of September 30, 2000). The Revolving Credit Agreement has various covenants, that limit the Company's ability to make investments, incur debt, pay dividends and dispose of property. The Company is also required to maintain certain financial ratios as defined in the Revolving Credit Agreement. Except for vehicles, substantially all of the Company's assets have been pledged as security under the terms of the Revolving Credit Agreement. As of September 30, 2000, the outstanding balance under this arrangement was $20,000.</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According to an agreement with several commercial banks the Company may borrow up to $40,000 under a short-term credit line. The short-term credit line bears a variable interest rate. As of September 30, 2000, there was no outstanding balance.</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As of September 30, 2000, the Company had utilized approximately $19,295 of revolving credit facilities to support letters of credit or bank guarantees.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maximum amount of short-term borrowings under the revolving bank credit arrangements at the end of any month was approximately $31,700 in 2000 and $97,300 in 1999. The average short-term borrowings during the year were approximately $13,300 in 2000 and $63,500 in 1999. The weighted average interest rates approximated 7.0 percent in 2000, 6.0 percent in 1999 and 6.4 percent in 1998.</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 OTHER NONCURRENT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noncurrent liabilities consist of the following:</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9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7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AS OF SEPTEMBER 30,</w:t>
            </w:r>
          </w:p>
        </w:tc>
      </w:tr>
      <w:tr>
        <w:trPr>
          <w:trHeight w:val="166"/>
        </w:trPr>
        <w:tc>
          <w:tcPr>
            <w:tcW w:w="9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9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Accrued personnel costs..................................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$49,313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$32,441</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Long term forward exchange obligations...................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2,987</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1,565</w:t>
            </w:r>
          </w:p>
        </w:tc>
      </w:tr>
      <w:tr>
        <w:trPr>
          <w:trHeight w:val="166"/>
        </w:trPr>
        <w:tc>
          <w:tcPr>
            <w:tcW w:w="9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$53,804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$34,237</w:t>
            </w:r>
          </w:p>
        </w:tc>
      </w:tr>
      <w:tr>
        <w:trPr>
          <w:trHeight w:val="166"/>
        </w:trPr>
        <w:tc>
          <w:tcPr>
            <w:tcW w:w="9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960" w:type="dxa"/>
            <w:vAlign w:val="bottom"/>
          </w:tcPr>
          <w:p>
            <w:pPr>
              <w:spacing w:after="0"/>
              <w:rPr>
                <w:sz w:val="20"/>
                <w:szCs w:val="20"/>
                <w:color w:val="auto"/>
              </w:rPr>
            </w:pPr>
            <w:r>
              <w:rPr>
                <w:rFonts w:ascii="Courier New" w:cs="Courier New" w:eastAsia="Courier New" w:hAnsi="Courier New"/>
                <w:sz w:val="14"/>
                <w:szCs w:val="14"/>
                <w:color w:val="auto"/>
              </w:rPr>
              <w:t>NOTE 12 --</w:t>
            </w:r>
          </w:p>
        </w:tc>
        <w:tc>
          <w:tcPr>
            <w:tcW w:w="41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0"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The following table sets forth the reconciliation from net income to comprehensive income: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$5,978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$98,543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$30,107</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Other comprehensive income:</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Unrealized income (loss) on derivative</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instruments, net of tax...................</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2,333</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(1,495)</w:t>
            </w:r>
          </w:p>
        </w:tc>
      </w:tr>
      <w:tr>
        <w:trPr>
          <w:trHeight w:val="166"/>
        </w:trPr>
        <w:tc>
          <w:tcPr>
            <w:tcW w:w="4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Unrealized income on cash equivalents, net of</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tax.......................................</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Comprehensive income...........................</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$8,294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$98,881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$28,612</w:t>
            </w: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NOTE 13 --</w:t>
            </w:r>
          </w:p>
        </w:tc>
        <w:tc>
          <w:tcPr>
            <w:tcW w:w="3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OTHER INCOME (EXPENSE), NET</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income (expense), net consists of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7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3980" w:type="dxa"/>
            <w:vAlign w:val="bottom"/>
          </w:tcPr>
          <w:p>
            <w:pPr>
              <w:spacing w:after="0"/>
              <w:rPr>
                <w:sz w:val="14"/>
                <w:szCs w:val="14"/>
                <w:color w:val="auto"/>
              </w:rPr>
            </w:pPr>
          </w:p>
        </w:tc>
        <w:tc>
          <w:tcPr>
            <w:tcW w:w="27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9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$14,274</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$ 1,680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3,445</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(5,654)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(24,267)</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Interest expense relating to settlement of</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tax claims.................................</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(680)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(2,624)</w:t>
            </w:r>
          </w:p>
        </w:tc>
      </w:tr>
      <w:tr>
        <w:trPr>
          <w:trHeight w:val="166"/>
        </w:trPr>
        <w:tc>
          <w:tcPr>
            <w:tcW w:w="39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$10,734</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$(6,223)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$(24,126)</w:t>
            </w:r>
          </w:p>
        </w:tc>
      </w:tr>
      <w:tr>
        <w:trPr>
          <w:trHeight w:val="166"/>
        </w:trPr>
        <w:tc>
          <w:tcPr>
            <w:tcW w:w="39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 COMMITMENTS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Company leases office space under non-cancelable operating leases in various countries in which it does business. Future minimum lease payments required for the five-year period beginning October 1, 2000 are as follows: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$ 27,100</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27,000</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22,800</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19,100</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17,300</w:t>
            </w:r>
          </w:p>
        </w:tc>
      </w:tr>
      <w:tr>
        <w:trPr>
          <w:trHeight w:val="166"/>
        </w:trPr>
        <w:tc>
          <w:tcPr>
            <w:tcW w:w="37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$113,300</w:t>
            </w:r>
          </w:p>
        </w:tc>
      </w:tr>
      <w:tr>
        <w:trPr>
          <w:trHeight w:val="166"/>
        </w:trPr>
        <w:tc>
          <w:tcPr>
            <w:tcW w:w="37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Rent expense was approximately $20,400, $12,600 and $8,000 for 2000, 1999 and 1998,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15 -- EMPLOYEE BENEFITS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in other noncurrent liabilities, is partially funded by amounts on deposit with insurance companies, which are included in other noncurrent assets. Severance pay expenses were approximately $17,614, $9,200 and $7,100 for 2000, 1999 and 1998, respectively.</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sponsors defined contribution plans covering substantially all employees in the U.S., U.K. and Canada. The plans provide for Company matching contributions based upon a percentage of the employees' voluntary contributions. The Company's 2000, 1999 and 1998 plan contributions were not significant.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16 -- CAPITAL TRANSACTIONS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are details of the Ordinary Shares outstanding:</w:t>
      </w:r>
    </w:p>
    <w:p>
      <w:pPr>
        <w:spacing w:after="0" w:line="200" w:lineRule="exact"/>
        <w:rPr>
          <w:sz w:val="20"/>
          <w:szCs w:val="20"/>
          <w:color w:val="auto"/>
        </w:rPr>
      </w:pPr>
    </w:p>
    <w:p>
      <w:pPr>
        <w:spacing w:after="0" w:line="304"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AS OF SEPTEMBER 30,</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60"/>
        <w:spacing w:after="0"/>
        <w:tabs>
          <w:tab w:leader="none" w:pos="62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ind w:left="5100"/>
        <w:spacing w:after="0"/>
        <w:tabs>
          <w:tab w:leader="none" w:pos="6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Ordinary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Non-Voting Ordinary Shares...............................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spacing w:after="0" w:line="251" w:lineRule="auto"/>
        <w:rPr>
          <w:sz w:val="20"/>
          <w:szCs w:val="20"/>
          <w:color w:val="auto"/>
        </w:rPr>
      </w:pPr>
      <w:r>
        <w:rPr>
          <w:rFonts w:ascii="Courier New" w:cs="Courier New" w:eastAsia="Courier New" w:hAnsi="Courier New"/>
          <w:sz w:val="14"/>
          <w:szCs w:val="14"/>
          <w:color w:val="auto"/>
        </w:rPr>
        <w:t>198,029 23,136 ------- 221,165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174,590</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24,210</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198,800</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w:t>
      </w:r>
    </w:p>
    <w:p>
      <w:pPr>
        <w:spacing w:after="0" w:line="208" w:lineRule="exact"/>
        <w:rPr>
          <w:sz w:val="20"/>
          <w:szCs w:val="20"/>
          <w:color w:val="auto"/>
        </w:rPr>
      </w:pPr>
    </w:p>
    <w:p>
      <w:pPr>
        <w:sectPr>
          <w:pgSz w:w="11900" w:h="16838" w:orient="portrait"/>
          <w:cols w:equalWidth="0" w:num="3">
            <w:col w:w="4920" w:space="180"/>
            <w:col w:w="600" w:space="420"/>
            <w:col w:w="4119"/>
          </w:cols>
          <w:pgMar w:left="220" w:top="285" w:right="1440" w:bottom="1440" w:gutter="0" w:footer="0" w:header="0"/>
          <w:type w:val="continuous"/>
        </w:sectPr>
      </w:pPr>
    </w:p>
    <w:p>
      <w:pPr>
        <w:spacing w:after="0" w:line="13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All the Non-Voting Ordinary Shares are held by a single shareholder. Under the Company's Articles of Association, upon the transfer or sale of such shares to another party, the shares automatically convert to Voting Ordinary Shares.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Company's capital transactions are described below:</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September 22, 1997, the Company entered into a Share Subscription Agreement, under which 11,072 Ordinary Shares and 990 voting shares (Voting Shares) and $3,268 principal amount of junior promissory notes were issued to certain investors. These notes were repaid in March 1998. Also, on September 22, 1997, the Company entered into a Conditional Investment Agreement whereby such investors were to be obligated to purchase 51,508 Ordinary Shares of the Company in second quarter 1998 for approximately $99,000, if the</w:t>
      </w:r>
    </w:p>
    <w:p>
      <w:pPr>
        <w:sectPr>
          <w:pgSz w:w="11900" w:h="16838" w:orient="portrait"/>
          <w:cols w:equalWidth="0" w:num="1">
            <w:col w:w="10239"/>
          </w:cols>
          <w:pgMar w:left="220" w:top="285"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Company achieved certain financial performance targets. In addition, the Company entered into a note purchase agreement with certain affiliates of the investors to issue, at its election, up to $125,000 of subordinated notes.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January 1998, the Company issued 36 additional Voting Shares at par value, which were redeemed in May 1998, as discussed below, and issued 2,584 contingently issuable Ordinary Shares, which were paid in advance in the amount of $2,000 pursuant to a 1995 Stock Subscription Agreements with certain shareholders.</w:t>
      </w:r>
    </w:p>
    <w:p>
      <w:pPr>
        <w:spacing w:after="0" w:line="165"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In January 1998, the Company's Board of Directors declared dividends of $478,684, which were paid at that time. The dividends were financed by the proceeds of the Credit Agreements and subordinated notes from affiliates of certain shareholders, and surplus working capital.</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March 1998, the Company issued 51,508 Ordinary Shares according to the Conditional Investment Agreement discussed above. The net proceeds to the Company after the deduction of transaction costs amounted to $96,448.</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 stock split of 52-for-1 for each Ordinary Share outstanding. The rights of the two classes of Ordinary Shares are identical except as to voting rights. After the initial public offering, all of the outstanding Non-Voting Ordinary Shares have been held by one existing shareholder of the Company. All references to the number of shares and earnings per share have been restated to reflect the stock split and the redemption of Voting Ordinary Shares has been given retroactive effect.</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On June 19, 1998, the Company conducted an initial public offering on the New York Stock Exchange of 18,000 Ordinary Shares. Total net proceeds to the Company, after deduction of offering expenses and underwriting commissions, amounted to $234,190.</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On June 7, 1999, the Company and certain shareholders of the Company completed a public offering pursuant to which the Company sold 2,000 Ordinary Shares. The net proceeds to the Company, after deduction of underwriting discounts and offering expenses, amounted to $41,384.</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November 30, 1999 the Company issued 6,461 Ordinary Shares in connection with the acquisition of ITDS. On April 5, 2000 the Company issued 13,846 exchangeable shares in connection with the acquisition of Solect. See Note 3.</w:t>
      </w:r>
    </w:p>
    <w:p>
      <w:pPr>
        <w:spacing w:after="0" w:line="16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Total proceeds from the exercise of employee stock options amounted to $21,360 in fiscal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17 -- STOCK OPTION AND INCENTIVE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January 1998, the Company adopted, and in January 1999 and January 2000 the Company amended, the Amdocs Limited 1998 Stock Option and Incentive Plan, as amended ("the Plan"). Under the provisions of the Plan, 13,300 Ordinary Shares are available to be granted to officers, directors, employees and consultants. Such options fully vest over two to nine years and have a term of ten years.</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On November 30, 1999, the Company issued 1,103 additional options in connection with the acquisition of ITDS to replace then issued ITDS options. On April 5, 2000, the Company issued 1,654 additional options in connection with the acquisition of Solect to replace then issued Solectoptions. See Note 3.</w:t>
      </w:r>
    </w:p>
    <w:p>
      <w:pPr>
        <w:sectPr>
          <w:pgSz w:w="11900" w:h="16838" w:orient="portrait"/>
          <w:cols w:equalWidth="0" w:num="1">
            <w:col w:w="10239"/>
          </w:cols>
          <w:pgMar w:left="22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summarizes information about share options, as well as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changes during the years ended September 30, 2000, 1999 and 1998:</w:t>
            </w:r>
          </w:p>
        </w:tc>
        <w:tc>
          <w:tcPr>
            <w:tcW w:w="1280" w:type="dxa"/>
            <w:vAlign w:val="bottom"/>
          </w:tcPr>
          <w:p>
            <w:pPr>
              <w:spacing w:after="0"/>
              <w:rPr>
                <w:sz w:val="14"/>
                <w:szCs w:val="14"/>
                <w:color w:val="auto"/>
              </w:rPr>
            </w:pPr>
          </w:p>
        </w:tc>
      </w:tr>
      <w:tr>
        <w:trPr>
          <w:trHeight w:val="663"/>
        </w:trPr>
        <w:tc>
          <w:tcPr>
            <w:tcW w:w="4580" w:type="dxa"/>
            <w:vAlign w:val="bottom"/>
          </w:tcPr>
          <w:p>
            <w:pPr>
              <w:spacing w:after="0"/>
              <w:rPr>
                <w:sz w:val="24"/>
                <w:szCs w:val="2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NUMBER OF</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458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SHARE</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4580" w:type="dxa"/>
            <w:vAlign w:val="bottom"/>
          </w:tcPr>
          <w:p>
            <w:pPr>
              <w:spacing w:after="0"/>
              <w:rPr>
                <w:sz w:val="14"/>
                <w:szCs w:val="14"/>
                <w:color w:val="auto"/>
              </w:rPr>
            </w:pPr>
          </w:p>
        </w:tc>
        <w:tc>
          <w:tcPr>
            <w:tcW w:w="11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OPTIONS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458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Outstanding as of October 1, 1997...................</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3,527.4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3.93</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w:t>
            </w:r>
          </w:p>
        </w:tc>
      </w:tr>
      <w:tr>
        <w:trPr>
          <w:trHeight w:val="166"/>
        </w:trPr>
        <w:tc>
          <w:tcPr>
            <w:tcW w:w="45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Outstanding as of September 30, 1998................</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3,519.6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3.93</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2,752.6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21.67</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6.23</w:t>
            </w:r>
          </w:p>
        </w:tc>
      </w:tr>
      <w:tr>
        <w:trPr>
          <w:trHeight w:val="166"/>
        </w:trPr>
        <w:tc>
          <w:tcPr>
            <w:tcW w:w="45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Outstanding as of September 30, 1999................</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6,236.9</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11.75</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4,948.7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52.82</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Options exchanged in acquisitions...................</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2,756.7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18.24</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(2,057.5)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10.38</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30.11</w:t>
            </w:r>
          </w:p>
        </w:tc>
      </w:tr>
      <w:tr>
        <w:trPr>
          <w:trHeight w:val="166"/>
        </w:trPr>
        <w:tc>
          <w:tcPr>
            <w:tcW w:w="45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Outstanding as of September 30, 2000................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11,228.1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$30.62</w:t>
            </w:r>
          </w:p>
        </w:tc>
      </w:tr>
      <w:tr>
        <w:trPr>
          <w:trHeight w:val="166"/>
        </w:trPr>
        <w:tc>
          <w:tcPr>
            <w:tcW w:w="45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following table summarizes information about share options outstanding as of September 30, 2000:</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EXERCISABLE AS OF</w:t>
            </w:r>
          </w:p>
        </w:tc>
      </w:tr>
      <w:tr>
        <w:trPr>
          <w:trHeight w:val="166"/>
        </w:trPr>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OUTSTANDING AS OF SEPTEMBER 30, 2000</w:t>
            </w:r>
          </w:p>
        </w:tc>
        <w:tc>
          <w:tcPr>
            <w:tcW w:w="1600" w:type="dxa"/>
            <w:vAlign w:val="bottom"/>
          </w:tcPr>
          <w:p>
            <w:pPr>
              <w:spacing w:after="0"/>
              <w:rPr>
                <w:sz w:val="14"/>
                <w:szCs w:val="14"/>
                <w:color w:val="auto"/>
              </w:rPr>
            </w:pPr>
          </w:p>
        </w:tc>
        <w:tc>
          <w:tcPr>
            <w:tcW w:w="28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SEPTEMBER 30, 2000</w:t>
            </w: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0"/>
              </w:rPr>
              <w:t>-------------------------------------------------------------------</w:t>
            </w:r>
          </w:p>
        </w:tc>
        <w:tc>
          <w:tcPr>
            <w:tcW w:w="1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WEIGHTED</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AVERAGE</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REMAINING</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NUMBER</w:t>
            </w:r>
          </w:p>
        </w:tc>
        <w:tc>
          <w:tcPr>
            <w:tcW w:w="1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CONTRACTUAL LIFE</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 AVERAGE</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1260" w:type="dxa"/>
            <w:vAlign w:val="bottom"/>
            <w:gridSpan w:val="3"/>
          </w:tcPr>
          <w:p>
            <w:pPr>
              <w:spacing w:after="0"/>
              <w:rPr>
                <w:sz w:val="20"/>
                <w:szCs w:val="20"/>
                <w:color w:val="auto"/>
              </w:rPr>
            </w:pPr>
            <w:r>
              <w:rPr>
                <w:rFonts w:ascii="Courier New" w:cs="Courier New" w:eastAsia="Courier New" w:hAnsi="Courier New"/>
                <w:sz w:val="14"/>
                <w:szCs w:val="14"/>
                <w:color w:val="auto"/>
              </w:rPr>
              <w:t>EXERCISE PRICE</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OUTSTANDING</w:t>
            </w:r>
          </w:p>
        </w:tc>
        <w:tc>
          <w:tcPr>
            <w:tcW w:w="1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(IN YEARS)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 PRICE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EXERCISABLE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6"/>
              </w:rPr>
              <w:t>--------------</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0 -  3.01</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2,384.4</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7.68</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$ 1.92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640.7</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$ 1.85</w:t>
            </w:r>
          </w:p>
        </w:tc>
      </w:tr>
      <w:tr>
        <w:trPr>
          <w:trHeight w:val="166"/>
        </w:trPr>
        <w:tc>
          <w:tcPr>
            <w:tcW w:w="10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Courier New" w:cs="Courier New" w:eastAsia="Courier New" w:hAnsi="Courier New"/>
                <w:sz w:val="14"/>
                <w:szCs w:val="14"/>
                <w:color w:val="auto"/>
              </w:rPr>
              <w:t>8.75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- 16.75</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1,659.3</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8.22</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11.39</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261.5</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9.27</w:t>
            </w:r>
          </w:p>
        </w:tc>
      </w:tr>
      <w:tr>
        <w:trPr>
          <w:trHeight w:val="166"/>
        </w:trPr>
        <w:tc>
          <w:tcPr>
            <w:tcW w:w="10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Courier New" w:cs="Courier New" w:eastAsia="Courier New" w:hAnsi="Courier New"/>
                <w:sz w:val="14"/>
                <w:szCs w:val="14"/>
                <w:color w:val="auto"/>
                <w:w w:val="95"/>
              </w:rPr>
              <w:t>18.70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- 28.05</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1,990.5</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8.72</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23.56</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88.3</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24.37</w:t>
            </w:r>
          </w:p>
        </w:tc>
      </w:tr>
      <w:tr>
        <w:trPr>
          <w:trHeight w:val="166"/>
        </w:trPr>
        <w:tc>
          <w:tcPr>
            <w:tcW w:w="10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Courier New" w:cs="Courier New" w:eastAsia="Courier New" w:hAnsi="Courier New"/>
                <w:sz w:val="14"/>
                <w:szCs w:val="14"/>
                <w:color w:val="auto"/>
                <w:w w:val="95"/>
              </w:rPr>
              <w:t>28.06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- 37.40</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1,452.3</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9.15</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33.63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31.63</w:t>
            </w:r>
          </w:p>
        </w:tc>
      </w:tr>
      <w:tr>
        <w:trPr>
          <w:trHeight w:val="166"/>
        </w:trPr>
        <w:tc>
          <w:tcPr>
            <w:tcW w:w="10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Courier New" w:cs="Courier New" w:eastAsia="Courier New" w:hAnsi="Courier New"/>
                <w:sz w:val="14"/>
                <w:szCs w:val="14"/>
                <w:color w:val="auto"/>
                <w:w w:val="95"/>
              </w:rPr>
              <w:t>37.41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- 46.74</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205.9</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7.10</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41.39</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125.9</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41.74</w:t>
            </w:r>
          </w:p>
        </w:tc>
      </w:tr>
      <w:tr>
        <w:trPr>
          <w:trHeight w:val="166"/>
        </w:trPr>
        <w:tc>
          <w:tcPr>
            <w:tcW w:w="10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Courier New" w:cs="Courier New" w:eastAsia="Courier New" w:hAnsi="Courier New"/>
                <w:sz w:val="14"/>
                <w:szCs w:val="14"/>
                <w:color w:val="auto"/>
                <w:w w:val="95"/>
              </w:rPr>
              <w:t>53.19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- 65.44</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2,678.5</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9.74</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59.09</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44.8</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64.32</w:t>
            </w:r>
          </w:p>
        </w:tc>
      </w:tr>
      <w:tr>
        <w:trPr>
          <w:trHeight w:val="166"/>
        </w:trPr>
        <w:tc>
          <w:tcPr>
            <w:tcW w:w="10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Courier New" w:cs="Courier New" w:eastAsia="Courier New" w:hAnsi="Courier New"/>
                <w:sz w:val="14"/>
                <w:szCs w:val="14"/>
                <w:color w:val="auto"/>
                <w:w w:val="95"/>
              </w:rPr>
              <w:t>65.45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- 77.25</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857.2</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9.51</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70.82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100.3</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71.96</w:t>
            </w:r>
          </w:p>
        </w:tc>
      </w:tr>
    </w:tbl>
    <w:p>
      <w:pPr>
        <w:spacing w:after="0" w:line="33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following table summarizes information about share options outstanding as of September 30, 1999:</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EXERCISABLE AS OF</w:t>
            </w:r>
          </w:p>
        </w:tc>
      </w:tr>
      <w:tr>
        <w:trPr>
          <w:trHeight w:val="166"/>
        </w:trPr>
        <w:tc>
          <w:tcPr>
            <w:tcW w:w="130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OUTSTANDING AS OF SEPTEMBER 30, 1999</w:t>
            </w:r>
          </w:p>
        </w:tc>
        <w:tc>
          <w:tcPr>
            <w:tcW w:w="1600" w:type="dxa"/>
            <w:vAlign w:val="bottom"/>
          </w:tcPr>
          <w:p>
            <w:pPr>
              <w:spacing w:after="0"/>
              <w:rPr>
                <w:sz w:val="14"/>
                <w:szCs w:val="14"/>
                <w:color w:val="auto"/>
              </w:rPr>
            </w:pPr>
          </w:p>
        </w:tc>
        <w:tc>
          <w:tcPr>
            <w:tcW w:w="28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SEPTEMBER 30, 1999</w:t>
            </w: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9"/>
                <w:szCs w:val="9"/>
                <w:color w:val="auto"/>
                <w:w w:val="70"/>
              </w:rPr>
              <w:t>- -------------------------------------------------------------------</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WEIGHTED</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AVERAGE</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REMAINING</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NUMBER</w:t>
            </w:r>
          </w:p>
        </w:tc>
        <w:tc>
          <w:tcPr>
            <w:tcW w:w="1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CONTRACTUAL LIFE</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 AVERAGE</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13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EXERCISE PRICE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OUTSTANDING</w:t>
            </w:r>
          </w:p>
        </w:tc>
        <w:tc>
          <w:tcPr>
            <w:tcW w:w="1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(IN YEARS)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 PRICE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EXERCISABLE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w w:val="95"/>
              </w:rPr>
              <w:t>- --------------</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jc w:val="right"/>
              <w:ind w:right="452"/>
              <w:spacing w:after="0"/>
              <w:rPr>
                <w:sz w:val="20"/>
                <w:szCs w:val="20"/>
                <w:color w:val="auto"/>
              </w:rPr>
            </w:pPr>
            <w:r>
              <w:rPr>
                <w:rFonts w:ascii="Courier New" w:cs="Courier New" w:eastAsia="Courier New" w:hAnsi="Courier New"/>
                <w:sz w:val="14"/>
                <w:szCs w:val="14"/>
                <w:color w:val="auto"/>
              </w:rPr>
              <w:t>$1.92</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2,492.6</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8.27</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$ 1.92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8.75 - 16.75</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1,613.4</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9.08</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11.62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166.75</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9.08</w:t>
            </w:r>
          </w:p>
        </w:tc>
      </w:tr>
      <w:tr>
        <w:trPr>
          <w:trHeight w:val="166"/>
        </w:trPr>
        <w:tc>
          <w:tcPr>
            <w:tcW w:w="13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21.90 - 23.63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2,130.9</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9.82</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23.34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The</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weighted average grant-date fair value of the</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4,948.7 and 2,752.6</w:t>
            </w:r>
          </w:p>
        </w:tc>
        <w:tc>
          <w:tcPr>
            <w:tcW w:w="520" w:type="dxa"/>
            <w:vAlign w:val="bottom"/>
          </w:tcPr>
          <w:p>
            <w:pPr>
              <w:spacing w:after="0"/>
              <w:rPr>
                <w:sz w:val="14"/>
                <w:szCs w:val="1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options granted amounted to $35.71 and $13.92 for 2000</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and 1999,</w:t>
            </w: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respectively,</w:t>
            </w:r>
          </w:p>
        </w:tc>
      </w:tr>
      <w:tr>
        <w:trPr>
          <w:trHeight w:val="166"/>
        </w:trPr>
        <w:tc>
          <w:tcPr>
            <w:tcW w:w="6380" w:type="dxa"/>
            <w:vAlign w:val="bottom"/>
            <w:gridSpan w:val="4"/>
          </w:tcPr>
          <w:p>
            <w:pPr>
              <w:spacing w:after="0"/>
              <w:rPr>
                <w:sz w:val="20"/>
                <w:szCs w:val="20"/>
                <w:color w:val="auto"/>
              </w:rPr>
            </w:pPr>
            <w:r>
              <w:rPr>
                <w:rFonts w:ascii="Courier New" w:cs="Courier New" w:eastAsia="Courier New" w:hAnsi="Courier New"/>
                <w:sz w:val="14"/>
                <w:szCs w:val="14"/>
                <w:color w:val="auto"/>
              </w:rPr>
              <w:t>per option. The Company utilized the Black-Scholes option-pricing model to</w:t>
            </w:r>
          </w:p>
        </w:tc>
        <w:tc>
          <w:tcPr>
            <w:tcW w:w="52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estimate</w:t>
            </w:r>
          </w:p>
        </w:tc>
        <w:tc>
          <w:tcPr>
            <w:tcW w:w="4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fair value, utilizing the following assumptions for the</w:t>
            </w: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year (all in</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averages):</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63"/>
        </w:trPr>
        <w:tc>
          <w:tcPr>
            <w:tcW w:w="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7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7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5.24%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life of options............................</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9.51</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annual volatility..........................</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1.086</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0.550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0.945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dividend yield.............................</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None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None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None</w:t>
            </w:r>
          </w:p>
        </w:tc>
      </w:tr>
    </w:tbl>
    <w:p>
      <w:pPr>
        <w:spacing w:after="0" w:line="33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Had compensation cost for the Company's options been determined based on fair value at the grant dates for awards made in 2000, 1999 and 1998 in accordance with SFAS 123, the Company's pro forma net income (loss) and earnings (loss) per share would have been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60" w:type="dxa"/>
            <w:vAlign w:val="bottom"/>
            <w:gridSpan w:val="5"/>
          </w:tcPr>
          <w:p>
            <w:pPr>
              <w:jc w:val="right"/>
              <w:ind w:right="268"/>
              <w:spacing w:after="0"/>
              <w:rPr>
                <w:sz w:val="20"/>
                <w:szCs w:val="20"/>
                <w:color w:val="auto"/>
              </w:rPr>
            </w:pPr>
            <w:r>
              <w:rPr>
                <w:rFonts w:ascii="Courier New" w:cs="Courier New" w:eastAsia="Courier New" w:hAnsi="Courier New"/>
                <w:sz w:val="14"/>
                <w:szCs w:val="14"/>
                <w:color w:val="auto"/>
              </w:rPr>
              <w:t>YEAR ENDED SEPTEMBER 30,</w:t>
            </w:r>
          </w:p>
        </w:tc>
        <w:tc>
          <w:tcPr>
            <w:tcW w:w="6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6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331"/>
        </w:trPr>
        <w:tc>
          <w:tcPr>
            <w:tcW w:w="4060" w:type="dxa"/>
            <w:vAlign w:val="bottom"/>
            <w:gridSpan w:val="3"/>
          </w:tcPr>
          <w:p>
            <w:pPr>
              <w:spacing w:after="0"/>
              <w:rPr>
                <w:sz w:val="20"/>
                <w:szCs w:val="20"/>
                <w:color w:val="auto"/>
              </w:rPr>
            </w:pPr>
            <w:r>
              <w:rPr>
                <w:rFonts w:ascii="Courier New" w:cs="Courier New" w:eastAsia="Courier New" w:hAnsi="Courier New"/>
                <w:sz w:val="14"/>
                <w:szCs w:val="14"/>
                <w:color w:val="auto"/>
              </w:rPr>
              <w:t>Pro forma net income (loss)..................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$(23,022)</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$92,624</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$29,463</w:t>
            </w:r>
          </w:p>
        </w:tc>
        <w:tc>
          <w:tcPr>
            <w:tcW w:w="600" w:type="dxa"/>
            <w:vAlign w:val="bottom"/>
          </w:tcPr>
          <w:p>
            <w:pPr>
              <w:spacing w:after="0"/>
              <w:rPr>
                <w:sz w:val="24"/>
                <w:szCs w:val="24"/>
                <w:color w:val="auto"/>
              </w:rPr>
            </w:pPr>
          </w:p>
        </w:tc>
      </w:tr>
      <w:tr>
        <w:trPr>
          <w:trHeight w:val="166"/>
        </w:trPr>
        <w:tc>
          <w:tcPr>
            <w:tcW w:w="4060" w:type="dxa"/>
            <w:vAlign w:val="bottom"/>
            <w:gridSpan w:val="3"/>
          </w:tcPr>
          <w:p>
            <w:pPr>
              <w:spacing w:after="0"/>
              <w:rPr>
                <w:sz w:val="20"/>
                <w:szCs w:val="20"/>
                <w:color w:val="auto"/>
              </w:rPr>
            </w:pPr>
            <w:r>
              <w:rPr>
                <w:rFonts w:ascii="Courier New" w:cs="Courier New" w:eastAsia="Courier New" w:hAnsi="Courier New"/>
                <w:sz w:val="14"/>
                <w:szCs w:val="14"/>
                <w:color w:val="auto"/>
              </w:rPr>
              <w:t>Pro forma diluted earnings (loss) per</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180" w:type="dxa"/>
            <w:vAlign w:val="bottom"/>
            <w:gridSpan w:val="2"/>
          </w:tcPr>
          <w:p>
            <w:pPr>
              <w:ind w:left="180"/>
              <w:spacing w:after="0"/>
              <w:rPr>
                <w:sz w:val="20"/>
                <w:szCs w:val="20"/>
                <w:color w:val="auto"/>
              </w:rPr>
            </w:pPr>
            <w:r>
              <w:rPr>
                <w:rFonts w:ascii="Courier New" w:cs="Courier New" w:eastAsia="Courier New" w:hAnsi="Courier New"/>
                <w:sz w:val="5"/>
                <w:szCs w:val="5"/>
                <w:color w:val="auto"/>
                <w:w w:val="75"/>
              </w:rPr>
              <w:t>share......................................</w:t>
            </w:r>
          </w:p>
        </w:tc>
        <w:tc>
          <w:tcPr>
            <w:tcW w:w="28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(0.11)</w:t>
            </w: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0.46</w:t>
            </w:r>
          </w:p>
        </w:tc>
        <w:tc>
          <w:tcPr>
            <w:tcW w:w="6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0.18</w:t>
            </w:r>
          </w:p>
        </w:tc>
        <w:tc>
          <w:tcPr>
            <w:tcW w:w="600" w:type="dxa"/>
            <w:vAlign w:val="bottom"/>
          </w:tcPr>
          <w:p>
            <w:pPr>
              <w:spacing w:after="0"/>
              <w:rPr>
                <w:sz w:val="14"/>
                <w:szCs w:val="14"/>
                <w:color w:val="auto"/>
              </w:rPr>
            </w:pPr>
          </w:p>
        </w:tc>
      </w:tr>
      <w:tr>
        <w:trPr>
          <w:trHeight w:val="497"/>
        </w:trPr>
        <w:tc>
          <w:tcPr>
            <w:tcW w:w="960" w:type="dxa"/>
            <w:vAlign w:val="bottom"/>
          </w:tcPr>
          <w:p>
            <w:pPr>
              <w:spacing w:after="0"/>
              <w:rPr>
                <w:sz w:val="20"/>
                <w:szCs w:val="20"/>
                <w:color w:val="auto"/>
              </w:rPr>
            </w:pPr>
            <w:r>
              <w:rPr>
                <w:rFonts w:ascii="Courier New" w:cs="Courier New" w:eastAsia="Courier New" w:hAnsi="Courier New"/>
                <w:sz w:val="14"/>
                <w:szCs w:val="14"/>
                <w:color w:val="auto"/>
              </w:rPr>
              <w:t>NOTE 18 --</w:t>
            </w:r>
          </w:p>
        </w:tc>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6300" w:type="dxa"/>
            <w:vAlign w:val="bottom"/>
            <w:gridSpan w:val="7"/>
          </w:tcPr>
          <w:p>
            <w:pPr>
              <w:ind w:left="440"/>
              <w:spacing w:after="0"/>
              <w:rPr>
                <w:sz w:val="20"/>
                <w:szCs w:val="20"/>
                <w:color w:val="auto"/>
              </w:rPr>
            </w:pPr>
            <w:r>
              <w:rPr>
                <w:rFonts w:ascii="Courier New" w:cs="Courier New" w:eastAsia="Courier New" w:hAnsi="Courier New"/>
                <w:sz w:val="14"/>
                <w:szCs w:val="14"/>
                <w:color w:val="auto"/>
              </w:rPr>
              <w:t>The following table sets forth the computation of basic and diluted</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060" w:type="dxa"/>
            <w:vAlign w:val="bottom"/>
            <w:gridSpan w:val="3"/>
          </w:tcPr>
          <w:p>
            <w:pPr>
              <w:spacing w:after="0"/>
              <w:rPr>
                <w:sz w:val="20"/>
                <w:szCs w:val="20"/>
                <w:color w:val="auto"/>
              </w:rPr>
            </w:pPr>
            <w:r>
              <w:rPr>
                <w:rFonts w:ascii="Courier New" w:cs="Courier New" w:eastAsia="Courier New" w:hAnsi="Courier New"/>
                <w:sz w:val="14"/>
                <w:szCs w:val="14"/>
                <w:color w:val="auto"/>
              </w:rPr>
              <w:t>earnings per share:</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63"/>
        </w:trPr>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YEAR</w:t>
            </w:r>
          </w:p>
        </w:tc>
        <w:tc>
          <w:tcPr>
            <w:tcW w:w="202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ENDED SEPTEMBER 30,</w:t>
            </w:r>
          </w:p>
        </w:tc>
      </w:tr>
      <w:tr>
        <w:trPr>
          <w:trHeight w:val="166"/>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2000</w:t>
            </w:r>
          </w:p>
        </w:tc>
        <w:tc>
          <w:tcPr>
            <w:tcW w:w="40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06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3"/>
              </w:rPr>
              <w:t>Income before cumulative effect..................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5,978</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$ 98,543</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$ 30,384</w:t>
            </w:r>
          </w:p>
        </w:tc>
      </w:tr>
      <w:tr>
        <w:trPr>
          <w:trHeight w:val="166"/>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Denominator:</w:t>
            </w:r>
          </w:p>
        </w:tc>
        <w:tc>
          <w:tcPr>
            <w:tcW w:w="2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Denominator</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for basic earnings per</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share</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weighted average number of shares</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060" w:type="dxa"/>
            <w:vAlign w:val="bottom"/>
            <w:gridSpan w:val="3"/>
          </w:tcPr>
          <w:p>
            <w:pPr>
              <w:ind w:left="440"/>
              <w:spacing w:after="0"/>
              <w:rPr>
                <w:sz w:val="20"/>
                <w:szCs w:val="20"/>
                <w:color w:val="auto"/>
              </w:rPr>
            </w:pPr>
            <w:r>
              <w:rPr>
                <w:rFonts w:ascii="Courier New" w:cs="Courier New" w:eastAsia="Courier New" w:hAnsi="Courier New"/>
                <w:sz w:val="14"/>
                <w:szCs w:val="14"/>
                <w:color w:val="auto"/>
                <w:w w:val="93"/>
              </w:rPr>
              <w:t>outstanding(*)................................</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212,005</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197,436</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158,528</w:t>
            </w:r>
          </w:p>
        </w:tc>
      </w:tr>
      <w:tr>
        <w:trPr>
          <w:trHeight w:val="166"/>
        </w:trPr>
        <w:tc>
          <w:tcPr>
            <w:tcW w:w="48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Effect of dilutive stock options granted.........</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4,930</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2,826</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914</w:t>
            </w:r>
          </w:p>
        </w:tc>
      </w:tr>
      <w:tr>
        <w:trPr>
          <w:trHeight w:val="166"/>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Denominator</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for dilutive earnings per</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share</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adjusted weighted average shares and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060" w:type="dxa"/>
            <w:vAlign w:val="bottom"/>
            <w:gridSpan w:val="3"/>
          </w:tcPr>
          <w:p>
            <w:pPr>
              <w:ind w:left="440"/>
              <w:spacing w:after="0"/>
              <w:rPr>
                <w:sz w:val="20"/>
                <w:szCs w:val="20"/>
                <w:color w:val="auto"/>
              </w:rPr>
            </w:pPr>
            <w:r>
              <w:rPr>
                <w:rFonts w:ascii="Courier New" w:cs="Courier New" w:eastAsia="Courier New" w:hAnsi="Courier New"/>
                <w:sz w:val="14"/>
                <w:szCs w:val="14"/>
                <w:color w:val="auto"/>
                <w:w w:val="93"/>
              </w:rPr>
              <w:t>assumed conversions(*)........................</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216,935</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200,262</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159,442</w:t>
            </w:r>
          </w:p>
        </w:tc>
      </w:tr>
      <w:tr>
        <w:trPr>
          <w:trHeight w:val="166"/>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gridSpan w:val="3"/>
          </w:tcPr>
          <w:p>
            <w:pPr>
              <w:spacing w:after="0"/>
              <w:rPr>
                <w:sz w:val="20"/>
                <w:szCs w:val="20"/>
                <w:color w:val="auto"/>
              </w:rPr>
            </w:pPr>
            <w:r>
              <w:rPr>
                <w:rFonts w:ascii="Courier New" w:cs="Courier New" w:eastAsia="Courier New" w:hAnsi="Courier New"/>
                <w:sz w:val="14"/>
                <w:szCs w:val="14"/>
                <w:color w:val="auto"/>
                <w:w w:val="94"/>
              </w:rPr>
              <w:t>Basic earnings per share...........................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r>
      <w:tr>
        <w:trPr>
          <w:trHeight w:val="166"/>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gridSpan w:val="3"/>
          </w:tcPr>
          <w:p>
            <w:pPr>
              <w:spacing w:after="0"/>
              <w:rPr>
                <w:sz w:val="20"/>
                <w:szCs w:val="20"/>
                <w:color w:val="auto"/>
              </w:rPr>
            </w:pPr>
            <w:r>
              <w:rPr>
                <w:rFonts w:ascii="Courier New" w:cs="Courier New" w:eastAsia="Courier New" w:hAnsi="Courier New"/>
                <w:sz w:val="14"/>
                <w:szCs w:val="14"/>
                <w:color w:val="auto"/>
                <w:w w:val="94"/>
              </w:rPr>
              <w:t>Diluted earnings per share.........................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0.49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r>
      <w:tr>
        <w:trPr>
          <w:trHeight w:val="166"/>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right="3419" w:hanging="421"/>
        <w:spacing w:after="0" w:line="255" w:lineRule="auto"/>
        <w:tabs>
          <w:tab w:leader="none" w:pos="8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number of shares outstanding includes the Solect exchangeable shares.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19 -- SEGMENT INFORMATION AND SALES TO SIGNIFICANT CUSTOMERS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GEOGRAPHIC INFORMATION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following is a summary of revenue and long-lived assets by geographic area. Revenue is attributed to geographic region based on the location of the customers.</w:t>
      </w:r>
    </w:p>
    <w:p>
      <w:pPr>
        <w:sectPr>
          <w:pgSz w:w="11900" w:h="16838" w:orient="portrait"/>
          <w:cols w:equalWidth="0" w:num="1">
            <w:col w:w="10239"/>
          </w:cols>
          <w:pgMar w:left="220" w:top="285"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2"/>
        </w:trPr>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25</w:t>
            </w: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30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AMDOCS LIMITED</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(CONTINUED)</w:t>
            </w:r>
          </w:p>
        </w:tc>
        <w:tc>
          <w:tcPr>
            <w:tcW w:w="76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414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(IN THOUSANDS, EXCEPT PER SHARE DATA)</w:t>
            </w:r>
          </w:p>
        </w:tc>
        <w:tc>
          <w:tcPr>
            <w:tcW w:w="760" w:type="dxa"/>
            <w:vAlign w:val="bottom"/>
          </w:tcPr>
          <w:p>
            <w:pPr>
              <w:spacing w:after="0"/>
              <w:rPr>
                <w:sz w:val="14"/>
                <w:szCs w:val="14"/>
                <w:color w:val="auto"/>
              </w:rPr>
            </w:pPr>
          </w:p>
        </w:tc>
      </w:tr>
      <w:tr>
        <w:trPr>
          <w:trHeight w:val="663"/>
        </w:trPr>
        <w:tc>
          <w:tcPr>
            <w:tcW w:w="1820" w:type="dxa"/>
            <w:vAlign w:val="bottom"/>
          </w:tcPr>
          <w:p>
            <w:pPr>
              <w:spacing w:after="0"/>
              <w:rPr>
                <w:sz w:val="24"/>
                <w:szCs w:val="24"/>
                <w:color w:val="auto"/>
              </w:rPr>
            </w:pPr>
          </w:p>
        </w:tc>
        <w:tc>
          <w:tcPr>
            <w:tcW w:w="490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1820" w:type="dxa"/>
            <w:vAlign w:val="bottom"/>
          </w:tcPr>
          <w:p>
            <w:pPr>
              <w:spacing w:after="0"/>
              <w:rPr>
                <w:sz w:val="14"/>
                <w:szCs w:val="14"/>
                <w:color w:val="auto"/>
              </w:rPr>
            </w:pPr>
          </w:p>
        </w:tc>
        <w:tc>
          <w:tcPr>
            <w:tcW w:w="49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820" w:type="dxa"/>
            <w:vAlign w:val="bottom"/>
          </w:tcPr>
          <w:p>
            <w:pPr>
              <w:spacing w:after="0"/>
              <w:rPr>
                <w:sz w:val="14"/>
                <w:szCs w:val="14"/>
                <w:color w:val="auto"/>
              </w:rPr>
            </w:pP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0"/>
                <w:szCs w:val="10"/>
                <w:color w:val="auto"/>
                <w:w w:val="71"/>
              </w:rPr>
              <w:t>North America.............................</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510,129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$226,387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$210,867</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0"/>
                <w:szCs w:val="10"/>
                <w:color w:val="auto"/>
                <w:w w:val="71"/>
              </w:rPr>
              <w:t>Europe....................................</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474,300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261,726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109,752</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0"/>
                <w:szCs w:val="10"/>
                <w:color w:val="auto"/>
                <w:w w:val="71"/>
              </w:rPr>
              <w:t>Australia.................................</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51,093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61,237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33,215</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0"/>
                <w:szCs w:val="10"/>
                <w:color w:val="auto"/>
                <w:w w:val="71"/>
              </w:rPr>
              <w:t>Other.....................................</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82,798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77,505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49,933</w:t>
            </w:r>
          </w:p>
        </w:tc>
      </w:tr>
      <w:tr>
        <w:trPr>
          <w:trHeight w:val="166"/>
        </w:trPr>
        <w:tc>
          <w:tcPr>
            <w:tcW w:w="1820" w:type="dxa"/>
            <w:vAlign w:val="bottom"/>
          </w:tcPr>
          <w:p>
            <w:pPr>
              <w:spacing w:after="0"/>
              <w:rPr>
                <w:sz w:val="14"/>
                <w:szCs w:val="14"/>
                <w:color w:val="auto"/>
              </w:rPr>
            </w:pP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9"/>
                <w:szCs w:val="9"/>
                <w:color w:val="auto"/>
                <w:w w:val="74"/>
              </w:rPr>
              <w:t>Total...................................</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$1,118,320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$626,855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$403,767</w:t>
            </w:r>
          </w:p>
        </w:tc>
      </w:tr>
      <w:tr>
        <w:trPr>
          <w:trHeight w:val="166"/>
        </w:trPr>
        <w:tc>
          <w:tcPr>
            <w:tcW w:w="1820" w:type="dxa"/>
            <w:vAlign w:val="bottom"/>
          </w:tcPr>
          <w:p>
            <w:pPr>
              <w:spacing w:after="0"/>
              <w:rPr>
                <w:sz w:val="14"/>
                <w:szCs w:val="14"/>
                <w:color w:val="auto"/>
              </w:rPr>
            </w:pP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LONG-LIVED ASSETS</w:t>
            </w: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0"/>
                <w:szCs w:val="10"/>
                <w:color w:val="auto"/>
                <w:w w:val="71"/>
              </w:rPr>
              <w:t>North America(*)..........................</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$1,041,383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$ 35,228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$ 30,441</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0"/>
                <w:szCs w:val="10"/>
                <w:color w:val="auto"/>
                <w:w w:val="71"/>
              </w:rPr>
              <w:t>Israel(**)................................</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85,518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61,472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38,917</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0"/>
                <w:szCs w:val="10"/>
                <w:color w:val="auto"/>
                <w:w w:val="71"/>
              </w:rPr>
              <w:t>Other.....................................</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33,466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18,772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7,378</w:t>
            </w:r>
          </w:p>
        </w:tc>
      </w:tr>
      <w:tr>
        <w:trPr>
          <w:trHeight w:val="166"/>
        </w:trPr>
        <w:tc>
          <w:tcPr>
            <w:tcW w:w="1820" w:type="dxa"/>
            <w:vAlign w:val="bottom"/>
          </w:tcPr>
          <w:p>
            <w:pPr>
              <w:spacing w:after="0"/>
              <w:rPr>
                <w:sz w:val="14"/>
                <w:szCs w:val="14"/>
                <w:color w:val="auto"/>
              </w:rPr>
            </w:pP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$1,160,367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$115,472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$ 76,736</w:t>
            </w:r>
          </w:p>
        </w:tc>
      </w:tr>
      <w:tr>
        <w:trPr>
          <w:trHeight w:val="166"/>
        </w:trPr>
        <w:tc>
          <w:tcPr>
            <w:tcW w:w="1820" w:type="dxa"/>
            <w:vAlign w:val="bottom"/>
          </w:tcPr>
          <w:p>
            <w:pPr>
              <w:spacing w:after="0"/>
              <w:rPr>
                <w:sz w:val="14"/>
                <w:szCs w:val="14"/>
                <w:color w:val="auto"/>
              </w:rPr>
            </w:pP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40" w:right="3779" w:hanging="343"/>
        <w:spacing w:after="0" w:line="255" w:lineRule="auto"/>
        <w:tabs>
          <w:tab w:leader="none" w:pos="104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goodwill, computer software and intellectual property rights.</w:t>
      </w:r>
    </w:p>
    <w:p>
      <w:pPr>
        <w:spacing w:after="0" w:line="160" w:lineRule="exact"/>
        <w:rPr>
          <w:sz w:val="20"/>
          <w:szCs w:val="20"/>
          <w:color w:val="auto"/>
        </w:rPr>
      </w:pPr>
    </w:p>
    <w:p>
      <w:pPr>
        <w:ind w:left="1120" w:hanging="423"/>
        <w:spacing w:after="0"/>
        <w:tabs>
          <w:tab w:leader="none" w:pos="11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computers and vehicles.</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REVENUE AND CUSTOMER INFORMATION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Customer Care, Billing and Order Management systems ("CC&amp;B Systems") include systems for wireline, wireless, broadband, electronic and mobile commerce and IP services. Directory includes directory sales and publishing systems for publishers of both traditional printed yellow pages and white pages directories and electronic Internet directories.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3720" w:type="dxa"/>
            <w:vAlign w:val="bottom"/>
          </w:tcPr>
          <w:p>
            <w:pPr>
              <w:spacing w:after="0"/>
              <w:rPr>
                <w:sz w:val="14"/>
                <w:szCs w:val="14"/>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72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CC&amp;B Systems..............................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986,553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$468,216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$251,829</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Directory.................................</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131,767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158,639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151,938</w:t>
            </w:r>
          </w:p>
        </w:tc>
      </w:tr>
      <w:tr>
        <w:trPr>
          <w:trHeight w:val="166"/>
        </w:trPr>
        <w:tc>
          <w:tcPr>
            <w:tcW w:w="372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1,118,320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$626,855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$403,767</w:t>
            </w:r>
          </w:p>
        </w:tc>
      </w:tr>
      <w:tr>
        <w:trPr>
          <w:trHeight w:val="166"/>
        </w:trPr>
        <w:tc>
          <w:tcPr>
            <w:tcW w:w="372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SALES TO SIGNIFICANT CUSTOMERS</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4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following table summarizes the percentage of sales to</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significant</w:t>
            </w:r>
          </w:p>
        </w:tc>
      </w:tr>
      <w:tr>
        <w:trPr>
          <w:trHeight w:val="166"/>
        </w:trPr>
        <w:tc>
          <w:tcPr>
            <w:tcW w:w="54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customers groups (when they exceed 10 percent of total revenue</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for the</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year).</w:t>
            </w:r>
          </w:p>
        </w:tc>
      </w:tr>
      <w:tr>
        <w:trPr>
          <w:trHeight w:val="663"/>
        </w:trPr>
        <w:tc>
          <w:tcPr>
            <w:tcW w:w="7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7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SEPTEMBER</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30,</w:t>
            </w:r>
          </w:p>
        </w:tc>
      </w:tr>
      <w:tr>
        <w:trPr>
          <w:trHeight w:val="166"/>
        </w:trPr>
        <w:tc>
          <w:tcPr>
            <w:tcW w:w="7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0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7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7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331"/>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Customer</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720" w:type="dxa"/>
            <w:vAlign w:val="bottom"/>
          </w:tcPr>
          <w:p>
            <w:pPr>
              <w:ind w:left="380"/>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Customer</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7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16</w:t>
            </w:r>
          </w:p>
        </w:tc>
        <w:tc>
          <w:tcPr>
            <w:tcW w:w="7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21</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Customer</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16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hanging="352"/>
        <w:spacing w:after="0"/>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10 percent of total revenue</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20 -- FINANCIAL INSTRUMENTS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enters into forward contracts to sell foreign currency in order to hedge its exposure associated with most firm commitments from customers in non-U.S. dollar-based currencies and treats these</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accounting purposes as fair value hedges. The Company also enters into forward contracts in foreign currency to reduce the exposure associated with estimated receipts from customers and with liabilities (primarily personnel costs), in non-U.S. dollar-based currencies and treats these as cash flow hedges. The derivative financial instruments are afforded hedge accounting because they are effective in managing foreign exchange risks and are appropriately assigned to the underlying exposures. The Company does not engage in currency speculation. Generally, the Company measures the differential between forward rates and spot rates on forward exchange contracts as the inherent ineffectiveness of a hedging arrangement. Accordingly, changes in the fair value of forward exchange contracts, which are classified as fair value hedges, offset the change in the fair value of the hedged item to the extent of the arrangement's effectiveness. The effective portion of the change in the fair value of forward exchange contracts, which are classified as cash flow hedges, is recorded as comprehensive income until the underlying transaction is recognized in earnings.</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describes forward contracts outstanding: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AS OF SEPTEMBER 30,</w:t>
            </w:r>
          </w:p>
        </w:tc>
      </w:tr>
      <w:tr>
        <w:trPr>
          <w:trHeight w:val="166"/>
        </w:trPr>
        <w:tc>
          <w:tcPr>
            <w:tcW w:w="48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8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Contracts treated as fair value hedges for the sale of:</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British pounds.......................................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$ 19,346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$ 24,567</w:t>
            </w:r>
          </w:p>
        </w:tc>
      </w:tr>
      <w:tr>
        <w:trPr>
          <w:trHeight w:val="166"/>
        </w:trPr>
        <w:tc>
          <w:tcPr>
            <w:tcW w:w="4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Canadian dollars.....................................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11,394</w:t>
            </w:r>
          </w:p>
        </w:tc>
      </w:tr>
      <w:tr>
        <w:trPr>
          <w:trHeight w:val="166"/>
        </w:trPr>
        <w:tc>
          <w:tcPr>
            <w:tcW w:w="4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Austrian schillings..................................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10,779</w:t>
            </w:r>
          </w:p>
        </w:tc>
      </w:tr>
      <w:tr>
        <w:trPr>
          <w:trHeight w:val="166"/>
        </w:trPr>
        <w:tc>
          <w:tcPr>
            <w:tcW w:w="4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Japanese yen.........................................</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770</w:t>
            </w:r>
          </w:p>
        </w:tc>
      </w:tr>
      <w:tr>
        <w:trPr>
          <w:trHeight w:val="166"/>
        </w:trPr>
        <w:tc>
          <w:tcPr>
            <w:tcW w:w="4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currencies.....................................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4,658</w:t>
            </w:r>
          </w:p>
        </w:tc>
      </w:tr>
      <w:tr>
        <w:trPr>
          <w:trHeight w:val="166"/>
        </w:trPr>
        <w:tc>
          <w:tcPr>
            <w:tcW w:w="48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$ 27,856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$ 52,168</w:t>
            </w:r>
          </w:p>
        </w:tc>
      </w:tr>
      <w:tr>
        <w:trPr>
          <w:trHeight w:val="166"/>
        </w:trPr>
        <w:tc>
          <w:tcPr>
            <w:tcW w:w="48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Contracts treated as cash flow hedges for the purchase</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jc w:val="right"/>
              <w:ind w:right="4328"/>
              <w:spacing w:after="0"/>
              <w:rPr>
                <w:sz w:val="20"/>
                <w:szCs w:val="20"/>
                <w:color w:val="auto"/>
              </w:rPr>
            </w:pPr>
            <w:r>
              <w:rPr>
                <w:rFonts w:ascii="Courier New" w:cs="Courier New" w:eastAsia="Courier New" w:hAnsi="Courier New"/>
                <w:sz w:val="14"/>
                <w:szCs w:val="14"/>
                <w:color w:val="auto"/>
              </w:rPr>
              <w:t>of:</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Israeli shekels......................................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$196,700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$145,000</w:t>
            </w:r>
          </w:p>
        </w:tc>
      </w:tr>
      <w:tr>
        <w:trPr>
          <w:trHeight w:val="166"/>
        </w:trPr>
        <w:tc>
          <w:tcPr>
            <w:tcW w:w="4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Australian dollars...................................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22,240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31,655</w:t>
            </w:r>
          </w:p>
        </w:tc>
      </w:tr>
      <w:tr>
        <w:trPr>
          <w:trHeight w:val="166"/>
        </w:trPr>
        <w:tc>
          <w:tcPr>
            <w:tcW w:w="48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$218,940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$176,655</w:t>
            </w:r>
          </w:p>
        </w:tc>
      </w:tr>
      <w:tr>
        <w:trPr>
          <w:trHeight w:val="166"/>
        </w:trPr>
        <w:tc>
          <w:tcPr>
            <w:tcW w:w="48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fair values of the forward derivatives were $3,016 and $(3,412) on September 30, 2000 and 1999, respectively. The Company currently enters into forward exchange contracts exclusively with major financial institutions.</w:t>
      </w:r>
    </w:p>
    <w:p>
      <w:pPr>
        <w:sectPr>
          <w:pgSz w:w="11900" w:h="16838" w:orient="portrait"/>
          <w:cols w:equalWidth="0" w:num="1">
            <w:col w:w="10239"/>
          </w:cols>
          <w:pgMar w:left="220" w:top="285"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2"/>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27</w:t>
            </w:r>
          </w:p>
        </w:tc>
        <w:tc>
          <w:tcPr>
            <w:tcW w:w="3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3180" w:type="dxa"/>
            <w:vAlign w:val="bottom"/>
          </w:tcPr>
          <w:p>
            <w:pPr>
              <w:ind w:left="1900"/>
              <w:spacing w:after="0"/>
              <w:rPr>
                <w:sz w:val="20"/>
                <w:szCs w:val="20"/>
                <w:color w:val="auto"/>
              </w:rPr>
            </w:pPr>
            <w:r>
              <w:rPr>
                <w:rFonts w:ascii="Courier New" w:cs="Courier New" w:eastAsia="Courier New" w:hAnsi="Courier New"/>
                <w:sz w:val="14"/>
                <w:szCs w:val="14"/>
                <w:color w:val="auto"/>
              </w:rPr>
              <w:t>AMDOCS LIMITED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8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(CONTINUED)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45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(IN THOUSANDS, EXCEPT PER SHARE DATA)</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NOTE 21 --</w:t>
            </w:r>
          </w:p>
        </w:tc>
        <w:tc>
          <w:tcPr>
            <w:tcW w:w="4560" w:type="dxa"/>
            <w:vAlign w:val="bottom"/>
            <w:gridSpan w:val="3"/>
          </w:tcPr>
          <w:p>
            <w:pPr>
              <w:spacing w:after="0"/>
              <w:rPr>
                <w:sz w:val="20"/>
                <w:szCs w:val="20"/>
                <w:color w:val="auto"/>
              </w:rPr>
            </w:pPr>
            <w:r>
              <w:rPr>
                <w:rFonts w:ascii="Courier New" w:cs="Courier New" w:eastAsia="Courier New" w:hAnsi="Courier New"/>
                <w:sz w:val="14"/>
                <w:szCs w:val="14"/>
                <w:color w:val="auto"/>
              </w:rPr>
              <w:t>SELECTED QUARTERLY RESULTS OF OPERATIONS (UNAUDITED)</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7460" w:type="dxa"/>
            <w:vAlign w:val="bottom"/>
            <w:gridSpan w:val="7"/>
          </w:tcPr>
          <w:p>
            <w:pPr>
              <w:ind w:left="440"/>
              <w:spacing w:after="0"/>
              <w:rPr>
                <w:sz w:val="20"/>
                <w:szCs w:val="20"/>
                <w:color w:val="auto"/>
              </w:rPr>
            </w:pPr>
            <w:r>
              <w:rPr>
                <w:rFonts w:ascii="Courier New" w:cs="Courier New" w:eastAsia="Courier New" w:hAnsi="Courier New"/>
                <w:sz w:val="14"/>
                <w:szCs w:val="14"/>
                <w:color w:val="auto"/>
              </w:rPr>
              <w:t>The following are details of the unaudited quarterly results of operations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for the three months ended: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SEPTEMBER 30,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JUNE 30,</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MARCH 31,</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9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Revenue........................................</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$315,067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$297,002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270,745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235,506</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(loss)........................</w:t>
            </w:r>
          </w:p>
        </w:tc>
        <w:tc>
          <w:tcPr>
            <w:tcW w:w="4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20,955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(39,806)</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60,115</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32,860</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w:t>
            </w:r>
          </w:p>
        </w:tc>
        <w:tc>
          <w:tcPr>
            <w:tcW w:w="4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12,993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(67,159)</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42,863</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17,281</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4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(0.31)</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0.21</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4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(0.31)</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0.08</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3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Revenue........................................</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$182,716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$164,884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147,830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131,425</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4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43,430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37,782</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35,625</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30,161</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29,839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25,421</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23,141</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20,142</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Basic and diluted earnings per share...........</w:t>
            </w:r>
          </w:p>
        </w:tc>
        <w:tc>
          <w:tcPr>
            <w:tcW w:w="4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0.13</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0.12</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3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Revenue........................................</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$116,704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$106,497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94,008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86,558</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4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26,104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22,821</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19,125</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16,845</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11,598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6,443</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4,105</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7,961</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Basic and diluted earnings per share...........</w:t>
            </w:r>
          </w:p>
        </w:tc>
        <w:tc>
          <w:tcPr>
            <w:tcW w:w="4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0.04</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0.03</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w:t>
            </w:r>
          </w:p>
        </w:tc>
      </w:tr>
    </w:tbl>
    <w:p>
      <w:pPr>
        <w:spacing w:after="0" w:line="335"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The fiscal quarters ended December 31, 1999 and June 30, 2000 include purchased in-process research and development and other indirect acquisition-related costs of $19,876 and $55,741, respectively.</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Item 2. Financial Statement Schedule</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VALUATION AND QUALIFYING ACCOUNTS</w:t>
      </w:r>
    </w:p>
    <w:p>
      <w:pPr>
        <w:sectPr>
          <w:pgSz w:w="11900" w:h="16838" w:orient="portrait"/>
          <w:cols w:equalWidth="0" w:num="1">
            <w:col w:w="11540"/>
          </w:cols>
          <w:pgMar w:left="220" w:top="28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BALANCE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BEGINNING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PERIOD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ADDITIONS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CHARGED TO</w:t>
      </w:r>
      <w:r>
        <w:rPr>
          <w:sz w:val="20"/>
          <w:szCs w:val="20"/>
          <w:color w:val="auto"/>
        </w:rPr>
        <w:tab/>
      </w:r>
      <w:r>
        <w:rPr>
          <w:rFonts w:ascii="Courier New" w:cs="Courier New" w:eastAsia="Courier New" w:hAnsi="Courier New"/>
          <w:sz w:val="14"/>
          <w:szCs w:val="14"/>
          <w:color w:val="auto"/>
        </w:rPr>
        <w:t>CHARGED TO</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00"/>
        <w:spacing w:after="0"/>
        <w:tabs>
          <w:tab w:leader="none" w:pos="1460" w:val="left"/>
        </w:tabs>
        <w:rPr>
          <w:sz w:val="20"/>
          <w:szCs w:val="20"/>
          <w:color w:val="auto"/>
        </w:rPr>
      </w:pP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ACCOUNTS</w:t>
      </w:r>
    </w:p>
    <w:p>
      <w:pPr>
        <w:spacing w:after="0" w:line="7" w:lineRule="exact"/>
        <w:rPr>
          <w:sz w:val="20"/>
          <w:szCs w:val="20"/>
          <w:color w:val="auto"/>
        </w:rPr>
      </w:pPr>
    </w:p>
    <w:p>
      <w:pPr>
        <w:ind w:left="180"/>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DEDUCTIONS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AT 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PERIOD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5">
            <w:col w:w="4020" w:space="720"/>
            <w:col w:w="1220" w:space="500"/>
            <w:col w:w="2500" w:space="360"/>
            <w:col w:w="1020" w:space="260"/>
            <w:col w:w="940"/>
          </w:cols>
          <w:pgMar w:left="220" w:top="2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Allowances for doubtful debts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allowances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2,411</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5,024(*)</w:t>
      </w:r>
    </w:p>
    <w:p>
      <w:pPr>
        <w:spacing w:after="0" w:line="7"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4"/>
          <w:szCs w:val="14"/>
          <w:color w:val="auto"/>
        </w:rPr>
        <w:t>14,332(**)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6,868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16,743</w:t>
      </w:r>
    </w:p>
    <w:p>
      <w:pPr>
        <w:spacing w:after="0" w:line="173" w:lineRule="exact"/>
        <w:rPr>
          <w:sz w:val="20"/>
          <w:szCs w:val="20"/>
          <w:color w:val="auto"/>
        </w:rPr>
      </w:pPr>
    </w:p>
    <w:p>
      <w:pPr>
        <w:sectPr>
          <w:pgSz w:w="11900" w:h="16838" w:orient="portrait"/>
          <w:cols w:equalWidth="0" w:num="6">
            <w:col w:w="4800" w:space="720"/>
            <w:col w:w="400" w:space="720"/>
            <w:col w:w="920" w:space="720"/>
            <w:col w:w="1000" w:space="720"/>
            <w:col w:w="180" w:space="600"/>
            <w:col w:w="760"/>
          </w:cols>
          <w:pgMar w:left="220" w:top="2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Allowances for doubtful debts that we acquired as part of our acquisition of ITDS.</w:t>
      </w:r>
    </w:p>
    <w:p>
      <w:pPr>
        <w:spacing w:after="0" w:line="173" w:lineRule="exact"/>
        <w:rPr>
          <w:sz w:val="20"/>
          <w:szCs w:val="20"/>
          <w:color w:val="auto"/>
        </w:rPr>
      </w:pPr>
    </w:p>
    <w:p>
      <w:pPr>
        <w:ind w:left="440" w:right="3440" w:hanging="432"/>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Valuation allowance related to accumulated tax benefit from losses we acquired as part of our acquisition of Solect.</w:t>
      </w:r>
    </w:p>
    <w:p>
      <w:pPr>
        <w:sectPr>
          <w:pgSz w:w="11900" w:h="16838" w:orient="portrait"/>
          <w:cols w:equalWidth="0" w:num="1">
            <w:col w:w="11540"/>
          </w:cols>
          <w:pgMar w:left="220" w:top="285" w:right="139"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AMDOCS LIMITED</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INFORMATION</w:t>
      </w:r>
    </w:p>
    <w:p>
      <w:pPr>
        <w:spacing w:after="0" w:line="173" w:lineRule="exact"/>
        <w:rPr>
          <w:sz w:val="20"/>
          <w:szCs w:val="20"/>
          <w:color w:val="auto"/>
        </w:rPr>
      </w:pPr>
    </w:p>
    <w:p>
      <w:pPr>
        <w:sectPr>
          <w:pgSz w:w="11900" w:h="16838" w:orient="portrait"/>
          <w:cols w:equalWidth="0" w:num="2">
            <w:col w:w="620" w:space="160"/>
            <w:col w:w="945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Exhibits</w:t>
      </w:r>
    </w:p>
    <w:p>
      <w:pPr>
        <w:spacing w:after="0" w:line="200" w:lineRule="exact"/>
        <w:rPr>
          <w:sz w:val="20"/>
          <w:szCs w:val="20"/>
          <w:color w:val="auto"/>
        </w:rPr>
      </w:pPr>
    </w:p>
    <w:p>
      <w:pPr>
        <w:sectPr>
          <w:pgSz w:w="11900" w:h="16838" w:orient="portrait"/>
          <w:cols w:equalWidth="0" w:num="2">
            <w:col w:w="1380" w:space="360"/>
            <w:col w:w="8499"/>
          </w:cols>
          <w:pgMar w:left="220" w:top="285" w:right="1440" w:bottom="1440" w:gutter="0" w:footer="0" w:header="0"/>
          <w:type w:val="continuous"/>
        </w:sectPr>
      </w:pPr>
    </w:p>
    <w:p>
      <w:pPr>
        <w:spacing w:after="0" w:line="1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Exhibit No.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780" w:space="720"/>
            <w:col w:w="773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w:t>
      </w:r>
    </w:p>
    <w:p>
      <w:pPr>
        <w:spacing w:after="0" w:line="173" w:lineRule="exact"/>
        <w:rPr>
          <w:sz w:val="20"/>
          <w:szCs w:val="20"/>
          <w:color w:val="auto"/>
        </w:rPr>
      </w:pPr>
    </w:p>
    <w:p>
      <w:pPr>
        <w:sectPr>
          <w:pgSz w:w="11900" w:h="16838" w:orient="portrait"/>
          <w:cols w:equalWidth="0" w:num="2">
            <w:col w:w="1780" w:space="720"/>
            <w:col w:w="773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8, 2000</w:t>
      </w:r>
    </w:p>
    <w:p>
      <w:pPr>
        <w:sectPr>
          <w:pgSz w:w="11900" w:h="16838" w:orient="portrait"/>
          <w:cols w:equalWidth="0" w:num="2">
            <w:col w:w="1780" w:space="720"/>
            <w:col w:w="7739"/>
          </w:cols>
          <w:pgMar w:left="220" w:top="285"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Amdocs Limited</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 Thomas G. O'Brien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Thomas G. O'Brien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Treasurer and Secretary</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Authorized U.S. Representative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December 29, 2000</w:t>
      </w:r>
    </w:p>
    <w:p>
      <w:pPr>
        <w:sectPr>
          <w:pgSz w:w="11900" w:h="16838" w:orient="portrait"/>
          <w:cols w:equalWidth="0" w:num="1">
            <w:col w:w="10239"/>
          </w:cols>
          <w:pgMar w:left="220" w:top="285"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440" w:space="720"/>
            <w:col w:w="807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Limited Press Release dated November 8, 2000</w:t>
      </w:r>
    </w:p>
    <w:p>
      <w:pPr>
        <w:sectPr>
          <w:pgSz w:w="11900" w:h="16838" w:orient="portrait"/>
          <w:cols w:equalWidth="0" w:num="2">
            <w:col w:w="1440" w:space="720"/>
            <w:col w:w="8079"/>
          </w:cols>
          <w:pgMar w:left="220" w:top="285"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CONSENT OF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consent to the use of our report dated November 2, 2000 with respect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to the consolidated financial statements and financial statement schedule of Amdocs Limited included in this Current Report on Form 6-K for the year ended September 30, 2000 and incorporated by reference in the following registration statements:</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COMMISSION FILE NO.</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Form S-8, No. 333-91847</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Form S-8, No. 333-31506</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Form S-8, No. 333-34104</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Form S-8, No. 333-92705</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Form F-3 (and related Prospectus), No. 333-39278</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Form F-3 (and related Prospectus), No. 333-44994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Louis, Missouri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2000</w:t>
      </w:r>
    </w:p>
    <w:p>
      <w:pPr>
        <w:sectPr>
          <w:pgSz w:w="11900" w:h="16838" w:orient="portrait"/>
          <w:cols w:equalWidth="0" w:num="1">
            <w:col w:w="10239"/>
          </w:cols>
          <w:pgMar w:left="220" w:top="141"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 FOURTH QUARTER REVENUE INCREASES 72.4%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$315.1 MILLION, ANNUAL REVENUE TOPS $1 BILLION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EPS, EXCLUDING ACQUISITION-RELATED CHARGES, INCREASES BY 66.7% TO $0.25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 Louis, MO - Nov 8, 2000, Amdocs Limited (NYSE: DOX) today reported that for the fourth quarter ended September 30, 2000, revenue reached $315.1 million, an increase of 72.4% over last year's fourth quarter. Excluding acquisition-related charges, net income increased 87.6% to $56.0 million, while earnings per share increased 66.7% to $0.25 per diluted share, compared to net income of $29.8 million, or $0.15 per diluted share, in the fourth quarter of fiscal 1999. The Company's as-reported net income, which includes acquisition-related charges of amortization of goodwill and purchased intangible assets and related tax effects, was $13.0 million, or $0.06 per diluted share, compared to net income of $29.8 million, or $0.15 per diluted share, in the fourth quarter of fiscal 1999.</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Avi Naor, Chief Executive Officer of Amdocs Management Limited, noted, "Fiscal 2000 has been an outstanding year for Amdocs. We have continued to achieve rapid growth, as reflected by annual revenue surpassing $1 billion for the first time, while maintaining excellent profitability and visibility. This combination of business stability and sustained growth reflects a business model and ongoing revenue stream based on broad, long-term relationships with our customers."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noted that it continues to strengthen its position as the market leader in customer care and billing systems. This leadership is manifest in key new projects Amdocs has recently been awarded for voice-IP convergence, mobile IP and broadband. "We are leveraging our leadership position in CC&amp;B by enhancing our offering to encompass CRM, order management and other capabilities. This will provide a comprehensive end-to-end communications business infrastructure for our customers," Naor added.</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Management believes that demand for the company's systems remains strong and is growing in all business arenas. The company will enter fiscal 2001 with an excellent pipeline and high visibility. "As the market leader in a very strong, rapidly expanding market, we have every reason for confidence. We look forward to another year of strong growth and continued success," Naor concluded.</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also noted that for the fiscal year ended September 30, 2000, revenue grew by 78.4% to a record $1.1 billion. Excluding acquisition-related charges of amortization of goodwill and purchased intangible assets, write-off of purchased R&amp;D and related tax effects, net income for fiscal 2000 increased 93.0% to $190.1 million, while diluted earnings per share increased 79.6% to $0.88.</w:t>
      </w:r>
    </w:p>
    <w:p>
      <w:pPr>
        <w:spacing w:after="0" w:line="164"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Amdocs is the world's leader in customer care and billing systems for communications and IP service providers. Amdocs has an unparalleled success record in project delivery of its mission-</w:t>
      </w:r>
    </w:p>
    <w:p>
      <w:pPr>
        <w:sectPr>
          <w:pgSz w:w="11900" w:h="16838" w:orient="portrait"/>
          <w:cols w:equalWidth="0" w:num="1">
            <w:col w:w="10239"/>
          </w:cols>
          <w:pgMar w:left="220" w:top="141"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critical products. With over 7,300 information systems professionals deployed worldwide, Amdocs supports a global customer base. For more information visit our Web site at www.amdocs.com.</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Amdocs will host a conference call on Wednesday, November 8 at 5:00 p.m. Eastern Standard Time to discuss the company's fourth quarter results. The call will be carried live on the Internet via www.vcall.com and the Amdocs website, www.amdocs.com.</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press release may contain forward looking statements as defined under the Securities Act of 1933, as amended. Such statements involve risks and uncertainties that may cause future results to differ from those anticipated. These risks include, but are not limited to, the adverse effects of market competition, rapid changes in technology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G. O'Brien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 and Director of Investor Relations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314/212-8328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dox_info@amdocs.com</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PRO FORMA CONSOLIDATED STATEMENTS OF OPERATIONS (UNAUDITED)</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EXCLUDING PURCHASED IN-PROCESS RESEARCH AND DEVELOPMENT, ACQUISITION RELATED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COSTS, AMORTIZATION OF GOODWILL AND PURCHASED INTANGIBLE ASSETS AND RELATED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TAX EFFECTS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ind w:left="1900"/>
              <w:spacing w:after="0"/>
              <w:rPr>
                <w:sz w:val="20"/>
                <w:szCs w:val="20"/>
                <w:color w:val="auto"/>
              </w:rPr>
            </w:pPr>
            <w:r>
              <w:rPr>
                <w:rFonts w:ascii="Courier New" w:cs="Courier New" w:eastAsia="Courier New" w:hAnsi="Courier New"/>
                <w:sz w:val="14"/>
                <w:szCs w:val="14"/>
                <w:color w:val="auto"/>
              </w:rPr>
              <w:t>(IN THOUSANDS, EXCEPT PER SHARE DATA)</w:t>
            </w: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28"/>
        </w:trPr>
        <w:tc>
          <w:tcPr>
            <w:tcW w:w="4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THREE MONTHS ENDED</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80" w:type="dxa"/>
            <w:vAlign w:val="bottom"/>
            <w:gridSpan w:val="4"/>
          </w:tcPr>
          <w:p>
            <w:pPr>
              <w:jc w:val="right"/>
              <w:ind w:right="608"/>
              <w:spacing w:after="0"/>
              <w:rPr>
                <w:sz w:val="20"/>
                <w:szCs w:val="20"/>
                <w:color w:val="auto"/>
              </w:rPr>
            </w:pPr>
            <w:r>
              <w:rPr>
                <w:rFonts w:ascii="Courier New" w:cs="Courier New" w:eastAsia="Courier New" w:hAnsi="Courier New"/>
                <w:sz w:val="14"/>
                <w:szCs w:val="14"/>
                <w:color w:val="auto"/>
              </w:rPr>
              <w:t>TWELVE MONTHS ENDED</w:t>
            </w:r>
          </w:p>
        </w:tc>
      </w:tr>
      <w:tr>
        <w:trPr>
          <w:trHeight w:val="166"/>
        </w:trPr>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SEPTEMBER 30,</w:t>
            </w: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SEPTEMBER 30,</w:t>
            </w:r>
          </w:p>
        </w:tc>
        <w:tc>
          <w:tcPr>
            <w:tcW w:w="860" w:type="dxa"/>
            <w:vAlign w:val="bottom"/>
          </w:tcPr>
          <w:p>
            <w:pPr>
              <w:spacing w:after="0"/>
              <w:rPr>
                <w:sz w:val="14"/>
                <w:szCs w:val="14"/>
                <w:color w:val="auto"/>
              </w:rPr>
            </w:pPr>
          </w:p>
        </w:tc>
      </w:tr>
      <w:tr>
        <w:trPr>
          <w:trHeight w:val="166"/>
        </w:trPr>
        <w:tc>
          <w:tcPr>
            <w:tcW w:w="4280" w:type="dxa"/>
            <w:vAlign w:val="bottom"/>
          </w:tcPr>
          <w:p>
            <w:pPr>
              <w:spacing w:after="0"/>
              <w:rPr>
                <w:sz w:val="14"/>
                <w:szCs w:val="14"/>
                <w:color w:val="auto"/>
              </w:rPr>
            </w:pPr>
          </w:p>
        </w:tc>
        <w:tc>
          <w:tcPr>
            <w:tcW w:w="2240" w:type="dxa"/>
            <w:vAlign w:val="bottom"/>
            <w:gridSpan w:val="2"/>
          </w:tcPr>
          <w:p>
            <w:pPr>
              <w:ind w:left="720"/>
              <w:spacing w:after="0"/>
              <w:rPr>
                <w:sz w:val="20"/>
                <w:szCs w:val="20"/>
                <w:color w:val="auto"/>
              </w:rPr>
            </w:pPr>
            <w:r>
              <w:rPr>
                <w:rFonts w:ascii="Courier New" w:cs="Courier New" w:eastAsia="Courier New" w:hAnsi="Courier New"/>
                <w:sz w:val="10"/>
                <w:szCs w:val="10"/>
                <w:color w:val="auto"/>
                <w:w w:val="75"/>
              </w:rPr>
              <w:t>---------------------------------</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 (1)</w:t>
            </w:r>
          </w:p>
        </w:tc>
        <w:tc>
          <w:tcPr>
            <w:tcW w:w="640" w:type="dxa"/>
            <w:vAlign w:val="bottom"/>
          </w:tcPr>
          <w:p>
            <w:pPr>
              <w:spacing w:after="0"/>
              <w:rPr>
                <w:sz w:val="14"/>
                <w:szCs w:val="14"/>
                <w:color w:val="auto"/>
              </w:rPr>
            </w:pPr>
          </w:p>
        </w:tc>
        <w:tc>
          <w:tcPr>
            <w:tcW w:w="98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5"/>
              </w:rPr>
              <w:t>1999</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280" w:type="dxa"/>
            <w:vAlign w:val="bottom"/>
          </w:tcPr>
          <w:p>
            <w:pPr>
              <w:spacing w:after="0"/>
              <w:rPr>
                <w:sz w:val="14"/>
                <w:szCs w:val="14"/>
                <w:color w:val="auto"/>
              </w:rPr>
            </w:pPr>
          </w:p>
        </w:tc>
        <w:tc>
          <w:tcPr>
            <w:tcW w:w="2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License</w:t>
            </w:r>
          </w:p>
        </w:tc>
        <w:tc>
          <w:tcPr>
            <w:tcW w:w="1060" w:type="dxa"/>
            <w:vAlign w:val="bottom"/>
          </w:tcPr>
          <w:p>
            <w:pPr>
              <w:ind w:left="7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35,216</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124,822</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74,387</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Service</w:t>
            </w:r>
          </w:p>
        </w:tc>
        <w:tc>
          <w:tcPr>
            <w:tcW w:w="10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279,851</w:t>
            </w:r>
          </w:p>
        </w:tc>
        <w:tc>
          <w:tcPr>
            <w:tcW w:w="6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160,316</w:t>
            </w:r>
          </w:p>
        </w:tc>
        <w:tc>
          <w:tcPr>
            <w:tcW w:w="40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993,498</w:t>
            </w: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552,468</w:t>
            </w:r>
          </w:p>
        </w:tc>
      </w:tr>
      <w:tr>
        <w:trPr>
          <w:trHeight w:val="166"/>
        </w:trPr>
        <w:tc>
          <w:tcPr>
            <w:tcW w:w="4280" w:type="dxa"/>
            <w:vAlign w:val="bottom"/>
          </w:tcPr>
          <w:p>
            <w:pPr>
              <w:spacing w:after="0"/>
              <w:rPr>
                <w:sz w:val="14"/>
                <w:szCs w:val="14"/>
                <w:color w:val="auto"/>
              </w:rPr>
            </w:pPr>
          </w:p>
        </w:tc>
        <w:tc>
          <w:tcPr>
            <w:tcW w:w="2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315,067</w:t>
            </w:r>
          </w:p>
        </w:tc>
        <w:tc>
          <w:tcPr>
            <w:tcW w:w="6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182,716</w:t>
            </w:r>
          </w:p>
        </w:tc>
        <w:tc>
          <w:tcPr>
            <w:tcW w:w="40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1,118,320</w:t>
            </w: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626,855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Cost of license</w:t>
            </w:r>
          </w:p>
        </w:tc>
        <w:tc>
          <w:tcPr>
            <w:tcW w:w="10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1,278</w:t>
            </w:r>
          </w:p>
        </w:tc>
        <w:tc>
          <w:tcPr>
            <w:tcW w:w="6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1,455</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5,624</w:t>
            </w: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5,515</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Cost of service</w:t>
            </w:r>
          </w:p>
        </w:tc>
        <w:tc>
          <w:tcPr>
            <w:tcW w:w="10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177,475</w:t>
            </w:r>
          </w:p>
        </w:tc>
        <w:tc>
          <w:tcPr>
            <w:tcW w:w="6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103,158</w:t>
            </w:r>
          </w:p>
        </w:tc>
        <w:tc>
          <w:tcPr>
            <w:tcW w:w="40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639,900</w:t>
            </w: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357,809</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0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21,894</w:t>
            </w:r>
          </w:p>
        </w:tc>
        <w:tc>
          <w:tcPr>
            <w:tcW w:w="6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12,350</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74,852</w:t>
            </w: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40,874</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10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39,136</w:t>
            </w:r>
          </w:p>
        </w:tc>
        <w:tc>
          <w:tcPr>
            <w:tcW w:w="6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22,323</w:t>
            </w:r>
          </w:p>
        </w:tc>
        <w:tc>
          <w:tcPr>
            <w:tcW w:w="40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137,004</w:t>
            </w: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75,659</w:t>
            </w:r>
          </w:p>
        </w:tc>
      </w:tr>
      <w:tr>
        <w:trPr>
          <w:trHeight w:val="166"/>
        </w:trPr>
        <w:tc>
          <w:tcPr>
            <w:tcW w:w="4280" w:type="dxa"/>
            <w:vAlign w:val="bottom"/>
          </w:tcPr>
          <w:p>
            <w:pPr>
              <w:spacing w:after="0"/>
              <w:rPr>
                <w:sz w:val="14"/>
                <w:szCs w:val="14"/>
                <w:color w:val="auto"/>
              </w:rPr>
            </w:pPr>
          </w:p>
        </w:tc>
        <w:tc>
          <w:tcPr>
            <w:tcW w:w="2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239,783</w:t>
            </w:r>
          </w:p>
        </w:tc>
        <w:tc>
          <w:tcPr>
            <w:tcW w:w="6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139,286</w:t>
            </w:r>
          </w:p>
        </w:tc>
        <w:tc>
          <w:tcPr>
            <w:tcW w:w="40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857,380</w:t>
            </w: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479,857</w:t>
            </w:r>
          </w:p>
        </w:tc>
      </w:tr>
      <w:tr>
        <w:trPr>
          <w:trHeight w:val="166"/>
        </w:trPr>
        <w:tc>
          <w:tcPr>
            <w:tcW w:w="4280" w:type="dxa"/>
            <w:vAlign w:val="bottom"/>
          </w:tcPr>
          <w:p>
            <w:pPr>
              <w:spacing w:after="0"/>
              <w:rPr>
                <w:sz w:val="14"/>
                <w:szCs w:val="14"/>
                <w:color w:val="auto"/>
              </w:rPr>
            </w:pPr>
          </w:p>
        </w:tc>
        <w:tc>
          <w:tcPr>
            <w:tcW w:w="2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0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75,284</w:t>
            </w:r>
          </w:p>
        </w:tc>
        <w:tc>
          <w:tcPr>
            <w:tcW w:w="6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43,430</w:t>
            </w:r>
          </w:p>
        </w:tc>
        <w:tc>
          <w:tcPr>
            <w:tcW w:w="40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260,940</w:t>
            </w: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146,998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10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4,716</w:t>
            </w:r>
          </w:p>
        </w:tc>
        <w:tc>
          <w:tcPr>
            <w:tcW w:w="6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(803)</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10,734</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(6,223)</w:t>
            </w:r>
          </w:p>
        </w:tc>
      </w:tr>
      <w:tr>
        <w:trPr>
          <w:trHeight w:val="166"/>
        </w:trPr>
        <w:tc>
          <w:tcPr>
            <w:tcW w:w="4280" w:type="dxa"/>
            <w:vAlign w:val="bottom"/>
          </w:tcPr>
          <w:p>
            <w:pPr>
              <w:spacing w:after="0"/>
              <w:rPr>
                <w:sz w:val="14"/>
                <w:szCs w:val="14"/>
                <w:color w:val="auto"/>
              </w:rPr>
            </w:pPr>
          </w:p>
        </w:tc>
        <w:tc>
          <w:tcPr>
            <w:tcW w:w="2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0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80,000</w:t>
            </w:r>
          </w:p>
        </w:tc>
        <w:tc>
          <w:tcPr>
            <w:tcW w:w="6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42,627</w:t>
            </w:r>
          </w:p>
        </w:tc>
        <w:tc>
          <w:tcPr>
            <w:tcW w:w="40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271,674</w:t>
            </w: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140,775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0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24,026</w:t>
            </w:r>
          </w:p>
        </w:tc>
        <w:tc>
          <w:tcPr>
            <w:tcW w:w="6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12,788</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81,528</w:t>
            </w: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42,232</w:t>
            </w:r>
          </w:p>
        </w:tc>
      </w:tr>
      <w:tr>
        <w:trPr>
          <w:trHeight w:val="166"/>
        </w:trPr>
        <w:tc>
          <w:tcPr>
            <w:tcW w:w="4280" w:type="dxa"/>
            <w:vAlign w:val="bottom"/>
          </w:tcPr>
          <w:p>
            <w:pPr>
              <w:spacing w:after="0"/>
              <w:rPr>
                <w:sz w:val="14"/>
                <w:szCs w:val="14"/>
                <w:color w:val="auto"/>
              </w:rPr>
            </w:pPr>
          </w:p>
        </w:tc>
        <w:tc>
          <w:tcPr>
            <w:tcW w:w="2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60" w:type="dxa"/>
            <w:vAlign w:val="bottom"/>
          </w:tcPr>
          <w:p>
            <w:pPr>
              <w:ind w:left="7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55,974</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29,839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190,146</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98,543</w:t>
            </w:r>
          </w:p>
        </w:tc>
      </w:tr>
      <w:tr>
        <w:trPr>
          <w:trHeight w:val="166"/>
        </w:trPr>
        <w:tc>
          <w:tcPr>
            <w:tcW w:w="4280" w:type="dxa"/>
            <w:vAlign w:val="bottom"/>
          </w:tcPr>
          <w:p>
            <w:pPr>
              <w:spacing w:after="0"/>
              <w:rPr>
                <w:sz w:val="14"/>
                <w:szCs w:val="14"/>
                <w:color w:val="auto"/>
              </w:rPr>
            </w:pPr>
          </w:p>
        </w:tc>
        <w:tc>
          <w:tcPr>
            <w:tcW w:w="2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060" w:type="dxa"/>
            <w:vAlign w:val="bottom"/>
          </w:tcPr>
          <w:p>
            <w:pPr>
              <w:ind w:left="7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0.25</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0.15</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0.88</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0.49</w:t>
            </w:r>
          </w:p>
        </w:tc>
      </w:tr>
      <w:tr>
        <w:trPr>
          <w:trHeight w:val="166"/>
        </w:trPr>
        <w:tc>
          <w:tcPr>
            <w:tcW w:w="4280" w:type="dxa"/>
            <w:vAlign w:val="bottom"/>
          </w:tcPr>
          <w:p>
            <w:pPr>
              <w:spacing w:after="0"/>
              <w:rPr>
                <w:sz w:val="14"/>
                <w:szCs w:val="14"/>
                <w:color w:val="auto"/>
              </w:rPr>
            </w:pPr>
          </w:p>
        </w:tc>
        <w:tc>
          <w:tcPr>
            <w:tcW w:w="2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28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10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227,227</w:t>
            </w:r>
          </w:p>
        </w:tc>
        <w:tc>
          <w:tcPr>
            <w:tcW w:w="64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201,906</w:t>
            </w:r>
          </w:p>
        </w:tc>
        <w:tc>
          <w:tcPr>
            <w:tcW w:w="40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216,935</w:t>
            </w: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200,262</w:t>
            </w:r>
          </w:p>
        </w:tc>
      </w:tr>
      <w:tr>
        <w:trPr>
          <w:trHeight w:val="166"/>
        </w:trPr>
        <w:tc>
          <w:tcPr>
            <w:tcW w:w="4280" w:type="dxa"/>
            <w:vAlign w:val="bottom"/>
          </w:tcPr>
          <w:p>
            <w:pPr>
              <w:spacing w:after="0"/>
              <w:rPr>
                <w:sz w:val="14"/>
                <w:szCs w:val="14"/>
                <w:color w:val="auto"/>
              </w:rPr>
            </w:pPr>
          </w:p>
        </w:tc>
        <w:tc>
          <w:tcPr>
            <w:tcW w:w="2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right="4220" w:hanging="432"/>
        <w:spacing w:after="0" w:line="252"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$54,329 of amortization of goodwill and purchased intangible assets and related tax effects of $11,348. Including the above items, income before income taxes was $25,671 and diluted net income per share was $0.06 for the three months ended September 30, 2000.</w:t>
      </w:r>
    </w:p>
    <w:p>
      <w:pPr>
        <w:spacing w:after="0" w:line="162" w:lineRule="exact"/>
        <w:rPr>
          <w:rFonts w:ascii="Courier New" w:cs="Courier New" w:eastAsia="Courier New" w:hAnsi="Courier New"/>
          <w:sz w:val="14"/>
          <w:szCs w:val="14"/>
          <w:color w:val="auto"/>
        </w:rPr>
      </w:pPr>
    </w:p>
    <w:p>
      <w:pPr>
        <w:ind w:left="440" w:right="4220" w:hanging="432"/>
        <w:spacing w:after="0" w:line="251"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$111,199 of amortization of goodwill and purchased intangible assets, $70,319 write off of purchased in-process research and development, $5,298 of acquisition related costs, and tax effects related to the above of $2,648. Including the above items, income before income taxes was $84,858 and diluted net income per share was $0.03 for the twelve months ended September 30, 2000.</w:t>
      </w:r>
    </w:p>
    <w:p>
      <w:pPr>
        <w:sectPr>
          <w:pgSz w:w="11900" w:h="16838" w:orient="portrait"/>
          <w:cols w:equalWidth="0" w:num="1">
            <w:col w:w="11120"/>
          </w:cols>
          <w:pgMar w:left="220" w:top="285" w:right="559"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4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54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TWELVE MONTHS ENDED</w:t>
            </w:r>
          </w:p>
        </w:tc>
      </w:tr>
      <w:tr>
        <w:trPr>
          <w:trHeight w:val="166"/>
        </w:trPr>
        <w:tc>
          <w:tcPr>
            <w:tcW w:w="4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4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SEPTEMBER 30,</w:t>
            </w:r>
          </w:p>
        </w:tc>
        <w:tc>
          <w:tcPr>
            <w:tcW w:w="440" w:type="dxa"/>
            <w:vAlign w:val="bottom"/>
          </w:tcPr>
          <w:p>
            <w:pPr>
              <w:spacing w:after="0"/>
              <w:rPr>
                <w:sz w:val="14"/>
                <w:szCs w:val="14"/>
                <w:color w:val="auto"/>
              </w:rPr>
            </w:pPr>
          </w:p>
        </w:tc>
        <w:tc>
          <w:tcPr>
            <w:tcW w:w="254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880" w:type="dxa"/>
            <w:vAlign w:val="bottom"/>
          </w:tcPr>
          <w:p>
            <w:pPr>
              <w:spacing w:after="0"/>
              <w:rPr>
                <w:sz w:val="14"/>
                <w:szCs w:val="14"/>
                <w:color w:val="auto"/>
              </w:rPr>
            </w:pPr>
          </w:p>
        </w:tc>
        <w:tc>
          <w:tcPr>
            <w:tcW w:w="3000" w:type="dxa"/>
            <w:vAlign w:val="bottom"/>
            <w:gridSpan w:val="4"/>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9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2000</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44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880" w:type="dxa"/>
            <w:vAlign w:val="bottom"/>
          </w:tcPr>
          <w:p>
            <w:pPr>
              <w:spacing w:after="0"/>
              <w:rPr>
                <w:sz w:val="14"/>
                <w:szCs w:val="14"/>
                <w:color w:val="auto"/>
              </w:rPr>
            </w:pPr>
          </w:p>
        </w:tc>
        <w:tc>
          <w:tcPr>
            <w:tcW w:w="15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40" w:type="dxa"/>
            <w:vAlign w:val="bottom"/>
            <w:gridSpan w:val="3"/>
          </w:tcPr>
          <w:p>
            <w:pPr>
              <w:jc w:val="right"/>
              <w:ind w:right="728"/>
              <w:spacing w:after="0"/>
              <w:rPr>
                <w:sz w:val="20"/>
                <w:szCs w:val="20"/>
                <w:color w:val="auto"/>
              </w:rPr>
            </w:pPr>
            <w:r>
              <w:rPr>
                <w:rFonts w:ascii="Courier New" w:cs="Courier New" w:eastAsia="Courier New" w:hAnsi="Courier New"/>
                <w:sz w:val="14"/>
                <w:szCs w:val="14"/>
                <w:color w:val="auto"/>
              </w:rPr>
              <w:t>(Unaudited)</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License</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35,216</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22,400</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124,822</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74,387</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Service</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279,851</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160,316</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993,498</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552,468</w:t>
            </w:r>
          </w:p>
        </w:tc>
      </w:tr>
      <w:tr>
        <w:trPr>
          <w:trHeight w:val="166"/>
        </w:trPr>
        <w:tc>
          <w:tcPr>
            <w:tcW w:w="4880" w:type="dxa"/>
            <w:vAlign w:val="bottom"/>
          </w:tcPr>
          <w:p>
            <w:pPr>
              <w:spacing w:after="0"/>
              <w:rPr>
                <w:sz w:val="14"/>
                <w:szCs w:val="14"/>
                <w:color w:val="auto"/>
              </w:rPr>
            </w:pPr>
          </w:p>
        </w:tc>
        <w:tc>
          <w:tcPr>
            <w:tcW w:w="15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315,067</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182,716</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1,118,320</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626,855</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Cost of license</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1,278</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1,455</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5,624</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5,515</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Cost of service</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177,475</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103,158</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639,900</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357,809</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21,894</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12,350</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74,852</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40,874</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39,136</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22,323</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137,004</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75,659</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 and purchased intangible</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54,329</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111,199</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In-process research and development and other costs</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75,617</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5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294,112</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139,286</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1,044,196</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479,857</w:t>
            </w:r>
          </w:p>
        </w:tc>
      </w:tr>
      <w:tr>
        <w:trPr>
          <w:trHeight w:val="166"/>
        </w:trPr>
        <w:tc>
          <w:tcPr>
            <w:tcW w:w="4880" w:type="dxa"/>
            <w:vAlign w:val="bottom"/>
          </w:tcPr>
          <w:p>
            <w:pPr>
              <w:spacing w:after="0"/>
              <w:rPr>
                <w:sz w:val="14"/>
                <w:szCs w:val="14"/>
                <w:color w:val="auto"/>
              </w:rPr>
            </w:pPr>
          </w:p>
        </w:tc>
        <w:tc>
          <w:tcPr>
            <w:tcW w:w="15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20,955</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43,430</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74,124</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146,998</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4,716</w:t>
            </w:r>
          </w:p>
        </w:tc>
        <w:tc>
          <w:tcPr>
            <w:tcW w:w="44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(803)</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10,734</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(6,223)</w:t>
            </w:r>
          </w:p>
        </w:tc>
      </w:tr>
      <w:tr>
        <w:trPr>
          <w:trHeight w:val="166"/>
        </w:trPr>
        <w:tc>
          <w:tcPr>
            <w:tcW w:w="4880" w:type="dxa"/>
            <w:vAlign w:val="bottom"/>
          </w:tcPr>
          <w:p>
            <w:pPr>
              <w:spacing w:after="0"/>
              <w:rPr>
                <w:sz w:val="14"/>
                <w:szCs w:val="14"/>
                <w:color w:val="auto"/>
              </w:rPr>
            </w:pPr>
          </w:p>
        </w:tc>
        <w:tc>
          <w:tcPr>
            <w:tcW w:w="15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25,671</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42,627</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84,858</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140,775</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12,678</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12,788</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78,880</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42,232</w:t>
            </w:r>
          </w:p>
        </w:tc>
      </w:tr>
      <w:tr>
        <w:trPr>
          <w:trHeight w:val="166"/>
        </w:trPr>
        <w:tc>
          <w:tcPr>
            <w:tcW w:w="4880" w:type="dxa"/>
            <w:vAlign w:val="bottom"/>
          </w:tcPr>
          <w:p>
            <w:pPr>
              <w:spacing w:after="0"/>
              <w:rPr>
                <w:sz w:val="14"/>
                <w:szCs w:val="14"/>
                <w:color w:val="auto"/>
              </w:rPr>
            </w:pPr>
          </w:p>
        </w:tc>
        <w:tc>
          <w:tcPr>
            <w:tcW w:w="15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12,993</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29,839</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5,978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98,543</w:t>
            </w:r>
          </w:p>
        </w:tc>
      </w:tr>
      <w:tr>
        <w:trPr>
          <w:trHeight w:val="166"/>
        </w:trPr>
        <w:tc>
          <w:tcPr>
            <w:tcW w:w="4880" w:type="dxa"/>
            <w:vAlign w:val="bottom"/>
          </w:tcPr>
          <w:p>
            <w:pPr>
              <w:spacing w:after="0"/>
              <w:rPr>
                <w:sz w:val="14"/>
                <w:szCs w:val="14"/>
                <w:color w:val="auto"/>
              </w:rPr>
            </w:pPr>
          </w:p>
        </w:tc>
        <w:tc>
          <w:tcPr>
            <w:tcW w:w="15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0.06</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0.15</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0.03</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0.50</w:t>
            </w:r>
          </w:p>
        </w:tc>
      </w:tr>
      <w:tr>
        <w:trPr>
          <w:trHeight w:val="166"/>
        </w:trPr>
        <w:tc>
          <w:tcPr>
            <w:tcW w:w="4880" w:type="dxa"/>
            <w:vAlign w:val="bottom"/>
          </w:tcPr>
          <w:p>
            <w:pPr>
              <w:spacing w:after="0"/>
              <w:rPr>
                <w:sz w:val="14"/>
                <w:szCs w:val="14"/>
                <w:color w:val="auto"/>
              </w:rPr>
            </w:pPr>
          </w:p>
        </w:tc>
        <w:tc>
          <w:tcPr>
            <w:tcW w:w="15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0.06</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0.15</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0.03</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0.49</w:t>
            </w:r>
          </w:p>
        </w:tc>
      </w:tr>
      <w:tr>
        <w:trPr>
          <w:trHeight w:val="166"/>
        </w:trPr>
        <w:tc>
          <w:tcPr>
            <w:tcW w:w="4880" w:type="dxa"/>
            <w:vAlign w:val="bottom"/>
          </w:tcPr>
          <w:p>
            <w:pPr>
              <w:spacing w:after="0"/>
              <w:rPr>
                <w:sz w:val="14"/>
                <w:szCs w:val="14"/>
                <w:color w:val="auto"/>
              </w:rPr>
            </w:pPr>
          </w:p>
        </w:tc>
        <w:tc>
          <w:tcPr>
            <w:tcW w:w="15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shares outstanding</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221,105</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198,800</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212,005</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197,436</w:t>
            </w:r>
          </w:p>
        </w:tc>
      </w:tr>
      <w:tr>
        <w:trPr>
          <w:trHeight w:val="166"/>
        </w:trPr>
        <w:tc>
          <w:tcPr>
            <w:tcW w:w="4880" w:type="dxa"/>
            <w:vAlign w:val="bottom"/>
          </w:tcPr>
          <w:p>
            <w:pPr>
              <w:spacing w:after="0"/>
              <w:rPr>
                <w:sz w:val="14"/>
                <w:szCs w:val="14"/>
                <w:color w:val="auto"/>
              </w:rPr>
            </w:pPr>
          </w:p>
        </w:tc>
        <w:tc>
          <w:tcPr>
            <w:tcW w:w="15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 outstanding</w:t>
            </w:r>
          </w:p>
        </w:tc>
        <w:tc>
          <w:tcPr>
            <w:tcW w:w="5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227,227</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201,906</w:t>
            </w:r>
          </w:p>
        </w:tc>
        <w:tc>
          <w:tcPr>
            <w:tcW w:w="4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216,935</w:t>
            </w:r>
          </w:p>
        </w:tc>
        <w:tc>
          <w:tcPr>
            <w:tcW w:w="4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200,262</w:t>
            </w:r>
          </w:p>
        </w:tc>
      </w:tr>
      <w:tr>
        <w:trPr>
          <w:trHeight w:val="166"/>
        </w:trPr>
        <w:tc>
          <w:tcPr>
            <w:tcW w:w="4880" w:type="dxa"/>
            <w:vAlign w:val="bottom"/>
          </w:tcPr>
          <w:p>
            <w:pPr>
              <w:spacing w:after="0"/>
              <w:rPr>
                <w:sz w:val="14"/>
                <w:szCs w:val="14"/>
                <w:color w:val="auto"/>
              </w:rPr>
            </w:pPr>
          </w:p>
        </w:tc>
        <w:tc>
          <w:tcPr>
            <w:tcW w:w="15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860"/>
          </w:cols>
          <w:pgMar w:left="220" w:top="285" w:right="819"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CONDENSED CONSOLIDATED BALANCE SHEETS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AS OF</w:t>
            </w:r>
          </w:p>
        </w:tc>
        <w:tc>
          <w:tcPr>
            <w:tcW w:w="1240" w:type="dxa"/>
            <w:vAlign w:val="bottom"/>
          </w:tcPr>
          <w:p>
            <w:pPr>
              <w:spacing w:after="0"/>
              <w:rPr>
                <w:sz w:val="14"/>
                <w:szCs w:val="14"/>
                <w:color w:val="auto"/>
              </w:rPr>
            </w:pPr>
          </w:p>
        </w:tc>
      </w:tr>
      <w:tr>
        <w:trPr>
          <w:trHeight w:val="166"/>
        </w:trPr>
        <w:tc>
          <w:tcPr>
            <w:tcW w:w="4840" w:type="dxa"/>
            <w:vAlign w:val="bottom"/>
          </w:tcPr>
          <w:p>
            <w:pPr>
              <w:spacing w:after="0"/>
              <w:rPr>
                <w:sz w:val="14"/>
                <w:szCs w:val="14"/>
                <w:color w:val="auto"/>
              </w:rPr>
            </w:pPr>
          </w:p>
        </w:tc>
        <w:tc>
          <w:tcPr>
            <w:tcW w:w="36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SEPTEMBER 30,</w:t>
            </w:r>
          </w:p>
        </w:tc>
        <w:tc>
          <w:tcPr>
            <w:tcW w:w="56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560" w:type="dxa"/>
            <w:vAlign w:val="bottom"/>
          </w:tcPr>
          <w:p>
            <w:pPr>
              <w:spacing w:after="0"/>
              <w:rPr>
                <w:sz w:val="14"/>
                <w:szCs w:val="14"/>
                <w:color w:val="auto"/>
              </w:rPr>
            </w:pP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8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402,300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85,174</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w:t>
            </w: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263,100</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159,312</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receivable</w:t>
            </w: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35,179</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29,899</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34,327</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16,390</w:t>
            </w:r>
          </w:p>
        </w:tc>
      </w:tr>
      <w:tr>
        <w:trPr>
          <w:trHeight w:val="166"/>
        </w:trPr>
        <w:tc>
          <w:tcPr>
            <w:tcW w:w="48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360"/>
              <w:spacing w:after="0"/>
              <w:rPr>
                <w:sz w:val="20"/>
                <w:szCs w:val="20"/>
                <w:color w:val="auto"/>
              </w:rPr>
            </w:pPr>
            <w:r>
              <w:rPr>
                <w:rFonts w:ascii="Courier New" w:cs="Courier New" w:eastAsia="Courier New" w:hAnsi="Courier New"/>
                <w:sz w:val="14"/>
                <w:szCs w:val="14"/>
                <w:color w:val="auto"/>
              </w:rPr>
              <w:t>Total current assets</w:t>
            </w: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734,906</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290,775</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Equipment, vehicles and leasehold improvements, net</w:t>
            </w:r>
          </w:p>
        </w:tc>
        <w:tc>
          <w:tcPr>
            <w:tcW w:w="6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128,081</w:t>
            </w:r>
          </w:p>
        </w:tc>
        <w:tc>
          <w:tcPr>
            <w:tcW w:w="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83,997</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 assets, net</w:t>
            </w: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1,011,053</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22,798</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61,045</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32,441</w:t>
            </w:r>
          </w:p>
        </w:tc>
      </w:tr>
      <w:tr>
        <w:trPr>
          <w:trHeight w:val="166"/>
        </w:trPr>
        <w:tc>
          <w:tcPr>
            <w:tcW w:w="48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1,935,085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430,011</w:t>
            </w:r>
          </w:p>
        </w:tc>
      </w:tr>
      <w:tr>
        <w:trPr>
          <w:trHeight w:val="166"/>
        </w:trPr>
        <w:tc>
          <w:tcPr>
            <w:tcW w:w="48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accruals</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198,445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108,686</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Short-term financing arrangements</w:t>
            </w: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28,713</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8,103</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133,546</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104,688</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income taxes payable</w:t>
            </w: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55,197</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33,412</w:t>
            </w:r>
          </w:p>
        </w:tc>
      </w:tr>
      <w:tr>
        <w:trPr>
          <w:trHeight w:val="166"/>
        </w:trPr>
        <w:tc>
          <w:tcPr>
            <w:tcW w:w="48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360"/>
              <w:spacing w:after="0"/>
              <w:rPr>
                <w:sz w:val="20"/>
                <w:szCs w:val="20"/>
                <w:color w:val="auto"/>
              </w:rPr>
            </w:pPr>
            <w:r>
              <w:rPr>
                <w:rFonts w:ascii="Courier New" w:cs="Courier New" w:eastAsia="Courier New" w:hAnsi="Courier New"/>
                <w:sz w:val="14"/>
                <w:szCs w:val="14"/>
                <w:color w:val="auto"/>
              </w:rPr>
              <w:t>Total current liabilities</w:t>
            </w: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415,901</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254,889</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88,412</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51,385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1,430,772</w:t>
            </w: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123,737</w:t>
            </w:r>
          </w:p>
        </w:tc>
      </w:tr>
      <w:tr>
        <w:trPr>
          <w:trHeight w:val="166"/>
        </w:trPr>
        <w:tc>
          <w:tcPr>
            <w:tcW w:w="48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Total liabilities and shareholders' equity</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1,935,085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430,011</w:t>
            </w:r>
          </w:p>
        </w:tc>
      </w:tr>
      <w:tr>
        <w:trPr>
          <w:trHeight w:val="166"/>
        </w:trPr>
        <w:tc>
          <w:tcPr>
            <w:tcW w:w="48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 w:lineRule="exact"/>
        <w:rPr>
          <w:sz w:val="20"/>
          <w:szCs w:val="20"/>
          <w:color w:val="auto"/>
        </w:rPr>
      </w:pPr>
    </w:p>
    <w:sectPr>
      <w:pgSz w:w="11900" w:h="16838" w:orient="portrait"/>
      <w:cols w:equalWidth="0" w:num="1">
        <w:col w:w="10239"/>
      </w:cols>
      <w:pgMar w:left="22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2019-12-14T20:11:23Z</dcterms:created>
  <dcterms:modified xsi:type="dcterms:W3CDTF">2019-12-14T20:11:23Z</dcterms:modified>
</cp:coreProperties>
</file>