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 the month of April 2009</w:t>
      </w: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52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0"/>
          <w:szCs w:val="20"/>
          <w:color w:val="auto"/>
        </w:rPr>
      </w:pPr>
    </w:p>
    <w:p>
      <w:pPr>
        <w:ind w:left="5100"/>
        <w:spacing w:after="0" w:line="207" w:lineRule="exact"/>
        <w:tabs>
          <w:tab w:leader="none" w:pos="58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On April 22, 2009, Amdocs Limited (“Amdocs”) issued a press release announcing financial results for the quarter ended March 31, 2009. A copy of the press release is furnished as Exhibit 99.1 to this Report of Foreign Private Issuer on Form 6-K.</w:t>
      </w:r>
    </w:p>
    <w:p>
      <w:pPr>
        <w:spacing w:after="0" w:line="6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April 22, 2009.</w:t>
      </w:r>
    </w:p>
    <w:p>
      <w:pPr>
        <w:sectPr>
          <w:pgSz w:w="11900" w:h="16838" w:orient="portrait"/>
          <w:cols w:equalWidth="0" w:num="1">
            <w:col w:w="10219"/>
          </w:cols>
          <w:pgMar w:left="240" w:top="419"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-121920</wp:posOffset>
            </wp:positionV>
            <wp:extent cx="128651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6510" cy="3600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Amdocs Limited Reports Quarterly Revenue of $711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17"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Second quarter revenue of $711 million, in-line with guidance of $700-$720 million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Second quarter non-GAAP operating income of $128 million; non-GAAP operating margin of 18.0%; GAAP operating income of $96 million</w:t>
      </w:r>
    </w:p>
    <w:p>
      <w:pPr>
        <w:spacing w:after="0" w:line="142" w:lineRule="exact"/>
        <w:rPr>
          <w:rFonts w:ascii="Arial" w:cs="Arial" w:eastAsia="Arial" w:hAnsi="Arial"/>
          <w:sz w:val="17"/>
          <w:szCs w:val="17"/>
          <w:b w:val="1"/>
          <w:bCs w:val="1"/>
          <w:color w:val="auto"/>
        </w:rPr>
      </w:pPr>
    </w:p>
    <w:p>
      <w:pPr>
        <w:ind w:left="660" w:right="40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Second quarter diluted non-GAAP EPS of $0.50, excluding acquisition-related costs and equity-based compensation expense, net of related tax effects, in-line with guidance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$0.39 for the quarter</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$62 million for the quarter; included in the calculation of second quarter free cash flow was $52 million in annual employee bonus payments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12-month backlog of $2.37 billion at the end of the second quarter</w:t>
      </w:r>
    </w:p>
    <w:p>
      <w:pPr>
        <w:spacing w:after="0" w:line="130" w:lineRule="exact"/>
        <w:rPr>
          <w:rFonts w:ascii="Arial" w:cs="Arial" w:eastAsia="Arial" w:hAnsi="Arial"/>
          <w:sz w:val="18"/>
          <w:szCs w:val="18"/>
          <w:b w:val="1"/>
          <w:bCs w:val="1"/>
          <w:color w:val="auto"/>
        </w:rPr>
      </w:pPr>
    </w:p>
    <w:p>
      <w:pPr>
        <w:jc w:val="both"/>
        <w:ind w:left="660" w:right="160" w:hanging="436"/>
        <w:spacing w:after="0" w:line="26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quarter fiscal 2009 guidance: Expected revenue of approximately $670-$690 million and diluted non-GAAP EPS of $0.46-$0.50, excluding acquisition-related costs and approximately $0.04-$0.05 per share of equity-based compensation expense, net of related tax effects. Diluted GAAP EPS is expected to be approximately $0.33-$0.38</w:t>
      </w:r>
    </w:p>
    <w:p>
      <w:pPr>
        <w:spacing w:after="0" w:line="150"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St. Louis, MO – April 22, 2009 </w:t>
      </w:r>
      <w:r>
        <w:rPr>
          <w:rFonts w:ascii="Arial" w:cs="Arial" w:eastAsia="Arial" w:hAnsi="Arial"/>
          <w:sz w:val="16"/>
          <w:szCs w:val="16"/>
          <w:color w:val="auto"/>
        </w:rPr>
        <w:t>– Amdocs Limited (NYSE: DOX) today reported that for its fiscal second quarter ended March 31, 2009, revenue was</w:t>
      </w:r>
      <w:r>
        <w:rPr>
          <w:rFonts w:ascii="Arial" w:cs="Arial" w:eastAsia="Arial" w:hAnsi="Arial"/>
          <w:sz w:val="16"/>
          <w:szCs w:val="16"/>
          <w:b w:val="1"/>
          <w:bCs w:val="1"/>
          <w:color w:val="auto"/>
        </w:rPr>
        <w:t xml:space="preserve"> </w:t>
      </w:r>
      <w:r>
        <w:rPr>
          <w:rFonts w:ascii="Arial" w:cs="Arial" w:eastAsia="Arial" w:hAnsi="Arial"/>
          <w:sz w:val="16"/>
          <w:szCs w:val="16"/>
          <w:color w:val="auto"/>
        </w:rPr>
        <w:t>$711.1 million, a decrease of 8.2% from last year’s second quarter. Net income on a non-GAAP basis was $104.9 million, or $0.50 per diluted share, compared to non-GAAP net income of $126.6 million, or $0.58 per diluted share, in the second quarter of fiscal 2008. Non-GAAP net income excludes amortization of purchased intangible assets and equity-based compensation expenses of $24.2 million, net of related tax effects, in the second quarter of fiscal 2009 and excludes such amortization and equity-based compensation expenses of $26.8 million, net of related tax effects, in the second quarter of fiscal 2008. The Company’s GAAP net income for the second quarter of fiscal 2009 was $80.6 million, or $0.39 per diluted share, compared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GAAP net income of $99.9 million, or $0.46 per diluted share, in the prior year’s second quarter.</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second quarter of fiscal 2009 difficult economic conditions continued to impact our customers’ buying decisions. Sales cycles remained extended, particularly for larger, transformational projects, and certain customers delayed commitments for new projects. We had anticipated operating in a difficult environment during the quarter and are pleased with our execution in sales, cost control and cash collections. Our second quarter revenue of $711 million and diluted non-GAAP earnings per share of $0.50 were in-line with our guidance, and we delivered on our 18% non-GAAP operating margin target for the quarter,” said Dov Baharav, chief executive officer of Amdocs Management Limited.</w:t>
      </w:r>
    </w:p>
    <w:p>
      <w:pPr>
        <w:spacing w:after="0" w:line="14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Baharav continued, “For the third quarter of fiscal 2009, Amdocs expects that revenue will be approximately $670-$690 million as we anticipate on-going weakness in the economic environment. We are managing our expenses under the assumption that revenue for the year could be down 10%-12% relative to fiscal year 2008, with foreign currency effects contributing roughly 3% of the decline. While we cannot yet provide a precise range for our fourth quarter revenue expectations, at this time we believe that fourth quarter revenue is likely to decline sequentially from third quarter levels.”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Baharav concluded, “While these are difficult times for our industry and for Amdocs, we signed a number of important deals in the second quarter which position us well with some key customers. We are managing expenses to protect profitability and cash flow and we are investing in our future, including in R&amp;D, so that we can continue to provide the best products and services to our industry. We believe we are well-positioned for growth when economic conditions improve.”</w:t>
      </w:r>
    </w:p>
    <w:p>
      <w:pPr>
        <w:spacing w:after="0" w:line="1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second quarter Amdocs won new business with existing customers and new logos. These wins include new business in each of Amdocs’ four focus areas for growth: cable/satellite, managed services, emerging markets and OSS, including the examples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Cable/satellite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ind w:left="660" w:right="46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Amdocs signed a transformational BSS project based on the CES 7.5 portfolio with a major satellite provider in Asia-Pacific spanning billing, ordering, CRM, self-service and partner relationship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Managed Services</w:t>
      </w:r>
    </w:p>
    <w:p>
      <w:pPr>
        <w:spacing w:after="0" w:line="117" w:lineRule="exact"/>
        <w:rPr>
          <w:sz w:val="20"/>
          <w:szCs w:val="20"/>
          <w:color w:val="auto"/>
        </w:rPr>
      </w:pPr>
    </w:p>
    <w:p>
      <w:pPr>
        <w:ind w:left="660" w:right="24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Clearwire selected Amdocs for a multi-year agreement for the license and implementation of Amdocs CES 7.5 products and managed services to support Clearwire’s retail and wholesale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Emerging markets and OSS</w:t>
      </w:r>
    </w:p>
    <w:p>
      <w:pPr>
        <w:spacing w:after="0" w:line="117" w:lineRule="exact"/>
        <w:rPr>
          <w:sz w:val="20"/>
          <w:szCs w:val="20"/>
          <w:color w:val="auto"/>
        </w:rPr>
      </w:pPr>
    </w:p>
    <w:p>
      <w:pPr>
        <w:ind w:left="6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Instituto Costarricense de Electricidad (ICE), Costa Rica’s national service provider of telecommunications, will implement Amdocs OSS 7.5 to support ICE’s OSS needs, including planning, inventory and discovery, provisioning and activation, trouble ticketing, service fulfillment and service impact analysis.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mobile operator in Asia-Pacific selected Amdocs OSS to support its GSM network.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Amdocs signed a new wireless customer in Africa for a pre-paid billing solution.</w:t>
      </w:r>
    </w:p>
    <w:p>
      <w:pPr>
        <w:spacing w:after="0" w:line="19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Additionally, in North America, Amdocs won a significant new Amdocs Interactive project to support a wireless customer’s on-portal digital content storefront including content management, commerce, discovery, and delivery as well as a billing consolidation project for an existing wireline customer.</w:t>
      </w:r>
    </w:p>
    <w:p>
      <w:pPr>
        <w:spacing w:after="0" w:line="83"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Free cash flow was $62 million for the quarter, comprised of cash flow from operations of $80 million less approximately $18 million in net capital expenditures and other. Included in the calculation of second quarter free cash flow was $52 million in annual employee bonus payments.</w:t>
      </w:r>
    </w:p>
    <w:p>
      <w:pPr>
        <w:spacing w:after="0" w:line="83"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Twelve-month backlog, which includes anticipated revenue related to contracts, estimated revenue from managed services contracts, letters of intent, maintenance and estimated on-going support activities, was $2.37 billion at the end of the second quarter of fiscal 2009.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Amdocs expects that revenue for the third quarter of fiscal 2009 will be approximately $670-$690 million. Amdocs expects diluted earnings per share on a non-GAAP basis for the third quarter to be $0.46-$0.50, excluding acquisition-related costs and approximately $0.04-$0.05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ind w:right="200"/>
        <w:spacing w:after="0" w:line="277" w:lineRule="auto"/>
        <w:rPr>
          <w:sz w:val="20"/>
          <w:szCs w:val="20"/>
          <w:color w:val="auto"/>
        </w:rPr>
      </w:pPr>
      <w:r>
        <w:rPr>
          <w:rFonts w:ascii="Arial" w:cs="Arial" w:eastAsia="Arial" w:hAnsi="Arial"/>
          <w:sz w:val="18"/>
          <w:szCs w:val="18"/>
          <w:color w:val="auto"/>
        </w:rPr>
        <w:t>per share of equity-based compensation expense, net of related tax effects. Amdocs estimates GAAP diluted earnings per share for the third quarter will be $0.33-$0.38.</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Amdocs will host a conference call on April 22, 2009 at 5 p.m. Eastern Time to discuss the Company’s second quarter results. The call will be carried live on the Internet via www.InvestorCalendar.com and the Amdocs website, www.amdocs.com.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and non-GAAP net income. These non-GAAP measures exclude the following items:</w:t>
      </w:r>
    </w:p>
    <w:p>
      <w:pPr>
        <w:spacing w:after="0" w:line="73"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write-off;</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restructuring charges;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6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and non-GAAP net income, when shown in conjunction with the corresponding GAAP measures, provides useful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0" w:name="page11"/>
    <w:bookmarkEnd w:id="10"/>
    <w:p>
      <w:pPr>
        <w:spacing w:after="0" w:line="308" w:lineRule="auto"/>
        <w:rPr>
          <w:sz w:val="20"/>
          <w:szCs w:val="20"/>
          <w:color w:val="auto"/>
        </w:rPr>
      </w:pPr>
      <w:r>
        <w:rPr>
          <w:rFonts w:ascii="Arial" w:cs="Arial" w:eastAsia="Arial" w:hAnsi="Arial"/>
          <w:sz w:val="17"/>
          <w:szCs w:val="17"/>
          <w:color w:val="auto"/>
        </w:rPr>
        <w:t>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2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its internal budgeting process and in monitoring the results of the business, Amdocs’ management uses financial statements that do not include amortization of purchased intangible assets, in-process research and development write-off,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Amdocs is the market leader in customer experience systems innovation, enabling world-leading service providers to deliver an integrated, innovative and the intentional customer experience</w:t>
      </w:r>
      <w:r>
        <w:rPr>
          <w:rFonts w:ascii="Arial" w:cs="Arial" w:eastAsia="Arial" w:hAnsi="Arial"/>
          <w:sz w:val="15"/>
          <w:szCs w:val="15"/>
          <w:color w:val="auto"/>
        </w:rPr>
        <w:t>TM</w:t>
      </w:r>
      <w:r>
        <w:rPr>
          <w:rFonts w:ascii="Arial" w:cs="Arial" w:eastAsia="Arial" w:hAnsi="Arial"/>
          <w:sz w:val="18"/>
          <w:szCs w:val="18"/>
          <w:color w:val="auto"/>
        </w:rPr>
        <w:t xml:space="preserve"> – at every point of service. Amdocs provides solutions that deliver customer experience excellence, combining the software, service and expertise to help its customers execute their strategies and achieve service, operational and financial excellence. A global company with revenue of $3.16 billion in fiscal 2008, Amdocs has more than 17,000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employees and serves customers in more than 50 countries around the world. For more information, visit Amdocs at www.amdocs.com.</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2008 filed on December 8, 2008 and in our quarterly 6-K furnished on February 9, 2009.</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Thomas G. O’Brien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License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37,203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32,109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81,804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6"/>
              </w:rPr>
              <w:t>673,881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742,172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1,383,119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1,458,205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711,084</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774,281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1,464,923</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1,516,531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6"/>
              </w:rPr>
              <w:t>455,997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493,956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940,048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52,750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56,088</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108,979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84,308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98,666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174,573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196,331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21,501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21,753</w:t>
            </w:r>
          </w:p>
        </w:tc>
        <w:tc>
          <w:tcPr>
            <w:tcW w:w="100" w:type="dxa"/>
            <w:vAlign w:val="bottom"/>
          </w:tcPr>
          <w:p>
            <w:pPr>
              <w:spacing w:after="0"/>
              <w:rPr>
                <w:sz w:val="24"/>
                <w:szCs w:val="24"/>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41,755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Restructuring charges and in-process research and development (1)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20,780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615,125</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671,401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1,287,695</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1,318,349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95,959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102,880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177,228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198,182</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Interest (expense) income and other, net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(5,763)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24"/>
                <w:szCs w:val="24"/>
                <w:color w:val="auto"/>
              </w:rPr>
            </w:pPr>
          </w:p>
        </w:tc>
        <w:tc>
          <w:tcPr>
            <w:tcW w:w="1400" w:type="dxa"/>
            <w:vAlign w:val="bottom"/>
            <w:gridSpan w:val="2"/>
          </w:tcPr>
          <w:p>
            <w:pPr>
              <w:jc w:val="right"/>
              <w:ind w:right="528"/>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90,196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111,702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173,700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215,820</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9,566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11,843</w:t>
            </w:r>
          </w:p>
        </w:tc>
        <w:tc>
          <w:tcPr>
            <w:tcW w:w="100" w:type="dxa"/>
            <w:vAlign w:val="bottom"/>
          </w:tcPr>
          <w:p>
            <w:pPr>
              <w:spacing w:after="0"/>
              <w:rPr>
                <w:sz w:val="24"/>
                <w:szCs w:val="24"/>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18,823</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80,630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99,859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154,877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195,523</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0.39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202,671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206,759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202,561</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6"/>
              </w:rPr>
              <w:t>209,755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219,786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211,013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Restructuring charges and in-process research and development for the six months ended March 31, 2009 includes restructuring charges of $15,140, and in-process research and development of $5,640.</w:t>
      </w:r>
    </w:p>
    <w:p>
      <w:pPr>
        <w:spacing w:after="0" w:line="21" w:lineRule="exact"/>
        <w:rPr>
          <w:rFonts w:ascii="Arial" w:cs="Arial" w:eastAsia="Arial" w:hAnsi="Arial"/>
          <w:sz w:val="18"/>
          <w:szCs w:val="18"/>
          <w:color w:val="auto"/>
        </w:rPr>
      </w:pPr>
    </w:p>
    <w:p>
      <w:pPr>
        <w:ind w:left="460" w:right="60" w:hanging="452"/>
        <w:spacing w:after="0" w:line="31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the impact of assumed conversion of the convertible notes, $622 and $1,486 representing interest expense and amortization of issuance costs, were added back to net income for the three and six months ended March 31, 2009, respectively, and $985 and $1,970 were added back to net income for the three and six months ended March 31, 2008, respectively, for the purpose of computing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5"/>
          </w:tcPr>
          <w:p>
            <w:pPr>
              <w:jc w:val="right"/>
              <w:ind w:right="8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711,084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774,281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1,464,923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7"/>
              </w:rPr>
              <w:t>1,516,531</w:t>
            </w: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300" w:type="dxa"/>
            <w:vAlign w:val="bottom"/>
          </w:tcPr>
          <w:p>
            <w:pPr>
              <w:spacing w:after="0"/>
              <w:rPr>
                <w:sz w:val="24"/>
                <w:szCs w:val="24"/>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86"/>
              </w:rPr>
              <w:t>127,977</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w w:val="89"/>
              </w:rPr>
              <w:t>138,046</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263,697</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269,317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104,875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126,647</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221,125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249,937</w:t>
            </w: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Non-GAAP diluted earnings per share (1)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0.50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0.58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209,755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219,786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211,013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220,912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31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reflect the impact of assumed conversion of the convertible notes, $622 and $1,486 representing interest expense and amortization of issuance costs, were added back to net income for the three and six months ended March 31, 2009, respectively, and $985 and $1,970 were added back to net income for the three and six months ended March 31, 2008, respectively, for the purpose of computing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Three months ended</w:t>
      </w:r>
    </w:p>
    <w:p>
      <w:pPr>
        <w:jc w:val="center"/>
        <w:ind w:left="3960"/>
        <w:spacing w:after="0" w:line="236" w:lineRule="auto"/>
        <w:rPr>
          <w:sz w:val="20"/>
          <w:szCs w:val="20"/>
          <w:color w:val="auto"/>
        </w:rPr>
      </w:pPr>
      <w:r>
        <w:rPr>
          <w:rFonts w:ascii="Arial" w:cs="Arial" w:eastAsia="Arial" w:hAnsi="Arial"/>
          <w:sz w:val="14"/>
          <w:szCs w:val="14"/>
          <w:b w:val="1"/>
          <w:bCs w:val="1"/>
          <w:color w:val="auto"/>
        </w:rPr>
        <w:t>March 31, 2009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2"/>
          </w:tcPr>
          <w:p>
            <w:pPr>
              <w:jc w:val="center"/>
              <w:ind w:right="12"/>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4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Amortization</w:t>
            </w:r>
          </w:p>
        </w:tc>
        <w:tc>
          <w:tcPr>
            <w:tcW w:w="1900" w:type="dxa"/>
            <w:vAlign w:val="bottom"/>
            <w:gridSpan w:val="2"/>
            <w:vMerge w:val="restart"/>
          </w:tcPr>
          <w:p>
            <w:pPr>
              <w:jc w:val="center"/>
              <w:ind w:left="62"/>
              <w:spacing w:after="0"/>
              <w:rPr>
                <w:sz w:val="20"/>
                <w:szCs w:val="20"/>
                <w:color w:val="auto"/>
              </w:rPr>
            </w:pPr>
            <w:r>
              <w:rPr>
                <w:rFonts w:ascii="Arial" w:cs="Arial" w:eastAsia="Arial" w:hAnsi="Arial"/>
                <w:sz w:val="14"/>
                <w:szCs w:val="14"/>
                <w:b w:val="1"/>
                <w:bCs w:val="1"/>
                <w:color w:val="auto"/>
                <w:w w:val="91"/>
              </w:rPr>
              <w:t>Equity based</w:t>
            </w: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9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GAAP</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intangible</w:t>
            </w:r>
          </w:p>
        </w:tc>
        <w:tc>
          <w:tcPr>
            <w:tcW w:w="1900" w:type="dxa"/>
            <w:vAlign w:val="bottom"/>
            <w:gridSpan w:val="2"/>
          </w:tcPr>
          <w:p>
            <w:pPr>
              <w:jc w:val="center"/>
              <w:ind w:left="62"/>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Tax effect</w:t>
            </w:r>
          </w:p>
        </w:tc>
        <w:tc>
          <w:tcPr>
            <w:tcW w:w="15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77"/>
              </w:rPr>
              <w:t>assets</w:t>
            </w: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12"/>
              <w:spacing w:after="0"/>
              <w:rPr>
                <w:sz w:val="20"/>
                <w:szCs w:val="20"/>
                <w:color w:val="auto"/>
              </w:rPr>
            </w:pPr>
            <w:r>
              <w:rPr>
                <w:rFonts w:ascii="Arial" w:cs="Arial" w:eastAsia="Arial" w:hAnsi="Arial"/>
                <w:sz w:val="14"/>
                <w:szCs w:val="14"/>
                <w:b w:val="1"/>
                <w:bCs w:val="1"/>
                <w:color w:val="auto"/>
                <w:w w:val="85"/>
              </w:rPr>
              <w:t>expense</w:t>
            </w:r>
          </w:p>
        </w:tc>
        <w:tc>
          <w:tcPr>
            <w:tcW w:w="1180" w:type="dxa"/>
            <w:vAlign w:val="bottom"/>
            <w:tcBorders>
              <w:bottom w:val="single" w:sz="8" w:color="auto"/>
            </w:tcBorders>
            <w:gridSpan w:val="2"/>
            <w:vMerge w:val="continue"/>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2"/>
              <w:spacing w:after="0"/>
              <w:rPr>
                <w:sz w:val="20"/>
                <w:szCs w:val="20"/>
                <w:color w:val="auto"/>
              </w:rPr>
            </w:pPr>
            <w:r>
              <w:rPr>
                <w:rFonts w:ascii="Arial" w:cs="Arial" w:eastAsia="Arial" w:hAnsi="Arial"/>
                <w:sz w:val="18"/>
                <w:szCs w:val="18"/>
                <w:color w:val="auto"/>
              </w:rPr>
              <w:t>569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6"/>
              </w:rPr>
              <w:t>455,997</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(4,950)</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6"/>
              </w:rPr>
              <w:t>451,047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60" w:type="dxa"/>
            <w:vAlign w:val="bottom"/>
          </w:tcPr>
          <w:p>
            <w:pPr>
              <w:jc w:val="right"/>
              <w:ind w:right="592"/>
              <w:spacing w:after="0"/>
              <w:rPr>
                <w:sz w:val="20"/>
                <w:szCs w:val="20"/>
                <w:color w:val="auto"/>
              </w:rPr>
            </w:pPr>
            <w:r>
              <w:rPr>
                <w:rFonts w:ascii="Arial" w:cs="Arial" w:eastAsia="Arial" w:hAnsi="Arial"/>
                <w:sz w:val="18"/>
                <w:szCs w:val="18"/>
                <w:color w:val="auto"/>
              </w:rPr>
              <w:t>52,750</w:t>
            </w:r>
          </w:p>
        </w:tc>
        <w:tc>
          <w:tcPr>
            <w:tcW w:w="340" w:type="dxa"/>
            <w:vAlign w:val="bottom"/>
          </w:tcPr>
          <w:p>
            <w:pPr>
              <w:spacing w:after="0"/>
              <w:rPr>
                <w:sz w:val="18"/>
                <w:szCs w:val="18"/>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60" w:type="dxa"/>
            <w:vAlign w:val="bottom"/>
          </w:tcPr>
          <w:p>
            <w:pPr>
              <w:jc w:val="right"/>
              <w:ind w:right="452"/>
              <w:spacing w:after="0"/>
              <w:rPr>
                <w:sz w:val="20"/>
                <w:szCs w:val="20"/>
                <w:color w:val="auto"/>
              </w:rPr>
            </w:pPr>
            <w:r>
              <w:rPr>
                <w:rFonts w:ascii="Arial" w:cs="Arial" w:eastAsia="Arial" w:hAnsi="Arial"/>
                <w:sz w:val="18"/>
                <w:szCs w:val="18"/>
                <w:color w:val="auto"/>
              </w:rPr>
              <w:t>(977)</w:t>
            </w:r>
          </w:p>
        </w:tc>
        <w:tc>
          <w:tcPr>
            <w:tcW w:w="4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84,308</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(4,590)</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79,718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21,501</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89"/>
              </w:rPr>
              <w:t>(21,501)</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86"/>
              </w:rPr>
              <w:t>615,125</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89"/>
              </w:rPr>
              <w:t>(21,501)</w:t>
            </w:r>
          </w:p>
        </w:tc>
        <w:tc>
          <w:tcPr>
            <w:tcW w:w="7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89"/>
              </w:rPr>
              <w:t>(10,517)</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6"/>
              </w:rPr>
              <w:t>583,107</w:t>
            </w:r>
          </w:p>
        </w:tc>
        <w:tc>
          <w:tcPr>
            <w:tcW w:w="0" w:type="dxa"/>
            <w:vAlign w:val="bottom"/>
          </w:tcPr>
          <w:p>
            <w:pPr>
              <w:spacing w:after="0"/>
              <w:rPr>
                <w:sz w:val="1"/>
                <w:szCs w:val="1"/>
                <w:color w:val="auto"/>
              </w:rPr>
            </w:pPr>
          </w:p>
        </w:tc>
      </w:tr>
      <w:tr>
        <w:trPr>
          <w:trHeight w:val="223"/>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95,959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8"/>
              </w:rPr>
              <w:t>21,501</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98"/>
              </w:rPr>
              <w:t>10,517</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127,977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rPr>
              <w:t>9,566</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3"/>
              </w:rPr>
              <w:t>7,773</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223"/>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1180" w:type="dxa"/>
            <w:vAlign w:val="bottom"/>
            <w:tcBorders>
              <w:bottom w:val="single" w:sz="8" w:color="auto"/>
            </w:tcBorders>
            <w:gridSpan w:val="2"/>
          </w:tcPr>
          <w:p>
            <w:pPr>
              <w:spacing w:after="0"/>
              <w:rPr>
                <w:sz w:val="19"/>
                <w:szCs w:val="19"/>
                <w:color w:val="auto"/>
              </w:rPr>
            </w:pPr>
          </w:p>
        </w:tc>
        <w:tc>
          <w:tcPr>
            <w:tcW w:w="15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80,630</w:t>
            </w:r>
          </w:p>
        </w:tc>
        <w:tc>
          <w:tcPr>
            <w:tcW w:w="130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color w:val="auto"/>
              </w:rPr>
              <w:t>$ 21,501</w:t>
            </w:r>
          </w:p>
        </w:tc>
        <w:tc>
          <w:tcPr>
            <w:tcW w:w="190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8"/>
                <w:szCs w:val="18"/>
                <w:color w:val="auto"/>
              </w:rPr>
              <w:t>$ 10,517</w:t>
            </w:r>
          </w:p>
        </w:tc>
        <w:tc>
          <w:tcPr>
            <w:tcW w:w="1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$(7,773)</w:t>
            </w:r>
          </w:p>
        </w:tc>
        <w:tc>
          <w:tcPr>
            <w:tcW w:w="15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$104,875</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91"/>
              </w:rPr>
              <w:t>Three months ended</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94"/>
              </w:rPr>
              <w:t>March 31, 2008</w:t>
            </w: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jc w:val="center"/>
              <w:ind w:right="12"/>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Amortization</w:t>
            </w:r>
          </w:p>
        </w:tc>
        <w:tc>
          <w:tcPr>
            <w:tcW w:w="1900" w:type="dxa"/>
            <w:vAlign w:val="bottom"/>
            <w:gridSpan w:val="2"/>
            <w:vMerge w:val="restart"/>
          </w:tcPr>
          <w:p>
            <w:pPr>
              <w:jc w:val="center"/>
              <w:ind w:left="62"/>
              <w:spacing w:after="0"/>
              <w:rPr>
                <w:sz w:val="20"/>
                <w:szCs w:val="20"/>
                <w:color w:val="auto"/>
              </w:rPr>
            </w:pPr>
            <w:r>
              <w:rPr>
                <w:rFonts w:ascii="Arial" w:cs="Arial" w:eastAsia="Arial" w:hAnsi="Arial"/>
                <w:sz w:val="14"/>
                <w:szCs w:val="14"/>
                <w:b w:val="1"/>
                <w:bCs w:val="1"/>
                <w:color w:val="auto"/>
                <w:w w:val="91"/>
              </w:rPr>
              <w:t>Equity based</w:t>
            </w: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9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GAAP</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intangible</w:t>
            </w:r>
          </w:p>
        </w:tc>
        <w:tc>
          <w:tcPr>
            <w:tcW w:w="1900" w:type="dxa"/>
            <w:vAlign w:val="bottom"/>
            <w:gridSpan w:val="2"/>
          </w:tcPr>
          <w:p>
            <w:pPr>
              <w:jc w:val="center"/>
              <w:ind w:left="62"/>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Tax effect</w:t>
            </w:r>
          </w:p>
        </w:tc>
        <w:tc>
          <w:tcPr>
            <w:tcW w:w="15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77"/>
              </w:rPr>
              <w:t>assets</w:t>
            </w: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12"/>
              <w:spacing w:after="0"/>
              <w:rPr>
                <w:sz w:val="20"/>
                <w:szCs w:val="20"/>
                <w:color w:val="auto"/>
              </w:rPr>
            </w:pPr>
            <w:r>
              <w:rPr>
                <w:rFonts w:ascii="Arial" w:cs="Arial" w:eastAsia="Arial" w:hAnsi="Arial"/>
                <w:sz w:val="14"/>
                <w:szCs w:val="14"/>
                <w:b w:val="1"/>
                <w:bCs w:val="1"/>
                <w:color w:val="auto"/>
                <w:w w:val="85"/>
              </w:rPr>
              <w:t>expense</w:t>
            </w:r>
          </w:p>
        </w:tc>
        <w:tc>
          <w:tcPr>
            <w:tcW w:w="1180" w:type="dxa"/>
            <w:vAlign w:val="bottom"/>
            <w:tcBorders>
              <w:bottom w:val="single" w:sz="8" w:color="auto"/>
            </w:tcBorders>
            <w:gridSpan w:val="2"/>
            <w:vMerge w:val="continue"/>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2"/>
              <w:spacing w:after="0"/>
              <w:rPr>
                <w:sz w:val="20"/>
                <w:szCs w:val="20"/>
                <w:color w:val="auto"/>
              </w:rPr>
            </w:pPr>
            <w:r>
              <w:rPr>
                <w:rFonts w:ascii="Arial" w:cs="Arial" w:eastAsia="Arial" w:hAnsi="Arial"/>
                <w:sz w:val="18"/>
                <w:szCs w:val="18"/>
                <w:color w:val="auto"/>
              </w:rPr>
              <w:t>938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6"/>
              </w:rPr>
              <w:t>493,956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(5,431)</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6"/>
              </w:rPr>
              <w:t>488,525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60" w:type="dxa"/>
            <w:vAlign w:val="bottom"/>
          </w:tcPr>
          <w:p>
            <w:pPr>
              <w:jc w:val="right"/>
              <w:ind w:right="592"/>
              <w:spacing w:after="0"/>
              <w:rPr>
                <w:sz w:val="20"/>
                <w:szCs w:val="20"/>
                <w:color w:val="auto"/>
              </w:rPr>
            </w:pPr>
            <w:r>
              <w:rPr>
                <w:rFonts w:ascii="Arial" w:cs="Arial" w:eastAsia="Arial" w:hAnsi="Arial"/>
                <w:sz w:val="18"/>
                <w:szCs w:val="18"/>
                <w:color w:val="auto"/>
              </w:rPr>
              <w:t>56,088</w:t>
            </w:r>
          </w:p>
        </w:tc>
        <w:tc>
          <w:tcPr>
            <w:tcW w:w="340" w:type="dxa"/>
            <w:vAlign w:val="bottom"/>
          </w:tcPr>
          <w:p>
            <w:pPr>
              <w:spacing w:after="0"/>
              <w:rPr>
                <w:sz w:val="18"/>
                <w:szCs w:val="18"/>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60" w:type="dxa"/>
            <w:vAlign w:val="bottom"/>
          </w:tcPr>
          <w:p>
            <w:pPr>
              <w:jc w:val="right"/>
              <w:ind w:right="452"/>
              <w:spacing w:after="0"/>
              <w:rPr>
                <w:sz w:val="20"/>
                <w:szCs w:val="20"/>
                <w:color w:val="auto"/>
              </w:rPr>
            </w:pPr>
            <w:r>
              <w:rPr>
                <w:rFonts w:ascii="Arial" w:cs="Arial" w:eastAsia="Arial" w:hAnsi="Arial"/>
                <w:sz w:val="18"/>
                <w:szCs w:val="18"/>
                <w:color w:val="auto"/>
              </w:rPr>
              <w:t>(1,146)</w:t>
            </w:r>
          </w:p>
        </w:tc>
        <w:tc>
          <w:tcPr>
            <w:tcW w:w="4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98,666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(6,836)</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91,830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21,753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89"/>
              </w:rPr>
              <w:t>(21,753)</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86"/>
              </w:rPr>
              <w:t>671,401</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89"/>
              </w:rPr>
              <w:t>(21,753)</w:t>
            </w:r>
          </w:p>
        </w:tc>
        <w:tc>
          <w:tcPr>
            <w:tcW w:w="7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89"/>
              </w:rPr>
              <w:t>(13,413)</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6"/>
              </w:rPr>
              <w:t>636,235</w:t>
            </w:r>
          </w:p>
        </w:tc>
        <w:tc>
          <w:tcPr>
            <w:tcW w:w="0" w:type="dxa"/>
            <w:vAlign w:val="bottom"/>
          </w:tcPr>
          <w:p>
            <w:pPr>
              <w:spacing w:after="0"/>
              <w:rPr>
                <w:sz w:val="1"/>
                <w:szCs w:val="1"/>
                <w:color w:val="auto"/>
              </w:rPr>
            </w:pPr>
          </w:p>
        </w:tc>
      </w:tr>
      <w:tr>
        <w:trPr>
          <w:trHeight w:val="223"/>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86"/>
              </w:rPr>
              <w:t>102,880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8"/>
              </w:rPr>
              <w:t>21,753</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98"/>
              </w:rPr>
              <w:t>13,413</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138,046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rPr>
              <w:t>11,843</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3"/>
              </w:rPr>
              <w:t>8,378</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20,221</w:t>
            </w:r>
          </w:p>
        </w:tc>
        <w:tc>
          <w:tcPr>
            <w:tcW w:w="0" w:type="dxa"/>
            <w:vAlign w:val="bottom"/>
          </w:tcPr>
          <w:p>
            <w:pPr>
              <w:spacing w:after="0"/>
              <w:rPr>
                <w:sz w:val="1"/>
                <w:szCs w:val="1"/>
                <w:color w:val="auto"/>
              </w:rPr>
            </w:pPr>
          </w:p>
        </w:tc>
      </w:tr>
      <w:tr>
        <w:trPr>
          <w:trHeight w:val="223"/>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1180" w:type="dxa"/>
            <w:vAlign w:val="bottom"/>
            <w:tcBorders>
              <w:bottom w:val="single" w:sz="8" w:color="auto"/>
            </w:tcBorders>
            <w:gridSpan w:val="2"/>
          </w:tcPr>
          <w:p>
            <w:pPr>
              <w:spacing w:after="0"/>
              <w:rPr>
                <w:sz w:val="19"/>
                <w:szCs w:val="19"/>
                <w:color w:val="auto"/>
              </w:rPr>
            </w:pPr>
          </w:p>
        </w:tc>
        <w:tc>
          <w:tcPr>
            <w:tcW w:w="15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99,859</w:t>
            </w:r>
          </w:p>
        </w:tc>
        <w:tc>
          <w:tcPr>
            <w:tcW w:w="130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color w:val="auto"/>
              </w:rPr>
              <w:t>$ 21,753</w:t>
            </w:r>
          </w:p>
        </w:tc>
        <w:tc>
          <w:tcPr>
            <w:tcW w:w="190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8"/>
                <w:szCs w:val="18"/>
                <w:color w:val="auto"/>
              </w:rPr>
              <w:t>$ 13,413</w:t>
            </w:r>
          </w:p>
        </w:tc>
        <w:tc>
          <w:tcPr>
            <w:tcW w:w="1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$(8,378)</w:t>
            </w:r>
          </w:p>
        </w:tc>
        <w:tc>
          <w:tcPr>
            <w:tcW w:w="15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$126,647</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p>
      <w:pPr>
        <w:jc w:val="center"/>
        <w:ind w:left="23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2380"/>
        <w:spacing w:after="0"/>
        <w:rPr>
          <w:sz w:val="20"/>
          <w:szCs w:val="20"/>
          <w:color w:val="auto"/>
        </w:rPr>
      </w:pPr>
      <w:r>
        <w:rPr>
          <w:rFonts w:ascii="Arial" w:cs="Arial" w:eastAsia="Arial" w:hAnsi="Arial"/>
          <w:sz w:val="14"/>
          <w:szCs w:val="14"/>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-1905</wp:posOffset>
            </wp:positionV>
            <wp:extent cx="574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Amortization</w:t>
            </w:r>
          </w:p>
        </w:tc>
        <w:tc>
          <w:tcPr>
            <w:tcW w:w="1680" w:type="dxa"/>
            <w:vAlign w:val="bottom"/>
            <w:tcBorders>
              <w:top w:val="single" w:sz="8" w:color="auto"/>
            </w:tcBorders>
            <w:gridSpan w:val="2"/>
          </w:tcPr>
          <w:p>
            <w:pPr>
              <w:jc w:val="center"/>
              <w:ind w:left="360"/>
              <w:spacing w:after="0" w:line="143" w:lineRule="exact"/>
              <w:rPr>
                <w:sz w:val="20"/>
                <w:szCs w:val="20"/>
                <w:color w:val="auto"/>
              </w:rPr>
            </w:pPr>
            <w:r>
              <w:rPr>
                <w:rFonts w:ascii="Arial" w:cs="Arial" w:eastAsia="Arial" w:hAnsi="Arial"/>
                <w:sz w:val="14"/>
                <w:szCs w:val="14"/>
                <w:b w:val="1"/>
                <w:bCs w:val="1"/>
                <w:color w:val="auto"/>
              </w:rPr>
              <w:t>Restructuring</w:t>
            </w:r>
          </w:p>
        </w:tc>
        <w:tc>
          <w:tcPr>
            <w:tcW w:w="8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purchased</w:t>
            </w:r>
          </w:p>
        </w:tc>
        <w:tc>
          <w:tcPr>
            <w:tcW w:w="168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rPr>
              <w:t>charges and in-</w:t>
            </w:r>
          </w:p>
        </w:tc>
        <w:tc>
          <w:tcPr>
            <w:tcW w:w="1820" w:type="dxa"/>
            <w:vAlign w:val="bottom"/>
            <w:gridSpan w:val="2"/>
          </w:tcPr>
          <w:p>
            <w:pPr>
              <w:jc w:val="center"/>
              <w:ind w:left="438"/>
              <w:spacing w:after="0"/>
              <w:rPr>
                <w:sz w:val="20"/>
                <w:szCs w:val="20"/>
                <w:color w:val="auto"/>
              </w:rPr>
            </w:pPr>
            <w:r>
              <w:rPr>
                <w:rFonts w:ascii="Arial" w:cs="Arial" w:eastAsia="Arial" w:hAnsi="Arial"/>
                <w:sz w:val="14"/>
                <w:szCs w:val="14"/>
                <w:b w:val="1"/>
                <w:bCs w:val="1"/>
                <w:color w:val="auto"/>
              </w:rPr>
              <w:t>Equity based</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intangible</w:t>
            </w:r>
          </w:p>
        </w:tc>
        <w:tc>
          <w:tcPr>
            <w:tcW w:w="168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rPr>
              <w:t>process research</w:t>
            </w:r>
          </w:p>
        </w:tc>
        <w:tc>
          <w:tcPr>
            <w:tcW w:w="1820" w:type="dxa"/>
            <w:vAlign w:val="bottom"/>
            <w:gridSpan w:val="2"/>
          </w:tcPr>
          <w:p>
            <w:pPr>
              <w:jc w:val="center"/>
              <w:ind w:left="438"/>
              <w:spacing w:after="0"/>
              <w:rPr>
                <w:sz w:val="20"/>
                <w:szCs w:val="20"/>
                <w:color w:val="auto"/>
              </w:rPr>
            </w:pPr>
            <w:r>
              <w:rPr>
                <w:rFonts w:ascii="Arial" w:cs="Arial" w:eastAsia="Arial" w:hAnsi="Arial"/>
                <w:sz w:val="14"/>
                <w:szCs w:val="14"/>
                <w:b w:val="1"/>
                <w:bCs w:val="1"/>
                <w:color w:val="auto"/>
              </w:rPr>
              <w:t>compensation</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GAAP</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rPr>
              <w:t>assets</w:t>
            </w:r>
          </w:p>
        </w:tc>
        <w:tc>
          <w:tcPr>
            <w:tcW w:w="1680" w:type="dxa"/>
            <w:vAlign w:val="bottom"/>
            <w:tcBorders>
              <w:bottom w:val="single" w:sz="8" w:color="auto"/>
            </w:tcBorders>
            <w:gridSpan w:val="2"/>
          </w:tcPr>
          <w:p>
            <w:pPr>
              <w:jc w:val="center"/>
              <w:ind w:left="360"/>
              <w:spacing w:after="0"/>
              <w:rPr>
                <w:sz w:val="20"/>
                <w:szCs w:val="20"/>
                <w:color w:val="auto"/>
              </w:rPr>
            </w:pPr>
            <w:r>
              <w:rPr>
                <w:rFonts w:ascii="Arial" w:cs="Arial" w:eastAsia="Arial" w:hAnsi="Arial"/>
                <w:sz w:val="14"/>
                <w:szCs w:val="14"/>
                <w:b w:val="1"/>
                <w:bCs w:val="1"/>
                <w:color w:val="auto"/>
              </w:rPr>
              <w:t>and development</w:t>
            </w: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rPr>
              <w:t>expense</w:t>
            </w:r>
          </w:p>
        </w:tc>
        <w:tc>
          <w:tcPr>
            <w:tcW w:w="13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Tax effect</w:t>
            </w: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Non-GAAP</w:t>
            </w: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1,560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center"/>
              <w:ind w:left="54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center"/>
              <w:ind w:left="678"/>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1,560</w:t>
            </w: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940,048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(10,661)</w:t>
            </w:r>
          </w:p>
        </w:tc>
        <w:tc>
          <w:tcPr>
            <w:tcW w:w="5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929,387</w:t>
            </w:r>
          </w:p>
        </w:tc>
      </w:tr>
      <w:tr>
        <w:trPr>
          <w:trHeight w:val="202"/>
        </w:trPr>
        <w:tc>
          <w:tcPr>
            <w:tcW w:w="20" w:type="dxa"/>
            <w:vAlign w:val="bottom"/>
          </w:tcPr>
          <w:p>
            <w:pPr>
              <w:spacing w:after="0"/>
              <w:rPr>
                <w:sz w:val="17"/>
                <w:szCs w:val="17"/>
                <w:color w:val="auto"/>
              </w:rPr>
            </w:pPr>
          </w:p>
        </w:tc>
        <w:tc>
          <w:tcPr>
            <w:tcW w:w="24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Research and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development</w:t>
            </w:r>
          </w:p>
        </w:tc>
        <w:tc>
          <w:tcPr>
            <w:tcW w:w="1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Arial" w:cs="Arial" w:eastAsia="Arial" w:hAnsi="Arial"/>
                <w:sz w:val="18"/>
                <w:szCs w:val="18"/>
                <w:color w:val="auto"/>
              </w:rPr>
              <w:t>108,979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292"/>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920" w:type="dxa"/>
            <w:vAlign w:val="bottom"/>
          </w:tcPr>
          <w:p>
            <w:pPr>
              <w:jc w:val="right"/>
              <w:ind w:right="211"/>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960" w:type="dxa"/>
            <w:vAlign w:val="bottom"/>
          </w:tcPr>
          <w:p>
            <w:pPr>
              <w:jc w:val="right"/>
              <w:ind w:right="191"/>
              <w:spacing w:after="0" w:line="203" w:lineRule="exact"/>
              <w:rPr>
                <w:sz w:val="20"/>
                <w:szCs w:val="20"/>
                <w:color w:val="auto"/>
              </w:rPr>
            </w:pPr>
            <w:r>
              <w:rPr>
                <w:rFonts w:ascii="Arial" w:cs="Arial" w:eastAsia="Arial" w:hAnsi="Arial"/>
                <w:sz w:val="18"/>
                <w:szCs w:val="18"/>
                <w:color w:val="auto"/>
              </w:rPr>
              <w:t>(2,039)</w:t>
            </w:r>
          </w:p>
        </w:tc>
        <w:tc>
          <w:tcPr>
            <w:tcW w:w="560" w:type="dxa"/>
            <w:vAlign w:val="bottom"/>
          </w:tcPr>
          <w:p>
            <w:pPr>
              <w:spacing w:after="0"/>
              <w:rPr>
                <w:sz w:val="17"/>
                <w:szCs w:val="17"/>
                <w:color w:val="auto"/>
              </w:rPr>
            </w:pPr>
          </w:p>
        </w:tc>
        <w:tc>
          <w:tcPr>
            <w:tcW w:w="7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960" w:type="dxa"/>
            <w:vAlign w:val="bottom"/>
          </w:tcPr>
          <w:p>
            <w:pPr>
              <w:jc w:val="right"/>
              <w:ind w:right="71"/>
              <w:spacing w:after="0" w:line="203" w:lineRule="exact"/>
              <w:rPr>
                <w:sz w:val="20"/>
                <w:szCs w:val="20"/>
                <w:color w:val="auto"/>
              </w:rPr>
            </w:pPr>
            <w:r>
              <w:rPr>
                <w:rFonts w:ascii="Arial" w:cs="Arial" w:eastAsia="Arial" w:hAnsi="Arial"/>
                <w:sz w:val="18"/>
                <w:szCs w:val="18"/>
                <w:color w:val="auto"/>
              </w:rPr>
              <w:t>106,940</w:t>
            </w: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174,573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2"/>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1"/>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1"/>
              <w:spacing w:after="0" w:line="203" w:lineRule="exact"/>
              <w:rPr>
                <w:sz w:val="20"/>
                <w:szCs w:val="20"/>
                <w:color w:val="auto"/>
              </w:rPr>
            </w:pPr>
            <w:r>
              <w:rPr>
                <w:rFonts w:ascii="Arial" w:cs="Arial" w:eastAsia="Arial" w:hAnsi="Arial"/>
                <w:sz w:val="18"/>
                <w:szCs w:val="18"/>
                <w:color w:val="auto"/>
                <w:w w:val="98"/>
              </w:rPr>
              <w:t>(11,234)</w:t>
            </w:r>
          </w:p>
        </w:tc>
        <w:tc>
          <w:tcPr>
            <w:tcW w:w="5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rPr>
              <w:t>163,339</w:t>
            </w:r>
          </w:p>
        </w:tc>
      </w:tr>
      <w:tr>
        <w:trPr>
          <w:trHeight w:val="202"/>
        </w:trPr>
        <w:tc>
          <w:tcPr>
            <w:tcW w:w="20" w:type="dxa"/>
            <w:vAlign w:val="bottom"/>
          </w:tcPr>
          <w:p>
            <w:pPr>
              <w:spacing w:after="0"/>
              <w:rPr>
                <w:sz w:val="17"/>
                <w:szCs w:val="17"/>
                <w:color w:val="auto"/>
              </w:rPr>
            </w:pPr>
          </w:p>
        </w:tc>
        <w:tc>
          <w:tcPr>
            <w:tcW w:w="24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Arial" w:cs="Arial" w:eastAsia="Arial" w:hAnsi="Arial"/>
                <w:sz w:val="18"/>
                <w:szCs w:val="18"/>
                <w:color w:val="auto"/>
              </w:rPr>
              <w:t>41,755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232"/>
              <w:spacing w:after="0" w:line="203" w:lineRule="exact"/>
              <w:rPr>
                <w:sz w:val="20"/>
                <w:szCs w:val="20"/>
                <w:color w:val="auto"/>
              </w:rPr>
            </w:pPr>
            <w:r>
              <w:rPr>
                <w:rFonts w:ascii="Arial" w:cs="Arial" w:eastAsia="Arial" w:hAnsi="Arial"/>
                <w:sz w:val="18"/>
                <w:szCs w:val="18"/>
                <w:color w:val="auto"/>
                <w:w w:val="95"/>
              </w:rPr>
              <w:t>(41,755)</w:t>
            </w:r>
          </w:p>
        </w:tc>
        <w:tc>
          <w:tcPr>
            <w:tcW w:w="760" w:type="dxa"/>
            <w:vAlign w:val="bottom"/>
          </w:tcPr>
          <w:p>
            <w:pPr>
              <w:spacing w:after="0"/>
              <w:rPr>
                <w:sz w:val="17"/>
                <w:szCs w:val="17"/>
                <w:color w:val="auto"/>
              </w:rPr>
            </w:pPr>
          </w:p>
        </w:tc>
        <w:tc>
          <w:tcPr>
            <w:tcW w:w="920" w:type="dxa"/>
            <w:vAlign w:val="bottom"/>
          </w:tcPr>
          <w:p>
            <w:pPr>
              <w:jc w:val="right"/>
              <w:ind w:right="211"/>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960" w:type="dxa"/>
            <w:vAlign w:val="bottom"/>
          </w:tcPr>
          <w:p>
            <w:pPr>
              <w:jc w:val="right"/>
              <w:ind w:right="251"/>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7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960" w:type="dxa"/>
            <w:vAlign w:val="bottom"/>
          </w:tcPr>
          <w:p>
            <w:pPr>
              <w:jc w:val="right"/>
              <w:ind w:right="71"/>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and in-process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research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development</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20,780</w:t>
            </w:r>
          </w:p>
        </w:tc>
        <w:tc>
          <w:tcPr>
            <w:tcW w:w="2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92"/>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51"/>
              <w:spacing w:after="0" w:line="203" w:lineRule="exact"/>
              <w:rPr>
                <w:sz w:val="20"/>
                <w:szCs w:val="20"/>
                <w:color w:val="auto"/>
              </w:rPr>
            </w:pPr>
            <w:r>
              <w:rPr>
                <w:rFonts w:ascii="Arial" w:cs="Arial" w:eastAsia="Arial" w:hAnsi="Arial"/>
                <w:sz w:val="18"/>
                <w:szCs w:val="18"/>
                <w:color w:val="auto"/>
                <w:w w:val="98"/>
              </w:rPr>
              <w:t>(20,780)</w:t>
            </w:r>
          </w:p>
        </w:tc>
        <w:tc>
          <w:tcPr>
            <w:tcW w:w="8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51"/>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rPr>
              <w:t>—</w:t>
            </w:r>
          </w:p>
        </w:tc>
      </w:tr>
      <w:tr>
        <w:trPr>
          <w:trHeight w:val="210"/>
        </w:trPr>
        <w:tc>
          <w:tcPr>
            <w:tcW w:w="244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w w:val="97"/>
              </w:rPr>
              <w:t>1,287,695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w w:val="95"/>
              </w:rPr>
              <w:t>(41,755)</w:t>
            </w:r>
          </w:p>
        </w:tc>
        <w:tc>
          <w:tcPr>
            <w:tcW w:w="760" w:type="dxa"/>
            <w:vAlign w:val="bottom"/>
          </w:tcPr>
          <w:p>
            <w:pPr>
              <w:spacing w:after="0"/>
              <w:rPr>
                <w:sz w:val="18"/>
                <w:szCs w:val="18"/>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w w:val="98"/>
              </w:rPr>
              <w:t>(20,780)</w:t>
            </w:r>
          </w:p>
        </w:tc>
        <w:tc>
          <w:tcPr>
            <w:tcW w:w="860" w:type="dxa"/>
            <w:vAlign w:val="bottom"/>
          </w:tcPr>
          <w:p>
            <w:pPr>
              <w:spacing w:after="0"/>
              <w:rPr>
                <w:sz w:val="18"/>
                <w:szCs w:val="18"/>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w w:val="98"/>
              </w:rPr>
              <w:t>(23,934)</w:t>
            </w:r>
          </w:p>
        </w:tc>
        <w:tc>
          <w:tcPr>
            <w:tcW w:w="5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w w:val="97"/>
              </w:rPr>
              <w:t>1,201,226</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177,228</w:t>
            </w:r>
          </w:p>
        </w:tc>
        <w:tc>
          <w:tcPr>
            <w:tcW w:w="2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41,755</w:t>
            </w:r>
          </w:p>
        </w:tc>
        <w:tc>
          <w:tcPr>
            <w:tcW w:w="7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20,780</w:t>
            </w:r>
          </w:p>
        </w:tc>
        <w:tc>
          <w:tcPr>
            <w:tcW w:w="8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23,934</w:t>
            </w:r>
          </w:p>
        </w:tc>
        <w:tc>
          <w:tcPr>
            <w:tcW w:w="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263,697</w:t>
            </w:r>
          </w:p>
        </w:tc>
      </w:tr>
      <w:tr>
        <w:trPr>
          <w:trHeight w:val="210"/>
        </w:trPr>
        <w:tc>
          <w:tcPr>
            <w:tcW w:w="238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244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18,823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9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20,221</w:t>
            </w:r>
          </w:p>
        </w:tc>
        <w:tc>
          <w:tcPr>
            <w:tcW w:w="48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39,044</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154,877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41,755</w:t>
            </w:r>
          </w:p>
        </w:tc>
        <w:tc>
          <w:tcPr>
            <w:tcW w:w="1680" w:type="dxa"/>
            <w:vAlign w:val="bottom"/>
            <w:gridSpan w:val="2"/>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$ 20,780</w:t>
            </w:r>
          </w:p>
        </w:tc>
        <w:tc>
          <w:tcPr>
            <w:tcW w:w="1820" w:type="dxa"/>
            <w:vAlign w:val="bottom"/>
            <w:gridSpan w:val="2"/>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$ 23,934</w:t>
            </w:r>
          </w:p>
        </w:tc>
        <w:tc>
          <w:tcPr>
            <w:tcW w:w="13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$(20,221)</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221,125</w:t>
            </w:r>
          </w:p>
        </w:tc>
      </w:tr>
      <w:tr>
        <w:trPr>
          <w:trHeight w:val="358"/>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gridSpan w:val="2"/>
          </w:tcPr>
          <w:p>
            <w:pPr>
              <w:jc w:val="center"/>
              <w:ind w:right="451"/>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right="431"/>
              <w:spacing w:after="0"/>
              <w:rPr>
                <w:sz w:val="20"/>
                <w:szCs w:val="20"/>
                <w:color w:val="auto"/>
              </w:rPr>
            </w:pPr>
            <w:r>
              <w:rPr>
                <w:rFonts w:ascii="Arial" w:cs="Arial" w:eastAsia="Arial" w:hAnsi="Arial"/>
                <w:sz w:val="14"/>
                <w:szCs w:val="14"/>
                <w:b w:val="1"/>
                <w:bCs w:val="1"/>
                <w:color w:val="auto"/>
              </w:rPr>
              <w:t>March 31, 2008</w:t>
            </w:r>
          </w:p>
        </w:tc>
        <w:tc>
          <w:tcPr>
            <w:tcW w:w="5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tcPr>
          <w:p>
            <w:pPr>
              <w:jc w:val="center"/>
              <w:ind w:left="291"/>
              <w:spacing w:after="0" w:line="155" w:lineRule="exact"/>
              <w:rPr>
                <w:sz w:val="20"/>
                <w:szCs w:val="20"/>
                <w:color w:val="auto"/>
              </w:rPr>
            </w:pPr>
            <w:r>
              <w:rPr>
                <w:rFonts w:ascii="Arial" w:cs="Arial" w:eastAsia="Arial" w:hAnsi="Arial"/>
                <w:sz w:val="14"/>
                <w:szCs w:val="14"/>
                <w:b w:val="1"/>
                <w:bCs w:val="1"/>
                <w:color w:val="auto"/>
              </w:rPr>
              <w:t>Reconciliation items</w:t>
            </w:r>
          </w:p>
        </w:tc>
        <w:tc>
          <w:tcPr>
            <w:tcW w:w="5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gridSpan w:val="2"/>
          </w:tcPr>
          <w:p>
            <w:pPr>
              <w:jc w:val="center"/>
              <w:ind w:right="191"/>
              <w:spacing w:after="0" w:line="143" w:lineRule="exact"/>
              <w:rPr>
                <w:sz w:val="20"/>
                <w:szCs w:val="20"/>
                <w:color w:val="auto"/>
              </w:rPr>
            </w:pPr>
            <w:r>
              <w:rPr>
                <w:rFonts w:ascii="Arial" w:cs="Arial" w:eastAsia="Arial" w:hAnsi="Arial"/>
                <w:sz w:val="14"/>
                <w:szCs w:val="14"/>
                <w:b w:val="1"/>
                <w:bCs w:val="1"/>
                <w:color w:val="auto"/>
              </w:rPr>
              <w:t>Amortization</w:t>
            </w: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gridSpan w:val="2"/>
          </w:tcPr>
          <w:p>
            <w:pPr>
              <w:jc w:val="center"/>
              <w:ind w:right="211"/>
              <w:spacing w:after="0"/>
              <w:rPr>
                <w:sz w:val="20"/>
                <w:szCs w:val="20"/>
                <w:color w:val="auto"/>
              </w:rPr>
            </w:pPr>
            <w:r>
              <w:rPr>
                <w:rFonts w:ascii="Arial" w:cs="Arial" w:eastAsia="Arial" w:hAnsi="Arial"/>
                <w:sz w:val="14"/>
                <w:szCs w:val="14"/>
                <w:b w:val="1"/>
                <w:bCs w:val="1"/>
                <w:color w:val="auto"/>
              </w:rPr>
              <w:t>of purchased</w:t>
            </w:r>
          </w:p>
        </w:tc>
        <w:tc>
          <w:tcPr>
            <w:tcW w:w="1820" w:type="dxa"/>
            <w:vAlign w:val="bottom"/>
            <w:gridSpan w:val="2"/>
          </w:tcPr>
          <w:p>
            <w:pPr>
              <w:jc w:val="center"/>
              <w:ind w:right="151"/>
              <w:spacing w:after="0"/>
              <w:rPr>
                <w:sz w:val="20"/>
                <w:szCs w:val="20"/>
                <w:color w:val="auto"/>
              </w:rPr>
            </w:pPr>
            <w:r>
              <w:rPr>
                <w:rFonts w:ascii="Arial" w:cs="Arial" w:eastAsia="Arial" w:hAnsi="Arial"/>
                <w:sz w:val="14"/>
                <w:szCs w:val="14"/>
                <w:b w:val="1"/>
                <w:bCs w:val="1"/>
                <w:color w:val="auto"/>
              </w:rPr>
              <w:t>Equity based</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gridSpan w:val="2"/>
          </w:tcPr>
          <w:p>
            <w:pPr>
              <w:jc w:val="center"/>
              <w:ind w:right="191"/>
              <w:spacing w:after="0"/>
              <w:rPr>
                <w:sz w:val="20"/>
                <w:szCs w:val="20"/>
                <w:color w:val="auto"/>
              </w:rPr>
            </w:pPr>
            <w:r>
              <w:rPr>
                <w:rFonts w:ascii="Arial" w:cs="Arial" w:eastAsia="Arial" w:hAnsi="Arial"/>
                <w:sz w:val="14"/>
                <w:szCs w:val="14"/>
                <w:b w:val="1"/>
                <w:bCs w:val="1"/>
                <w:color w:val="auto"/>
              </w:rPr>
              <w:t>intangible</w:t>
            </w:r>
          </w:p>
        </w:tc>
        <w:tc>
          <w:tcPr>
            <w:tcW w:w="1820" w:type="dxa"/>
            <w:vAlign w:val="bottom"/>
            <w:gridSpan w:val="2"/>
          </w:tcPr>
          <w:p>
            <w:pPr>
              <w:jc w:val="center"/>
              <w:ind w:right="151"/>
              <w:spacing w:after="0"/>
              <w:rPr>
                <w:sz w:val="20"/>
                <w:szCs w:val="20"/>
                <w:color w:val="auto"/>
              </w:rPr>
            </w:pPr>
            <w:r>
              <w:rPr>
                <w:rFonts w:ascii="Arial" w:cs="Arial" w:eastAsia="Arial" w:hAnsi="Arial"/>
                <w:sz w:val="14"/>
                <w:szCs w:val="14"/>
                <w:b w:val="1"/>
                <w:bCs w:val="1"/>
                <w:color w:val="auto"/>
              </w:rPr>
              <w:t>compensation</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692"/>
              <w:spacing w:after="0"/>
              <w:rPr>
                <w:sz w:val="20"/>
                <w:szCs w:val="20"/>
                <w:color w:val="auto"/>
              </w:rPr>
            </w:pPr>
            <w:r>
              <w:rPr>
                <w:rFonts w:ascii="Arial" w:cs="Arial" w:eastAsia="Arial" w:hAnsi="Arial"/>
                <w:sz w:val="14"/>
                <w:szCs w:val="14"/>
                <w:b w:val="1"/>
                <w:bCs w:val="1"/>
                <w:color w:val="auto"/>
              </w:rPr>
              <w:t>GAAP</w:t>
            </w:r>
          </w:p>
        </w:tc>
        <w:tc>
          <w:tcPr>
            <w:tcW w:w="1680" w:type="dxa"/>
            <w:vAlign w:val="bottom"/>
            <w:tcBorders>
              <w:bottom w:val="single" w:sz="8" w:color="auto"/>
            </w:tcBorders>
            <w:gridSpan w:val="2"/>
          </w:tcPr>
          <w:p>
            <w:pPr>
              <w:jc w:val="center"/>
              <w:ind w:right="191"/>
              <w:spacing w:after="0"/>
              <w:rPr>
                <w:sz w:val="20"/>
                <w:szCs w:val="20"/>
                <w:color w:val="auto"/>
              </w:rPr>
            </w:pPr>
            <w:r>
              <w:rPr>
                <w:rFonts w:ascii="Arial" w:cs="Arial" w:eastAsia="Arial" w:hAnsi="Arial"/>
                <w:sz w:val="14"/>
                <w:szCs w:val="14"/>
                <w:b w:val="1"/>
                <w:bCs w:val="1"/>
                <w:color w:val="auto"/>
              </w:rPr>
              <w:t>assets</w:t>
            </w:r>
          </w:p>
        </w:tc>
        <w:tc>
          <w:tcPr>
            <w:tcW w:w="1820" w:type="dxa"/>
            <w:vAlign w:val="bottom"/>
            <w:tcBorders>
              <w:bottom w:val="single" w:sz="8" w:color="auto"/>
            </w:tcBorders>
            <w:gridSpan w:val="2"/>
          </w:tcPr>
          <w:p>
            <w:pPr>
              <w:jc w:val="center"/>
              <w:ind w:right="151"/>
              <w:spacing w:after="0"/>
              <w:rPr>
                <w:sz w:val="20"/>
                <w:szCs w:val="20"/>
                <w:color w:val="auto"/>
              </w:rPr>
            </w:pPr>
            <w:r>
              <w:rPr>
                <w:rFonts w:ascii="Arial" w:cs="Arial" w:eastAsia="Arial" w:hAnsi="Arial"/>
                <w:sz w:val="14"/>
                <w:szCs w:val="14"/>
                <w:b w:val="1"/>
                <w:bCs w:val="1"/>
                <w:color w:val="auto"/>
              </w:rPr>
              <w:t>expense</w:t>
            </w:r>
          </w:p>
        </w:tc>
        <w:tc>
          <w:tcPr>
            <w:tcW w:w="13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Tax effect</w:t>
            </w:r>
          </w:p>
        </w:tc>
        <w:tc>
          <w:tcPr>
            <w:tcW w:w="144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72"/>
              <w:spacing w:after="0" w:line="202" w:lineRule="exact"/>
              <w:rPr>
                <w:sz w:val="20"/>
                <w:szCs w:val="20"/>
                <w:color w:val="auto"/>
              </w:rPr>
            </w:pPr>
            <w:r>
              <w:rPr>
                <w:rFonts w:ascii="Arial" w:cs="Arial" w:eastAsia="Arial" w:hAnsi="Arial"/>
                <w:sz w:val="18"/>
                <w:szCs w:val="18"/>
                <w:color w:val="auto"/>
              </w:rPr>
              <w:t>1,712</w:t>
            </w:r>
          </w:p>
        </w:tc>
        <w:tc>
          <w:tcPr>
            <w:tcW w:w="760" w:type="dxa"/>
            <w:vAlign w:val="bottom"/>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91"/>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298"/>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631"/>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1,712</w:t>
            </w: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964,697</w:t>
            </w: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1"/>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(11,713)</w:t>
            </w:r>
          </w:p>
        </w:tc>
        <w:tc>
          <w:tcPr>
            <w:tcW w:w="5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952,984</w:t>
            </w:r>
          </w:p>
        </w:tc>
      </w:tr>
      <w:tr>
        <w:trPr>
          <w:trHeight w:val="203"/>
        </w:trPr>
        <w:tc>
          <w:tcPr>
            <w:tcW w:w="20" w:type="dxa"/>
            <w:vAlign w:val="bottom"/>
          </w:tcPr>
          <w:p>
            <w:pPr>
              <w:spacing w:after="0"/>
              <w:rPr>
                <w:sz w:val="17"/>
                <w:szCs w:val="17"/>
                <w:color w:val="auto"/>
              </w:rPr>
            </w:pPr>
          </w:p>
        </w:tc>
        <w:tc>
          <w:tcPr>
            <w:tcW w:w="242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Research and development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2"/>
          </w:tcPr>
          <w:p>
            <w:pPr>
              <w:jc w:val="right"/>
              <w:ind w:right="472"/>
              <w:spacing w:after="0" w:line="202" w:lineRule="exact"/>
              <w:rPr>
                <w:sz w:val="20"/>
                <w:szCs w:val="20"/>
                <w:color w:val="auto"/>
              </w:rPr>
            </w:pPr>
            <w:r>
              <w:rPr>
                <w:rFonts w:ascii="Arial" w:cs="Arial" w:eastAsia="Arial" w:hAnsi="Arial"/>
                <w:sz w:val="18"/>
                <w:szCs w:val="18"/>
                <w:color w:val="auto"/>
              </w:rPr>
              <w:t>112,103</w:t>
            </w:r>
          </w:p>
        </w:tc>
        <w:tc>
          <w:tcPr>
            <w:tcW w:w="760" w:type="dxa"/>
            <w:vAlign w:val="bottom"/>
          </w:tcPr>
          <w:p>
            <w:pPr>
              <w:spacing w:after="0"/>
              <w:rPr>
                <w:sz w:val="17"/>
                <w:szCs w:val="17"/>
                <w:color w:val="auto"/>
              </w:rPr>
            </w:pPr>
          </w:p>
        </w:tc>
        <w:tc>
          <w:tcPr>
            <w:tcW w:w="920" w:type="dxa"/>
            <w:vAlign w:val="bottom"/>
          </w:tcPr>
          <w:p>
            <w:pPr>
              <w:jc w:val="right"/>
              <w:ind w:right="591"/>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71"/>
              <w:spacing w:after="0" w:line="202" w:lineRule="exact"/>
              <w:rPr>
                <w:sz w:val="20"/>
                <w:szCs w:val="20"/>
                <w:color w:val="auto"/>
              </w:rPr>
            </w:pPr>
            <w:r>
              <w:rPr>
                <w:rFonts w:ascii="Arial" w:cs="Arial" w:eastAsia="Arial" w:hAnsi="Arial"/>
                <w:sz w:val="18"/>
                <w:szCs w:val="18"/>
                <w:color w:val="auto"/>
              </w:rPr>
              <w:t>(2,522)</w:t>
            </w:r>
          </w:p>
        </w:tc>
        <w:tc>
          <w:tcPr>
            <w:tcW w:w="56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9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109,581</w:t>
            </w:r>
          </w:p>
        </w:tc>
      </w:tr>
      <w:tr>
        <w:trPr>
          <w:trHeight w:val="203"/>
        </w:trPr>
        <w:tc>
          <w:tcPr>
            <w:tcW w:w="20" w:type="dxa"/>
            <w:vAlign w:val="bottom"/>
          </w:tcPr>
          <w:p>
            <w:pPr>
              <w:spacing w:after="0"/>
              <w:rPr>
                <w:sz w:val="17"/>
                <w:szCs w:val="17"/>
                <w:color w:val="auto"/>
              </w:rPr>
            </w:pPr>
          </w:p>
        </w:tc>
        <w:tc>
          <w:tcPr>
            <w:tcW w:w="3520" w:type="dxa"/>
            <w:vAlign w:val="bottom"/>
            <w:gridSpan w:val="4"/>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196,331</w:t>
            </w: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1"/>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(13,394)</w:t>
            </w:r>
          </w:p>
        </w:tc>
        <w:tc>
          <w:tcPr>
            <w:tcW w:w="5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182,937</w:t>
            </w:r>
          </w:p>
        </w:tc>
      </w:tr>
      <w:tr>
        <w:trPr>
          <w:trHeight w:val="202"/>
        </w:trPr>
        <w:tc>
          <w:tcPr>
            <w:tcW w:w="20" w:type="dxa"/>
            <w:vAlign w:val="bottom"/>
          </w:tcPr>
          <w:p>
            <w:pPr>
              <w:spacing w:after="0"/>
              <w:rPr>
                <w:sz w:val="17"/>
                <w:szCs w:val="17"/>
                <w:color w:val="auto"/>
              </w:rPr>
            </w:pPr>
          </w:p>
        </w:tc>
        <w:tc>
          <w:tcPr>
            <w:tcW w:w="352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42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472"/>
              <w:spacing w:after="0" w:line="203" w:lineRule="exact"/>
              <w:rPr>
                <w:sz w:val="20"/>
                <w:szCs w:val="20"/>
                <w:color w:val="auto"/>
              </w:rPr>
            </w:pPr>
            <w:r>
              <w:rPr>
                <w:rFonts w:ascii="Arial" w:cs="Arial" w:eastAsia="Arial" w:hAnsi="Arial"/>
                <w:sz w:val="18"/>
                <w:szCs w:val="18"/>
                <w:color w:val="auto"/>
              </w:rPr>
              <w:t>43,506</w:t>
            </w:r>
          </w:p>
        </w:tc>
        <w:tc>
          <w:tcPr>
            <w:tcW w:w="1680" w:type="dxa"/>
            <w:vAlign w:val="bottom"/>
            <w:tcBorders>
              <w:bottom w:val="single" w:sz="8" w:color="auto"/>
            </w:tcBorders>
            <w:gridSpan w:val="2"/>
          </w:tcPr>
          <w:p>
            <w:pPr>
              <w:jc w:val="right"/>
              <w:ind w:right="531"/>
              <w:spacing w:after="0" w:line="203" w:lineRule="exact"/>
              <w:rPr>
                <w:sz w:val="20"/>
                <w:szCs w:val="20"/>
                <w:color w:val="auto"/>
              </w:rPr>
            </w:pPr>
            <w:r>
              <w:rPr>
                <w:rFonts w:ascii="Arial" w:cs="Arial" w:eastAsia="Arial" w:hAnsi="Arial"/>
                <w:sz w:val="18"/>
                <w:szCs w:val="18"/>
                <w:color w:val="auto"/>
              </w:rPr>
              <w:t>(43,506)</w:t>
            </w:r>
          </w:p>
        </w:tc>
        <w:tc>
          <w:tcPr>
            <w:tcW w:w="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31"/>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w w:val="97"/>
              </w:rPr>
              <w:t>1,318,349</w:t>
            </w:r>
          </w:p>
        </w:tc>
        <w:tc>
          <w:tcPr>
            <w:tcW w:w="1680" w:type="dxa"/>
            <w:vAlign w:val="bottom"/>
            <w:tcBorders>
              <w:bottom w:val="single" w:sz="8" w:color="auto"/>
            </w:tcBorders>
            <w:gridSpan w:val="2"/>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(43,506)</w:t>
            </w:r>
          </w:p>
        </w:tc>
        <w:tc>
          <w:tcPr>
            <w:tcW w:w="1820" w:type="dxa"/>
            <w:vAlign w:val="bottom"/>
            <w:tcBorders>
              <w:bottom w:val="single" w:sz="8" w:color="auto"/>
            </w:tcBorders>
            <w:gridSpan w:val="2"/>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(27,629)</w:t>
            </w:r>
          </w:p>
        </w:tc>
        <w:tc>
          <w:tcPr>
            <w:tcW w:w="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1,247,214</w:t>
            </w:r>
          </w:p>
        </w:tc>
      </w:tr>
      <w:tr>
        <w:trPr>
          <w:trHeight w:val="210"/>
        </w:trPr>
        <w:tc>
          <w:tcPr>
            <w:tcW w:w="24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c>
          <w:tcPr>
            <w:tcW w:w="1680" w:type="dxa"/>
            <w:vAlign w:val="bottom"/>
            <w:tcBorders>
              <w:bottom w:val="single" w:sz="8" w:color="auto"/>
            </w:tcBorders>
            <w:gridSpan w:val="2"/>
          </w:tcPr>
          <w:p>
            <w:pPr>
              <w:spacing w:after="0"/>
              <w:rPr>
                <w:sz w:val="18"/>
                <w:szCs w:val="18"/>
                <w:color w:val="auto"/>
              </w:rPr>
            </w:pPr>
          </w:p>
        </w:tc>
        <w:tc>
          <w:tcPr>
            <w:tcW w:w="182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24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8"/>
                <w:szCs w:val="18"/>
                <w:color w:val="auto"/>
              </w:rPr>
              <w:t>198,182</w:t>
            </w:r>
          </w:p>
        </w:tc>
        <w:tc>
          <w:tcPr>
            <w:tcW w:w="1680" w:type="dxa"/>
            <w:vAlign w:val="bottom"/>
            <w:tcBorders>
              <w:bottom w:val="single" w:sz="8" w:color="auto"/>
            </w:tcBorders>
            <w:gridSpan w:val="2"/>
          </w:tcPr>
          <w:p>
            <w:pPr>
              <w:jc w:val="right"/>
              <w:ind w:right="591"/>
              <w:spacing w:after="0"/>
              <w:rPr>
                <w:sz w:val="20"/>
                <w:szCs w:val="20"/>
                <w:color w:val="auto"/>
              </w:rPr>
            </w:pPr>
            <w:r>
              <w:rPr>
                <w:rFonts w:ascii="Arial" w:cs="Arial" w:eastAsia="Arial" w:hAnsi="Arial"/>
                <w:sz w:val="18"/>
                <w:szCs w:val="18"/>
                <w:color w:val="auto"/>
              </w:rPr>
              <w:t>43,506</w:t>
            </w:r>
          </w:p>
        </w:tc>
        <w:tc>
          <w:tcPr>
            <w:tcW w:w="182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8"/>
                <w:szCs w:val="18"/>
                <w:color w:val="auto"/>
              </w:rPr>
              <w:t>27,629</w:t>
            </w: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269,317</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20,297</w:t>
            </w:r>
          </w:p>
        </w:tc>
        <w:tc>
          <w:tcPr>
            <w:tcW w:w="7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91"/>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31"/>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16,721</w:t>
            </w:r>
          </w:p>
        </w:tc>
        <w:tc>
          <w:tcPr>
            <w:tcW w:w="1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37,018</w:t>
            </w:r>
          </w:p>
        </w:tc>
      </w:tr>
      <w:tr>
        <w:trPr>
          <w:trHeight w:val="210"/>
        </w:trPr>
        <w:tc>
          <w:tcPr>
            <w:tcW w:w="24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bottom w:val="single" w:sz="8" w:color="auto"/>
            </w:tcBorders>
            <w:gridSpan w:val="2"/>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c>
          <w:tcPr>
            <w:tcW w:w="1680" w:type="dxa"/>
            <w:vAlign w:val="bottom"/>
            <w:tcBorders>
              <w:bottom w:val="single" w:sz="8" w:color="auto"/>
            </w:tcBorders>
            <w:gridSpan w:val="2"/>
          </w:tcPr>
          <w:p>
            <w:pPr>
              <w:spacing w:after="0"/>
              <w:rPr>
                <w:sz w:val="18"/>
                <w:szCs w:val="18"/>
                <w:color w:val="auto"/>
              </w:rPr>
            </w:pPr>
          </w:p>
        </w:tc>
        <w:tc>
          <w:tcPr>
            <w:tcW w:w="1820" w:type="dxa"/>
            <w:vAlign w:val="bottom"/>
            <w:tcBorders>
              <w:bottom w:val="single" w:sz="8" w:color="auto"/>
            </w:tcBorders>
            <w:gridSpan w:val="2"/>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24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8"/>
                <w:szCs w:val="18"/>
                <w:color w:val="auto"/>
              </w:rPr>
              <w:t>195,523</w:t>
            </w:r>
          </w:p>
        </w:tc>
        <w:tc>
          <w:tcPr>
            <w:tcW w:w="1680" w:type="dxa"/>
            <w:vAlign w:val="bottom"/>
            <w:tcBorders>
              <w:bottom w:val="single" w:sz="8" w:color="auto"/>
            </w:tcBorders>
            <w:gridSpan w:val="2"/>
          </w:tcPr>
          <w:p>
            <w:pPr>
              <w:jc w:val="right"/>
              <w:ind w:right="591"/>
              <w:spacing w:after="0"/>
              <w:rPr>
                <w:sz w:val="20"/>
                <w:szCs w:val="20"/>
                <w:color w:val="auto"/>
              </w:rPr>
            </w:pPr>
            <w:r>
              <w:rPr>
                <w:rFonts w:ascii="Arial" w:cs="Arial" w:eastAsia="Arial" w:hAnsi="Arial"/>
                <w:sz w:val="18"/>
                <w:szCs w:val="18"/>
                <w:color w:val="auto"/>
              </w:rPr>
              <w:t>$ 43,506</w:t>
            </w:r>
          </w:p>
        </w:tc>
        <w:tc>
          <w:tcPr>
            <w:tcW w:w="182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8"/>
                <w:szCs w:val="18"/>
                <w:color w:val="auto"/>
              </w:rPr>
              <w:t>$ 27,629</w:t>
            </w:r>
          </w:p>
        </w:tc>
        <w:tc>
          <w:tcPr>
            <w:tcW w:w="11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$(16,721)</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249,937</w:t>
            </w:r>
          </w:p>
        </w:tc>
      </w:tr>
      <w:tr>
        <w:trPr>
          <w:trHeight w:val="625"/>
        </w:trPr>
        <w:tc>
          <w:tcPr>
            <w:tcW w:w="20" w:type="dxa"/>
            <w:vAlign w:val="bottom"/>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2"/>
                <w:szCs w:val="12"/>
                <w:color w:val="auto"/>
              </w:rPr>
            </w:pP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interest-bearing investments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1,334,856</w:t>
            </w:r>
          </w:p>
        </w:tc>
        <w:tc>
          <w:tcPr>
            <w:tcW w:w="7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1,244,378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Accounts receivable, net, including unbilled of $42,323 and $48,264 respectively</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506,685</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573,764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receivable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98,843</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96,371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2,036,755</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2,005,587</w:t>
            </w:r>
          </w:p>
        </w:tc>
        <w:tc>
          <w:tcPr>
            <w:tcW w:w="0" w:type="dxa"/>
            <w:vAlign w:val="bottom"/>
          </w:tcPr>
          <w:p>
            <w:pPr>
              <w:spacing w:after="0"/>
              <w:rPr>
                <w:sz w:val="1"/>
                <w:szCs w:val="1"/>
                <w:color w:val="auto"/>
              </w:rPr>
            </w:pP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292,261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317,081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other intangible assets, net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1,809,335</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1,796,922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426,361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4,564,712</w:t>
            </w:r>
          </w:p>
        </w:tc>
        <w:tc>
          <w:tcPr>
            <w:tcW w:w="7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4,579,063</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Accounts payable and accruals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525,917</w:t>
            </w:r>
          </w:p>
        </w:tc>
        <w:tc>
          <w:tcPr>
            <w:tcW w:w="7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600,285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portion of financing arrangements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3,660</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155,553</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197,851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payable</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31,265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716,395</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830,024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0.50% Convertible notes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1,020</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Long-term loan</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450,000</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 and other</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439,651</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493,848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2,957,646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2,805,191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4,564,712</w:t>
            </w:r>
          </w:p>
        </w:tc>
        <w:tc>
          <w:tcPr>
            <w:tcW w:w="7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4,579,063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$ 154,877</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$ 195,523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98,491</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94,202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In-process research and development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5,640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200"/>
              <w:spacing w:after="0" w:line="202" w:lineRule="exact"/>
              <w:rPr>
                <w:sz w:val="20"/>
                <w:szCs w:val="20"/>
                <w:color w:val="auto"/>
              </w:rPr>
            </w:pPr>
            <w:r>
              <w:rPr>
                <w:rFonts w:ascii="Arial" w:cs="Arial" w:eastAsia="Arial" w:hAnsi="Arial"/>
                <w:sz w:val="18"/>
                <w:szCs w:val="18"/>
                <w:color w:val="auto"/>
              </w:rPr>
              <w:t>Loss on sale of equipment</w:t>
            </w:r>
          </w:p>
        </w:tc>
        <w:tc>
          <w:tcPr>
            <w:tcW w:w="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Equity-based compensation expense</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23,934</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11,258</w:t>
            </w:r>
          </w:p>
        </w:tc>
        <w:tc>
          <w:tcPr>
            <w:tcW w:w="360" w:type="dxa"/>
            <w:vAlign w:val="bottom"/>
          </w:tcPr>
          <w:p>
            <w:pPr>
              <w:spacing w:after="0"/>
              <w:rPr>
                <w:sz w:val="17"/>
                <w:szCs w:val="17"/>
                <w:color w:val="auto"/>
              </w:rPr>
            </w:pP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repurchase of convertible notes</w:t>
            </w:r>
          </w:p>
        </w:tc>
        <w:tc>
          <w:tcPr>
            <w:tcW w:w="12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(2,185)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200"/>
              <w:spacing w:after="0" w:line="202" w:lineRule="exact"/>
              <w:rPr>
                <w:sz w:val="20"/>
                <w:szCs w:val="20"/>
                <w:color w:val="auto"/>
              </w:rPr>
            </w:pPr>
            <w:r>
              <w:rPr>
                <w:rFonts w:ascii="Arial" w:cs="Arial" w:eastAsia="Arial" w:hAnsi="Arial"/>
                <w:sz w:val="18"/>
                <w:szCs w:val="18"/>
                <w:color w:val="auto"/>
              </w:rPr>
              <w:t>Excess tax benefit from equity-based compensation</w:t>
            </w:r>
          </w:p>
        </w:tc>
        <w:tc>
          <w:tcPr>
            <w:tcW w:w="12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from short-term interest-bearing investments</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4,991</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Net changes in operating assets and liabilities, net of amounts acquired:</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67,244</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(125,634)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5,905</w:t>
            </w:r>
          </w:p>
        </w:tc>
        <w:tc>
          <w:tcPr>
            <w:tcW w:w="360" w:type="dxa"/>
            <w:vAlign w:val="bottom"/>
          </w:tcPr>
          <w:p>
            <w:pPr>
              <w:spacing w:after="0"/>
              <w:rPr>
                <w:sz w:val="17"/>
                <w:szCs w:val="17"/>
                <w:color w:val="auto"/>
              </w:rPr>
            </w:pP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21,725</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accrued expenses and accrued personnel</w:t>
            </w:r>
          </w:p>
        </w:tc>
        <w:tc>
          <w:tcPr>
            <w:tcW w:w="12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(61,315)</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2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(49,005)</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30,817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2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(15,932)</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Noncurrent liabilities and other</w:t>
            </w:r>
          </w:p>
        </w:tc>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(44,027)</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10"/>
        </w:trPr>
        <w:tc>
          <w:tcPr>
            <w:tcW w:w="89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Proceeds from sale of equipment and leasehold improvements</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340</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for purchase of equipment and leasehold improvements</w:t>
            </w:r>
          </w:p>
        </w:tc>
        <w:tc>
          <w:tcPr>
            <w:tcW w:w="12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(47,818)</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(69,126)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Proceeds from sale of short-term interest-bearing investments</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323,234</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360,297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short-term interest-bearing investments</w:t>
            </w:r>
          </w:p>
        </w:tc>
        <w:tc>
          <w:tcPr>
            <w:tcW w:w="12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(376,579)</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(301,260)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Net cash paid for acquisition</w:t>
            </w:r>
          </w:p>
        </w:tc>
        <w:tc>
          <w:tcPr>
            <w:tcW w:w="20" w:type="dxa"/>
            <w:vAlign w:val="bottom"/>
          </w:tcPr>
          <w:p>
            <w:pPr>
              <w:spacing w:after="0"/>
              <w:rPr>
                <w:sz w:val="17"/>
                <w:szCs w:val="17"/>
                <w:color w:val="auto"/>
              </w:rPr>
            </w:pPr>
          </w:p>
        </w:tc>
        <w:tc>
          <w:tcPr>
            <w:tcW w:w="11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(61,855)</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(162,678)</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(18,658)</w:t>
            </w:r>
          </w:p>
        </w:tc>
        <w:tc>
          <w:tcPr>
            <w:tcW w:w="0" w:type="dxa"/>
            <w:vAlign w:val="bottom"/>
          </w:tcPr>
          <w:p>
            <w:pPr>
              <w:spacing w:after="0"/>
              <w:rPr>
                <w:sz w:val="1"/>
                <w:szCs w:val="1"/>
                <w:color w:val="auto"/>
              </w:rPr>
            </w:pPr>
          </w:p>
        </w:tc>
      </w:tr>
      <w:tr>
        <w:trPr>
          <w:trHeight w:val="41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 under long-term financing arrangements</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Redemption of convertible notes</w:t>
            </w:r>
          </w:p>
        </w:tc>
        <w:tc>
          <w:tcPr>
            <w:tcW w:w="12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(330,780)</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 of convertible notes</w:t>
            </w:r>
          </w:p>
        </w:tc>
        <w:tc>
          <w:tcPr>
            <w:tcW w:w="12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(116,015)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Repurchase of shares</w:t>
            </w:r>
          </w:p>
        </w:tc>
        <w:tc>
          <w:tcPr>
            <w:tcW w:w="12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(20,014)</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(122,441)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options exercised</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1,797</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Borrowing under short-term financing arrangements</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540</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under capital lease financing arrangements</w:t>
            </w:r>
          </w:p>
        </w:tc>
        <w:tc>
          <w:tcPr>
            <w:tcW w:w="12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(950)</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Excess tax benefit from equity-based compensation</w:t>
            </w:r>
          </w:p>
        </w:tc>
        <w:tc>
          <w:tcPr>
            <w:tcW w:w="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(15,420)</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(106,618)</w:t>
            </w:r>
          </w:p>
        </w:tc>
        <w:tc>
          <w:tcPr>
            <w:tcW w:w="0" w:type="dxa"/>
            <w:vAlign w:val="bottom"/>
          </w:tcPr>
          <w:p>
            <w:pPr>
              <w:spacing w:after="0"/>
              <w:rPr>
                <w:sz w:val="1"/>
                <w:szCs w:val="1"/>
                <w:color w:val="auto"/>
              </w:rPr>
            </w:pPr>
          </w:p>
        </w:tc>
      </w:tr>
      <w:tr>
        <w:trPr>
          <w:trHeight w:val="412"/>
        </w:trPr>
        <w:tc>
          <w:tcPr>
            <w:tcW w:w="89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43,501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718,850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615,501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$ 762,351</w:t>
            </w:r>
          </w:p>
        </w:tc>
        <w:tc>
          <w:tcPr>
            <w:tcW w:w="36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$ 680,670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2"/>
                <w:szCs w:val="12"/>
                <w:color w:val="auto"/>
              </w:rPr>
            </w:pPr>
          </w:p>
        </w:tc>
        <w:tc>
          <w:tcPr>
            <w:tcW w:w="158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March 31, 2009</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center"/>
              <w:ind w:right="55"/>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Borders>
              <w:right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North America</w:t>
            </w: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558.7</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570.5</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105.0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111.4</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150.9</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133.0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3"/>
        </w:trPr>
        <w:tc>
          <w:tcPr>
            <w:tcW w:w="4600" w:type="dxa"/>
            <w:vAlign w:val="bottom"/>
            <w:tcBorders>
              <w:right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115.7</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116.8</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825.3</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820.3</w:t>
            </w:r>
          </w:p>
        </w:tc>
        <w:tc>
          <w:tcPr>
            <w:tcW w:w="30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2"/>
                <w:szCs w:val="12"/>
                <w:color w:val="auto"/>
              </w:rPr>
            </w:pPr>
          </w:p>
        </w:tc>
        <w:tc>
          <w:tcPr>
            <w:tcW w:w="158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March 31, 2009</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center"/>
              <w:ind w:right="55"/>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0" w:type="dxa"/>
            <w:vAlign w:val="bottom"/>
            <w:tcBorders>
              <w:right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Customer Experience</w:t>
            </w: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Systems</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668.0</w:t>
            </w:r>
          </w:p>
        </w:tc>
        <w:tc>
          <w:tcPr>
            <w:tcW w:w="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701.0</w:t>
            </w:r>
          </w:p>
        </w:tc>
        <w:tc>
          <w:tcPr>
            <w:tcW w:w="7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756.5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756.9</w:t>
            </w:r>
          </w:p>
        </w:tc>
        <w:tc>
          <w:tcPr>
            <w:tcW w:w="4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03"/>
        </w:trPr>
        <w:tc>
          <w:tcPr>
            <w:tcW w:w="4600" w:type="dxa"/>
            <w:vAlign w:val="bottom"/>
            <w:tcBorders>
              <w:right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Directory</w:t>
            </w: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2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52.8</w:t>
            </w:r>
          </w:p>
        </w:tc>
        <w:tc>
          <w:tcPr>
            <w:tcW w:w="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68.8</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63.4</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711.1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753.8</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825.3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820.3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5"/>
          </w:tcPr>
          <w:p>
            <w:pPr>
              <w:ind w:left="300"/>
              <w:spacing w:after="0" w:line="143" w:lineRule="exact"/>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2"/>
                <w:szCs w:val="12"/>
                <w:color w:val="auto"/>
              </w:rPr>
            </w:pPr>
          </w:p>
        </w:tc>
        <w:tc>
          <w:tcPr>
            <w:tcW w:w="158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00" w:type="dxa"/>
            <w:vAlign w:val="bottom"/>
            <w:vMerge w:val="restart"/>
          </w:tcPr>
          <w:p>
            <w:pPr>
              <w:spacing w:after="0"/>
              <w:rPr>
                <w:sz w:val="20"/>
                <w:szCs w:val="20"/>
                <w:color w:val="auto"/>
              </w:rPr>
            </w:pPr>
            <w:r>
              <w:rPr>
                <w:rFonts w:ascii="Arial" w:cs="Arial" w:eastAsia="Arial" w:hAnsi="Arial"/>
                <w:sz w:val="18"/>
                <w:szCs w:val="18"/>
                <w:color w:val="auto"/>
              </w:rPr>
              <w:t>12-Month Backlog</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March 31, 2009</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center"/>
              <w:ind w:right="55"/>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2,420</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2019-12-10T16:37:38Z</dcterms:created>
  <dcterms:modified xsi:type="dcterms:W3CDTF">2019-12-10T16:37:38Z</dcterms:modified>
</cp:coreProperties>
</file>