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UNITED STATES SECURITIES AND EXCHANGE COMMISSION</w:t>
      </w:r>
    </w:p>
    <w:p>
      <w:pPr>
        <w:spacing w:after="0" w:line="2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ind w:left="274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FORM 20-F</w:t>
      </w:r>
    </w:p>
    <w:p>
      <w:pPr>
        <w:spacing w:after="0" w:line="201" w:lineRule="exact"/>
        <w:rPr>
          <w:sz w:val="24"/>
          <w:szCs w:val="24"/>
          <w:color w:val="auto"/>
        </w:rPr>
      </w:pPr>
    </w:p>
    <w:p>
      <w:pPr>
        <w:ind w:left="540" w:right="1999" w:hanging="532"/>
        <w:spacing w:after="0" w:line="257"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REGISTRATION STATEMENT PURSUANT TO SECTION 12(b) OR (g) OF THE SECURITIES EXCHANGE ACT OF 1934</w:t>
      </w:r>
    </w:p>
    <w:p>
      <w:pPr>
        <w:ind w:left="4120"/>
        <w:spacing w:after="0"/>
        <w:rPr>
          <w:sz w:val="20"/>
          <w:szCs w:val="20"/>
          <w:color w:val="auto"/>
        </w:rPr>
      </w:pPr>
      <w:r>
        <w:rPr>
          <w:rFonts w:ascii="Courier New" w:cs="Courier New" w:eastAsia="Courier New" w:hAnsi="Courier New"/>
          <w:sz w:val="18"/>
          <w:szCs w:val="18"/>
          <w:color w:val="auto"/>
        </w:rPr>
        <w:t>OR</w:t>
      </w:r>
    </w:p>
    <w:p>
      <w:pPr>
        <w:spacing w:after="0" w:line="169" w:lineRule="exact"/>
        <w:rPr>
          <w:sz w:val="24"/>
          <w:szCs w:val="24"/>
          <w:color w:val="auto"/>
        </w:rPr>
      </w:pPr>
    </w:p>
    <w:p>
      <w:pPr>
        <w:ind w:left="540" w:right="2099" w:hanging="532"/>
        <w:spacing w:after="0" w:line="257" w:lineRule="auto"/>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ANNUAL REPORT PURSUANT TO SECTION 13 OR 15(d) OF THE SECURITIES EXCHANGE ACT OF 1934</w:t>
      </w:r>
    </w:p>
    <w:p>
      <w:pPr>
        <w:ind w:left="19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FOR THE FISCAL YEAR ENDED SEPTEMBER 30, 2003</w:t>
      </w:r>
    </w:p>
    <w:p>
      <w:pPr>
        <w:spacing w:after="0" w:line="169"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OR</w:t>
      </w:r>
    </w:p>
    <w:p>
      <w:pPr>
        <w:spacing w:after="0" w:line="201" w:lineRule="exact"/>
        <w:rPr>
          <w:sz w:val="24"/>
          <w:szCs w:val="24"/>
          <w:color w:val="auto"/>
        </w:rPr>
      </w:pPr>
    </w:p>
    <w:p>
      <w:pPr>
        <w:ind w:left="420" w:right="1779" w:hanging="412"/>
        <w:spacing w:after="0" w:line="257" w:lineRule="auto"/>
        <w:tabs>
          <w:tab w:leader="none" w:pos="209"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TRANSITION REPORT PURSUANT TO SECTION 13 OR 15(d) OF THE SECURITIES EXCHANGE ACT OF 1934</w:t>
      </w:r>
    </w:p>
    <w:p>
      <w:pPr>
        <w:ind w:left="14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FOR THE TRANSITION PERIOD FROM ________ TO ________.</w:t>
      </w:r>
    </w:p>
    <w:p>
      <w:pPr>
        <w:spacing w:after="0" w:line="169"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COMMISSION FILE NUMBER 1-14840</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9"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16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ISLAND OF GUERNSEY</w:t>
      </w:r>
    </w:p>
    <w:p>
      <w:pPr>
        <w:spacing w:after="0" w:line="29"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w:t>
      </w:r>
    </w:p>
    <w:p>
      <w:pPr>
        <w:ind w:left="1700"/>
        <w:spacing w:after="0"/>
        <w:rPr>
          <w:sz w:val="20"/>
          <w:szCs w:val="20"/>
          <w:color w:val="auto"/>
        </w:rPr>
      </w:pPr>
      <w:r>
        <w:rPr>
          <w:rFonts w:ascii="Courier New" w:cs="Courier New" w:eastAsia="Courier New" w:hAnsi="Courier New"/>
          <w:sz w:val="18"/>
          <w:szCs w:val="18"/>
          <w:color w:val="auto"/>
        </w:rPr>
        <w:t>(Jurisdiction of incorporation or organization)</w:t>
      </w:r>
    </w:p>
    <w:p>
      <w:pPr>
        <w:spacing w:after="0" w:line="16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SUITE 5, TOWER HILL HOUSE LE BORDAGE</w:t>
      </w:r>
    </w:p>
    <w:p>
      <w:pPr>
        <w:spacing w:after="0" w:line="29"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8"/>
          <w:szCs w:val="18"/>
          <w:color w:val="auto"/>
        </w:rPr>
        <w:t>ST. PETER PORT, ISLAND OF GUERNSEY, GY1 3QT CHANNEL ISLANDS</w:t>
      </w:r>
    </w:p>
    <w:p>
      <w:pPr>
        <w:jc w:val="center"/>
        <w:ind w:right="1779"/>
        <w:spacing w:after="0" w:line="238" w:lineRule="auto"/>
        <w:rPr>
          <w:sz w:val="20"/>
          <w:szCs w:val="20"/>
          <w:color w:val="auto"/>
        </w:rPr>
      </w:pPr>
      <w:r>
        <w:rPr>
          <w:rFonts w:ascii="Courier New" w:cs="Courier New" w:eastAsia="Courier New" w:hAnsi="Courier New"/>
          <w:sz w:val="18"/>
          <w:szCs w:val="18"/>
          <w:color w:val="auto"/>
        </w:rPr>
        <w:t>AMDOCS, INC.</w:t>
      </w:r>
    </w:p>
    <w:p>
      <w:pPr>
        <w:jc w:val="center"/>
        <w:ind w:right="1899"/>
        <w:spacing w:after="0"/>
        <w:rPr>
          <w:sz w:val="20"/>
          <w:szCs w:val="20"/>
          <w:color w:val="auto"/>
        </w:rPr>
      </w:pPr>
      <w:r>
        <w:rPr>
          <w:rFonts w:ascii="Courier New" w:cs="Courier New" w:eastAsia="Courier New" w:hAnsi="Courier New"/>
          <w:sz w:val="18"/>
          <w:szCs w:val="18"/>
          <w:color w:val="auto"/>
        </w:rPr>
        <w:t>1390 TIMBERLAKE MANOR PARKWAY, CHESTERFIELD, MISSOURI 63017</w:t>
      </w:r>
    </w:p>
    <w:p>
      <w:pPr>
        <w:ind w:left="860"/>
        <w:spacing w:after="0" w:line="238" w:lineRule="auto"/>
        <w:rPr>
          <w:sz w:val="20"/>
          <w:szCs w:val="20"/>
          <w:color w:val="auto"/>
        </w:rPr>
      </w:pPr>
      <w:r>
        <w:rPr>
          <w:rFonts w:ascii="Courier New" w:cs="Courier New" w:eastAsia="Courier New" w:hAnsi="Courier New"/>
          <w:sz w:val="18"/>
          <w:szCs w:val="18"/>
          <w:color w:val="auto"/>
        </w:rPr>
        <w:t>---------------------------------------------------------------</w:t>
      </w:r>
    </w:p>
    <w:p>
      <w:pPr>
        <w:ind w:left="2120"/>
        <w:spacing w:after="0"/>
        <w:rPr>
          <w:sz w:val="20"/>
          <w:szCs w:val="20"/>
          <w:color w:val="auto"/>
        </w:rPr>
      </w:pPr>
      <w:r>
        <w:rPr>
          <w:rFonts w:ascii="Courier New" w:cs="Courier New" w:eastAsia="Courier New" w:hAnsi="Courier New"/>
          <w:sz w:val="18"/>
          <w:szCs w:val="18"/>
          <w:color w:val="auto"/>
        </w:rPr>
        <w:t>(Address of principal executive offices)</w:t>
      </w:r>
    </w:p>
    <w:p>
      <w:pPr>
        <w:spacing w:after="0" w:line="169"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Securities registered or to be registered pursuant to Section 12(b) of the</w:t>
      </w:r>
    </w:p>
    <w:p>
      <w:pPr>
        <w:spacing w:after="0" w:line="5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Act:</w:t>
      </w:r>
    </w:p>
    <w:p>
      <w:pPr>
        <w:spacing w:after="0" w:line="169" w:lineRule="exact"/>
        <w:rPr>
          <w:sz w:val="24"/>
          <w:szCs w:val="24"/>
          <w:color w:val="auto"/>
        </w:rPr>
      </w:pPr>
    </w:p>
    <w:p>
      <w:pPr>
        <w:jc w:val="center"/>
        <w:ind w:right="9159"/>
        <w:spacing w:after="0"/>
        <w:rPr>
          <w:sz w:val="20"/>
          <w:szCs w:val="20"/>
          <w:color w:val="auto"/>
        </w:rPr>
      </w:pPr>
      <w:r>
        <w:rPr>
          <w:rFonts w:ascii="Courier New" w:cs="Courier New" w:eastAsia="Courier New" w:hAnsi="Courier New"/>
          <w:sz w:val="18"/>
          <w:szCs w:val="18"/>
          <w:color w:val="auto"/>
        </w:rPr>
        <w:t>TITLE OF</w:t>
      </w:r>
    </w:p>
    <w:p>
      <w:pPr>
        <w:spacing w:after="0" w:line="31" w:lineRule="exact"/>
        <w:rPr>
          <w:sz w:val="24"/>
          <w:szCs w:val="24"/>
          <w:color w:val="auto"/>
        </w:rPr>
      </w:pPr>
    </w:p>
    <w:p>
      <w:pPr>
        <w:jc w:val="center"/>
        <w:ind w:right="9159"/>
        <w:spacing w:after="0"/>
        <w:rPr>
          <w:sz w:val="20"/>
          <w:szCs w:val="20"/>
          <w:color w:val="auto"/>
        </w:rPr>
      </w:pPr>
      <w:r>
        <w:rPr>
          <w:rFonts w:ascii="Courier New" w:cs="Courier New" w:eastAsia="Courier New" w:hAnsi="Courier New"/>
          <w:sz w:val="16"/>
          <w:szCs w:val="16"/>
          <w:color w:val="auto"/>
        </w:rPr>
        <w:t>EACH CLASS</w:t>
      </w:r>
    </w:p>
    <w:p>
      <w:pPr>
        <w:spacing w:after="0" w:line="20" w:lineRule="exact"/>
        <w:rPr>
          <w:sz w:val="24"/>
          <w:szCs w:val="24"/>
          <w:color w:val="auto"/>
        </w:rPr>
      </w:pPr>
    </w:p>
    <w:p>
      <w:pPr>
        <w:jc w:val="center"/>
        <w:ind w:right="9159"/>
        <w:spacing w:after="0"/>
        <w:rPr>
          <w:sz w:val="20"/>
          <w:szCs w:val="20"/>
          <w:color w:val="auto"/>
        </w:rPr>
      </w:pPr>
      <w:r>
        <w:rPr>
          <w:rFonts w:ascii="Courier New" w:cs="Courier New" w:eastAsia="Courier New" w:hAnsi="Courier New"/>
          <w:sz w:val="18"/>
          <w:szCs w:val="18"/>
          <w:color w:val="auto"/>
        </w:rPr>
        <w:t>NAME OF</w:t>
      </w:r>
    </w:p>
    <w:p>
      <w:pPr>
        <w:jc w:val="center"/>
        <w:ind w:right="9159"/>
        <w:spacing w:after="0" w:line="238" w:lineRule="auto"/>
        <w:rPr>
          <w:sz w:val="20"/>
          <w:szCs w:val="20"/>
          <w:color w:val="auto"/>
        </w:rPr>
      </w:pPr>
      <w:r>
        <w:rPr>
          <w:rFonts w:ascii="Courier New" w:cs="Courier New" w:eastAsia="Courier New" w:hAnsi="Courier New"/>
          <w:sz w:val="18"/>
          <w:szCs w:val="18"/>
          <w:color w:val="auto"/>
        </w:rPr>
        <w:t>EXCHANGE</w:t>
      </w:r>
    </w:p>
    <w:p>
      <w:pPr>
        <w:jc w:val="center"/>
        <w:ind w:right="9159"/>
        <w:spacing w:after="0"/>
        <w:rPr>
          <w:sz w:val="20"/>
          <w:szCs w:val="20"/>
          <w:color w:val="auto"/>
        </w:rPr>
      </w:pPr>
      <w:r>
        <w:rPr>
          <w:rFonts w:ascii="Courier New" w:cs="Courier New" w:eastAsia="Courier New" w:hAnsi="Courier New"/>
          <w:sz w:val="18"/>
          <w:szCs w:val="18"/>
          <w:color w:val="auto"/>
        </w:rPr>
        <w:t>ON WHICH</w:t>
      </w:r>
    </w:p>
    <w:p>
      <w:pPr>
        <w:jc w:val="center"/>
        <w:ind w:right="9159"/>
        <w:spacing w:after="0"/>
        <w:rPr>
          <w:sz w:val="20"/>
          <w:szCs w:val="20"/>
          <w:color w:val="auto"/>
        </w:rPr>
      </w:pPr>
      <w:r>
        <w:rPr>
          <w:rFonts w:ascii="Courier New" w:cs="Courier New" w:eastAsia="Courier New" w:hAnsi="Courier New"/>
          <w:sz w:val="16"/>
          <w:szCs w:val="16"/>
          <w:color w:val="auto"/>
        </w:rPr>
        <w:t>REGISTERED</w:t>
      </w:r>
    </w:p>
    <w:p>
      <w:pPr>
        <w:spacing w:after="0" w:line="2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ind w:left="220"/>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Ordinary</w:t>
      </w:r>
    </w:p>
    <w:p>
      <w:pPr>
        <w:ind w:left="160"/>
        <w:spacing w:after="0" w:line="238" w:lineRule="auto"/>
        <w:rPr>
          <w:sz w:val="20"/>
          <w:szCs w:val="20"/>
          <w:color w:val="auto"/>
        </w:rPr>
      </w:pPr>
      <w:r>
        <w:rPr>
          <w:rFonts w:ascii="Courier New" w:cs="Courier New" w:eastAsia="Courier New" w:hAnsi="Courier New"/>
          <w:sz w:val="18"/>
          <w:szCs w:val="18"/>
          <w:color w:val="auto"/>
        </w:rPr>
        <w:t>Shares,</w:t>
      </w:r>
    </w:p>
    <w:p>
      <w:pPr>
        <w:jc w:val="center"/>
        <w:ind w:right="9159"/>
        <w:spacing w:after="0"/>
        <w:rPr>
          <w:sz w:val="20"/>
          <w:szCs w:val="20"/>
          <w:color w:val="auto"/>
        </w:rPr>
      </w:pPr>
      <w:r>
        <w:rPr>
          <w:rFonts w:ascii="Courier New" w:cs="Courier New" w:eastAsia="Courier New" w:hAnsi="Courier New"/>
          <w:sz w:val="18"/>
          <w:szCs w:val="18"/>
          <w:color w:val="auto"/>
        </w:rPr>
        <w:t>par value</w:t>
      </w:r>
    </w:p>
    <w:p>
      <w:pPr>
        <w:jc w:val="center"/>
        <w:ind w:right="9159"/>
        <w:spacing w:after="0" w:line="238" w:lineRule="auto"/>
        <w:rPr>
          <w:sz w:val="20"/>
          <w:szCs w:val="20"/>
          <w:color w:val="auto"/>
        </w:rPr>
      </w:pPr>
      <w:r>
        <w:rPr>
          <w:rFonts w:ascii="Courier New" w:cs="Courier New" w:eastAsia="Courier New" w:hAnsi="Courier New"/>
          <w:sz w:val="18"/>
          <w:szCs w:val="18"/>
          <w:color w:val="auto"/>
        </w:rPr>
        <w:t>L0.01 New</w:t>
      </w:r>
    </w:p>
    <w:p>
      <w:pPr>
        <w:jc w:val="center"/>
        <w:ind w:right="9159"/>
        <w:spacing w:after="0"/>
        <w:rPr>
          <w:sz w:val="20"/>
          <w:szCs w:val="20"/>
          <w:color w:val="auto"/>
        </w:rPr>
      </w:pPr>
      <w:r>
        <w:rPr>
          <w:rFonts w:ascii="Courier New" w:cs="Courier New" w:eastAsia="Courier New" w:hAnsi="Courier New"/>
          <w:sz w:val="16"/>
          <w:szCs w:val="16"/>
          <w:color w:val="auto"/>
        </w:rPr>
        <w:t>York Stock</w:t>
      </w:r>
    </w:p>
    <w:p>
      <w:pPr>
        <w:spacing w:after="0" w:line="21" w:lineRule="exact"/>
        <w:rPr>
          <w:sz w:val="24"/>
          <w:szCs w:val="24"/>
          <w:color w:val="auto"/>
        </w:rPr>
      </w:pPr>
    </w:p>
    <w:p>
      <w:pPr>
        <w:jc w:val="center"/>
        <w:ind w:right="9159"/>
        <w:spacing w:after="0"/>
        <w:rPr>
          <w:sz w:val="20"/>
          <w:szCs w:val="20"/>
          <w:color w:val="auto"/>
        </w:rPr>
      </w:pPr>
      <w:r>
        <w:rPr>
          <w:rFonts w:ascii="Courier New" w:cs="Courier New" w:eastAsia="Courier New" w:hAnsi="Courier New"/>
          <w:sz w:val="18"/>
          <w:szCs w:val="18"/>
          <w:color w:val="auto"/>
        </w:rPr>
        <w:t>Exchange</w:t>
      </w:r>
    </w:p>
    <w:p>
      <w:pPr>
        <w:spacing w:after="0" w:line="372"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Securities registered or to be registered pursuant to Section 12(g) of the</w:t>
      </w:r>
    </w:p>
    <w:p>
      <w:pPr>
        <w:spacing w:after="0" w:line="5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Act:</w:t>
      </w:r>
    </w:p>
    <w:p>
      <w:pPr>
        <w:spacing w:after="0" w:line="16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NONE</w:t>
      </w:r>
    </w:p>
    <w:p>
      <w:pPr>
        <w:spacing w:after="0" w:line="3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4"/>
          <w:szCs w:val="24"/>
          <w:color w:val="auto"/>
        </w:rPr>
      </w:pPr>
    </w:p>
    <w:p>
      <w:pPr>
        <w:ind w:right="2099" w:firstLine="527"/>
        <w:spacing w:after="0" w:line="347" w:lineRule="auto"/>
        <w:rPr>
          <w:sz w:val="20"/>
          <w:szCs w:val="20"/>
          <w:color w:val="auto"/>
        </w:rPr>
      </w:pPr>
      <w:r>
        <w:rPr>
          <w:rFonts w:ascii="Courier New" w:cs="Courier New" w:eastAsia="Courier New" w:hAnsi="Courier New"/>
          <w:sz w:val="18"/>
          <w:szCs w:val="18"/>
          <w:color w:val="auto"/>
        </w:rPr>
        <w:t>Securities for which there is a reporting obligation pursuant to Section 15(d) of the Act:</w:t>
      </w:r>
    </w:p>
    <w:p>
      <w:pPr>
        <w:spacing w:after="0" w:line="1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NONE</w:t>
      </w:r>
    </w:p>
    <w:p>
      <w:pPr>
        <w:spacing w:after="0" w:line="3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4"/>
          <w:szCs w:val="24"/>
          <w:color w:val="auto"/>
        </w:rPr>
      </w:pPr>
    </w:p>
    <w:p>
      <w:pPr>
        <w:jc w:val="both"/>
        <w:ind w:right="1999" w:firstLine="527"/>
        <w:spacing w:after="0" w:line="292" w:lineRule="auto"/>
        <w:rPr>
          <w:sz w:val="20"/>
          <w:szCs w:val="20"/>
          <w:color w:val="auto"/>
        </w:rPr>
      </w:pPr>
      <w:r>
        <w:rPr>
          <w:rFonts w:ascii="Courier New" w:cs="Courier New" w:eastAsia="Courier New" w:hAnsi="Courier New"/>
          <w:sz w:val="18"/>
          <w:szCs w:val="18"/>
          <w:color w:val="auto"/>
        </w:rPr>
        <w:t>Indicate the number of outstanding shares of each of the issuer's classes of capital or common stock as of the close of the period covered by the Annual Report.</w:t>
      </w:r>
    </w:p>
    <w:p>
      <w:pPr>
        <w:sectPr>
          <w:pgSz w:w="11900" w:h="16838" w:orient="portrait"/>
          <w:cols w:equalWidth="0" w:num="1">
            <w:col w:w="10219"/>
          </w:cols>
          <w:pgMar w:left="240" w:top="623" w:right="1440" w:bottom="320" w:gutter="0" w:footer="0" w:header="0"/>
        </w:sectPr>
      </w:pPr>
    </w:p>
    <w:bookmarkStart w:id="1" w:name="page2"/>
    <w:bookmarkEnd w:id="1"/>
    <w:p>
      <w:pPr>
        <w:ind w:right="2440"/>
        <w:spacing w:after="0" w:line="347" w:lineRule="auto"/>
        <w:rPr>
          <w:sz w:val="20"/>
          <w:szCs w:val="20"/>
          <w:color w:val="auto"/>
        </w:rPr>
      </w:pPr>
      <w:r>
        <w:rPr>
          <w:rFonts w:ascii="Courier New" w:cs="Courier New" w:eastAsia="Courier New" w:hAnsi="Courier New"/>
          <w:sz w:val="18"/>
          <w:szCs w:val="18"/>
          <w:color w:val="auto"/>
        </w:rPr>
        <w:t>Ordinary Shares, par value L0.01 (Title of 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216,057,098(1)</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 of shares)</w:t>
      </w:r>
    </w:p>
    <w:p>
      <w:pPr>
        <w:spacing w:after="0" w:line="373" w:lineRule="exact"/>
        <w:rPr>
          <w:sz w:val="20"/>
          <w:szCs w:val="20"/>
          <w:color w:val="auto"/>
        </w:rPr>
      </w:pPr>
    </w:p>
    <w:p>
      <w:pPr>
        <w:sectPr>
          <w:pgSz w:w="11900" w:h="16838" w:orient="portrait"/>
          <w:cols w:equalWidth="0" w:num="2">
            <w:col w:w="5820" w:space="720"/>
            <w:col w:w="3679"/>
          </w:cols>
          <w:pgMar w:left="240" w:top="110" w:right="1440" w:bottom="1440" w:gutter="0" w:footer="0" w:header="0"/>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31" w:lineRule="exact"/>
        <w:rPr>
          <w:sz w:val="20"/>
          <w:szCs w:val="20"/>
          <w:color w:val="auto"/>
        </w:rPr>
      </w:pPr>
    </w:p>
    <w:p>
      <w:pPr>
        <w:ind w:left="420" w:right="1779" w:hanging="412"/>
        <w:spacing w:after="0" w:line="248"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Net of 7,732,500 shares held in treasury. Does not include (a) 25,314,760 ordinary shares reserved for issuance upon exercise of options granted under our stock option plan, (b) 250,930 ordinary shares reserved for issuance upon exercise of options granted by companies we have acquired, and (c) 4,348,410 ordinary shares reserved for issuance upon conversion of our 2% Convertible Notes due June 1, 2008. As of September 30, 2003, 4,126,299 ordinary shares remained available for future option grants under our stock option plan.</w:t>
      </w:r>
    </w:p>
    <w:p>
      <w:pPr>
        <w:spacing w:after="0" w:line="106" w:lineRule="exact"/>
        <w:rPr>
          <w:sz w:val="20"/>
          <w:szCs w:val="20"/>
          <w:color w:val="auto"/>
        </w:rPr>
      </w:pPr>
    </w:p>
    <w:p>
      <w:pPr>
        <w:ind w:right="1879" w:firstLine="527"/>
        <w:spacing w:after="0" w:line="245" w:lineRule="auto"/>
        <w:rPr>
          <w:sz w:val="20"/>
          <w:szCs w:val="20"/>
          <w:color w:val="auto"/>
        </w:rPr>
      </w:pPr>
      <w:r>
        <w:rPr>
          <w:rFonts w:ascii="Courier New" w:cs="Courier New" w:eastAsia="Courier New" w:hAnsi="Courier New"/>
          <w:sz w:val="18"/>
          <w:szCs w:val="18"/>
          <w:color w:val="auto"/>
        </w:rPr>
        <w:t>Indicate by check mark whether the registrant has (1)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4" w:lineRule="exact"/>
        <w:rPr>
          <w:sz w:val="20"/>
          <w:szCs w:val="20"/>
          <w:color w:val="auto"/>
        </w:rPr>
      </w:pPr>
    </w:p>
    <w:p>
      <w:pPr>
        <w:ind w:left="2740"/>
        <w:spacing w:after="0"/>
        <w:tabs>
          <w:tab w:leader="none" w:pos="5040" w:val="left"/>
        </w:tabs>
        <w:rPr>
          <w:sz w:val="20"/>
          <w:szCs w:val="20"/>
          <w:color w:val="auto"/>
        </w:rPr>
      </w:pPr>
      <w:r>
        <w:rPr>
          <w:rFonts w:ascii="Courier New" w:cs="Courier New" w:eastAsia="Courier New" w:hAnsi="Courier New"/>
          <w:sz w:val="18"/>
          <w:szCs w:val="18"/>
          <w:color w:val="auto"/>
        </w:rPr>
        <w:t>Yes [X]</w:t>
      </w:r>
      <w:r>
        <w:rPr>
          <w:sz w:val="20"/>
          <w:szCs w:val="20"/>
          <w:color w:val="auto"/>
        </w:rPr>
        <w:tab/>
      </w:r>
      <w:r>
        <w:rPr>
          <w:rFonts w:ascii="Courier New" w:cs="Courier New" w:eastAsia="Courier New" w:hAnsi="Courier New"/>
          <w:sz w:val="16"/>
          <w:szCs w:val="16"/>
          <w:color w:val="auto"/>
        </w:rPr>
        <w:t>No [ ]</w:t>
      </w:r>
    </w:p>
    <w:p>
      <w:pPr>
        <w:spacing w:after="0" w:line="169" w:lineRule="exact"/>
        <w:rPr>
          <w:sz w:val="20"/>
          <w:szCs w:val="20"/>
          <w:color w:val="auto"/>
        </w:rPr>
      </w:pPr>
    </w:p>
    <w:p>
      <w:pPr>
        <w:ind w:right="2099" w:firstLine="527"/>
        <w:spacing w:after="0" w:line="257" w:lineRule="auto"/>
        <w:rPr>
          <w:sz w:val="20"/>
          <w:szCs w:val="20"/>
          <w:color w:val="auto"/>
        </w:rPr>
      </w:pPr>
      <w:r>
        <w:rPr>
          <w:rFonts w:ascii="Courier New" w:cs="Courier New" w:eastAsia="Courier New" w:hAnsi="Courier New"/>
          <w:sz w:val="18"/>
          <w:szCs w:val="18"/>
          <w:color w:val="auto"/>
        </w:rPr>
        <w:t>Indicate by check mark which financial statement item the registrant has selected to follow.</w:t>
      </w:r>
    </w:p>
    <w:p>
      <w:pPr>
        <w:ind w:left="2220"/>
        <w:spacing w:after="0"/>
        <w:tabs>
          <w:tab w:leader="none" w:pos="4940" w:val="left"/>
        </w:tabs>
        <w:rPr>
          <w:sz w:val="20"/>
          <w:szCs w:val="20"/>
          <w:color w:val="auto"/>
        </w:rPr>
      </w:pPr>
      <w:r>
        <w:rPr>
          <w:rFonts w:ascii="Courier New" w:cs="Courier New" w:eastAsia="Courier New" w:hAnsi="Courier New"/>
          <w:sz w:val="18"/>
          <w:szCs w:val="18"/>
          <w:color w:val="auto"/>
        </w:rPr>
        <w:t>Item 17 [ ]</w:t>
      </w:r>
      <w:r>
        <w:rPr>
          <w:sz w:val="20"/>
          <w:szCs w:val="20"/>
          <w:color w:val="auto"/>
        </w:rPr>
        <w:tab/>
      </w:r>
      <w:r>
        <w:rPr>
          <w:rFonts w:ascii="Courier New" w:cs="Courier New" w:eastAsia="Courier New" w:hAnsi="Courier New"/>
          <w:sz w:val="16"/>
          <w:szCs w:val="16"/>
          <w:color w:val="auto"/>
        </w:rPr>
        <w:t>Item 18 [X]</w:t>
      </w:r>
    </w:p>
    <w:p>
      <w:pPr>
        <w:sectPr>
          <w:pgSz w:w="11900" w:h="16838" w:orient="portrait"/>
          <w:cols w:equalWidth="0" w:num="1">
            <w:col w:w="10219"/>
          </w:cols>
          <w:pgMar w:left="240" w:top="110" w:right="1440" w:bottom="1440" w:gutter="0" w:footer="0" w:header="0"/>
          <w:type w:val="continuous"/>
        </w:sectPr>
      </w:pPr>
    </w:p>
    <w:bookmarkStart w:id="2" w:name="page3"/>
    <w:bookmarkEnd w:id="2"/>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3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FORM 20-F</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ANNUAL REPORT FOR THE FISCAL YEAR ENDED SEPTEMBER 30, 2003</w:t>
      </w:r>
    </w:p>
    <w:p>
      <w:pPr>
        <w:spacing w:after="0" w:line="3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1060" w:type="dxa"/>
            <w:vAlign w:val="bottom"/>
          </w:tcPr>
          <w:p>
            <w:pPr>
              <w:spacing w:after="0"/>
              <w:rPr>
                <w:sz w:val="24"/>
                <w:szCs w:val="24"/>
                <w:color w:val="auto"/>
              </w:rPr>
            </w:pPr>
          </w:p>
        </w:tc>
        <w:tc>
          <w:tcPr>
            <w:tcW w:w="6580" w:type="dxa"/>
            <w:vAlign w:val="bottom"/>
          </w:tcPr>
          <w:p>
            <w:pPr>
              <w:jc w:val="right"/>
              <w:ind w:right="3112"/>
              <w:spacing w:after="0"/>
              <w:rPr>
                <w:sz w:val="20"/>
                <w:szCs w:val="20"/>
                <w:color w:val="auto"/>
              </w:rPr>
            </w:pPr>
            <w:r>
              <w:rPr>
                <w:rFonts w:ascii="Courier New" w:cs="Courier New" w:eastAsia="Courier New" w:hAnsi="Courier New"/>
                <w:sz w:val="18"/>
                <w:szCs w:val="18"/>
                <w:color w:val="auto"/>
              </w:rPr>
              <w:t>INDEX</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0"/>
        </w:trPr>
        <w:tc>
          <w:tcPr>
            <w:tcW w:w="1060" w:type="dxa"/>
            <w:vAlign w:val="bottom"/>
          </w:tcPr>
          <w:p>
            <w:pPr>
              <w:spacing w:after="0"/>
              <w:rPr>
                <w:sz w:val="24"/>
                <w:szCs w:val="24"/>
                <w:color w:val="auto"/>
              </w:rPr>
            </w:pPr>
          </w:p>
        </w:tc>
        <w:tc>
          <w:tcPr>
            <w:tcW w:w="6580" w:type="dxa"/>
            <w:vAlign w:val="bottom"/>
          </w:tcPr>
          <w:p>
            <w:pPr>
              <w:jc w:val="right"/>
              <w:ind w:right="3232"/>
              <w:spacing w:after="0"/>
              <w:rPr>
                <w:sz w:val="20"/>
                <w:szCs w:val="20"/>
                <w:color w:val="auto"/>
              </w:rPr>
            </w:pPr>
            <w:r>
              <w:rPr>
                <w:rFonts w:ascii="Courier New" w:cs="Courier New" w:eastAsia="Courier New" w:hAnsi="Courier New"/>
                <w:sz w:val="18"/>
                <w:szCs w:val="18"/>
                <w:color w:val="auto"/>
              </w:rPr>
              <w:t>PART I</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060" w:type="dxa"/>
            <w:vAlign w:val="bottom"/>
          </w:tcPr>
          <w:p>
            <w:pPr>
              <w:spacing w:after="0"/>
              <w:rPr>
                <w:sz w:val="20"/>
                <w:szCs w:val="20"/>
                <w:color w:val="auto"/>
              </w:rPr>
            </w:pPr>
            <w:r>
              <w:rPr>
                <w:rFonts w:ascii="Courier New" w:cs="Courier New" w:eastAsia="Courier New" w:hAnsi="Courier New"/>
                <w:sz w:val="18"/>
                <w:szCs w:val="18"/>
                <w:color w:val="auto"/>
              </w:rPr>
              <w:t>Item 1.</w:t>
            </w:r>
          </w:p>
        </w:tc>
        <w:tc>
          <w:tcPr>
            <w:tcW w:w="6580" w:type="dxa"/>
            <w:vAlign w:val="bottom"/>
          </w:tcPr>
          <w:p>
            <w:pPr>
              <w:ind w:left="100"/>
              <w:spacing w:after="0"/>
              <w:rPr>
                <w:sz w:val="20"/>
                <w:szCs w:val="20"/>
                <w:color w:val="auto"/>
              </w:rPr>
            </w:pPr>
            <w:r>
              <w:rPr>
                <w:rFonts w:ascii="Courier New" w:cs="Courier New" w:eastAsia="Courier New" w:hAnsi="Courier New"/>
                <w:sz w:val="18"/>
                <w:szCs w:val="18"/>
                <w:color w:val="auto"/>
                <w:w w:val="99"/>
              </w:rPr>
              <w:t>Identity of Directors, Senior Management and Advisors.......</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3</w:t>
            </w:r>
          </w:p>
        </w:tc>
        <w:tc>
          <w:tcPr>
            <w:tcW w:w="0" w:type="dxa"/>
            <w:vAlign w:val="bottom"/>
          </w:tcPr>
          <w:p>
            <w:pPr>
              <w:spacing w:after="0"/>
              <w:rPr>
                <w:sz w:val="1"/>
                <w:szCs w:val="1"/>
                <w:color w:val="auto"/>
              </w:rPr>
            </w:pP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2.</w:t>
            </w:r>
          </w:p>
        </w:tc>
        <w:tc>
          <w:tcPr>
            <w:tcW w:w="6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Offer Statistics and Expected Timetable.....................</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c>
          <w:tcPr>
            <w:tcW w:w="0" w:type="dxa"/>
            <w:vAlign w:val="bottom"/>
          </w:tcPr>
          <w:p>
            <w:pPr>
              <w:spacing w:after="0"/>
              <w:rPr>
                <w:sz w:val="1"/>
                <w:szCs w:val="1"/>
                <w:color w:val="auto"/>
              </w:rPr>
            </w:pP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3.</w:t>
            </w:r>
          </w:p>
        </w:tc>
        <w:tc>
          <w:tcPr>
            <w:tcW w:w="6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Key Information.............................................</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c>
          <w:tcPr>
            <w:tcW w:w="0" w:type="dxa"/>
            <w:vAlign w:val="bottom"/>
          </w:tcPr>
          <w:p>
            <w:pPr>
              <w:spacing w:after="0"/>
              <w:rPr>
                <w:sz w:val="1"/>
                <w:szCs w:val="1"/>
                <w:color w:val="auto"/>
              </w:rPr>
            </w:pP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6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Information on the Company..................................</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w:t>
            </w:r>
          </w:p>
        </w:tc>
        <w:tc>
          <w:tcPr>
            <w:tcW w:w="0" w:type="dxa"/>
            <w:vAlign w:val="bottom"/>
          </w:tcPr>
          <w:p>
            <w:pPr>
              <w:spacing w:after="0"/>
              <w:rPr>
                <w:sz w:val="1"/>
                <w:szCs w:val="1"/>
                <w:color w:val="auto"/>
              </w:rPr>
            </w:pP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6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Operating and Financial Review and Prospects................</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w:t>
            </w:r>
          </w:p>
        </w:tc>
        <w:tc>
          <w:tcPr>
            <w:tcW w:w="0" w:type="dxa"/>
            <w:vAlign w:val="bottom"/>
          </w:tcPr>
          <w:p>
            <w:pPr>
              <w:spacing w:after="0"/>
              <w:rPr>
                <w:sz w:val="1"/>
                <w:szCs w:val="1"/>
                <w:color w:val="auto"/>
              </w:rPr>
            </w:pP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6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Directors, Senior Management and Employees..................</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w:t>
            </w:r>
          </w:p>
        </w:tc>
        <w:tc>
          <w:tcPr>
            <w:tcW w:w="0" w:type="dxa"/>
            <w:vAlign w:val="bottom"/>
          </w:tcPr>
          <w:p>
            <w:pPr>
              <w:spacing w:after="0"/>
              <w:rPr>
                <w:sz w:val="1"/>
                <w:szCs w:val="1"/>
                <w:color w:val="auto"/>
              </w:rPr>
            </w:pP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6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Major Shareholders and Related Party Transactions...........</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w:t>
            </w:r>
          </w:p>
        </w:tc>
        <w:tc>
          <w:tcPr>
            <w:tcW w:w="0" w:type="dxa"/>
            <w:vAlign w:val="bottom"/>
          </w:tcPr>
          <w:p>
            <w:pPr>
              <w:spacing w:after="0"/>
              <w:rPr>
                <w:sz w:val="1"/>
                <w:szCs w:val="1"/>
                <w:color w:val="auto"/>
              </w:rPr>
            </w:pP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6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Financial Information.......................................</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w:t>
            </w:r>
          </w:p>
        </w:tc>
        <w:tc>
          <w:tcPr>
            <w:tcW w:w="0" w:type="dxa"/>
            <w:vAlign w:val="bottom"/>
          </w:tcPr>
          <w:p>
            <w:pPr>
              <w:spacing w:after="0"/>
              <w:rPr>
                <w:sz w:val="1"/>
                <w:szCs w:val="1"/>
                <w:color w:val="auto"/>
              </w:rPr>
            </w:pP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6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The Offer and Listing.......................................</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w:t>
            </w:r>
          </w:p>
        </w:tc>
        <w:tc>
          <w:tcPr>
            <w:tcW w:w="0" w:type="dxa"/>
            <w:vAlign w:val="bottom"/>
          </w:tcPr>
          <w:p>
            <w:pPr>
              <w:spacing w:after="0"/>
              <w:rPr>
                <w:sz w:val="1"/>
                <w:szCs w:val="1"/>
                <w:color w:val="auto"/>
              </w:rPr>
            </w:pP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10.</w:t>
            </w:r>
          </w:p>
        </w:tc>
        <w:tc>
          <w:tcPr>
            <w:tcW w:w="6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Additional Information......................................</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w:t>
            </w:r>
          </w:p>
        </w:tc>
        <w:tc>
          <w:tcPr>
            <w:tcW w:w="0" w:type="dxa"/>
            <w:vAlign w:val="bottom"/>
          </w:tcPr>
          <w:p>
            <w:pPr>
              <w:spacing w:after="0"/>
              <w:rPr>
                <w:sz w:val="1"/>
                <w:szCs w:val="1"/>
                <w:color w:val="auto"/>
              </w:rPr>
            </w:pP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6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Quantitative and Qualitative Disclosure about Market Risk...</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w:t>
            </w:r>
          </w:p>
        </w:tc>
        <w:tc>
          <w:tcPr>
            <w:tcW w:w="0" w:type="dxa"/>
            <w:vAlign w:val="bottom"/>
          </w:tcPr>
          <w:p>
            <w:pPr>
              <w:spacing w:after="0"/>
              <w:rPr>
                <w:sz w:val="1"/>
                <w:szCs w:val="1"/>
                <w:color w:val="auto"/>
              </w:rPr>
            </w:pPr>
          </w:p>
        </w:tc>
      </w:tr>
      <w:tr>
        <w:trPr>
          <w:trHeight w:val="296"/>
        </w:trPr>
        <w:tc>
          <w:tcPr>
            <w:tcW w:w="1060" w:type="dxa"/>
            <w:vAlign w:val="bottom"/>
          </w:tcPr>
          <w:p>
            <w:pPr>
              <w:spacing w:after="0"/>
              <w:rPr>
                <w:sz w:val="20"/>
                <w:szCs w:val="20"/>
                <w:color w:val="auto"/>
              </w:rPr>
            </w:pPr>
            <w:r>
              <w:rPr>
                <w:rFonts w:ascii="Courier New" w:cs="Courier New" w:eastAsia="Courier New" w:hAnsi="Courier New"/>
                <w:sz w:val="18"/>
                <w:szCs w:val="18"/>
                <w:color w:val="auto"/>
              </w:rPr>
              <w:t>Item 12.</w:t>
            </w:r>
          </w:p>
        </w:tc>
        <w:tc>
          <w:tcPr>
            <w:tcW w:w="6580" w:type="dxa"/>
            <w:vAlign w:val="bottom"/>
          </w:tcPr>
          <w:p>
            <w:pPr>
              <w:ind w:left="100"/>
              <w:spacing w:after="0"/>
              <w:rPr>
                <w:sz w:val="20"/>
                <w:szCs w:val="20"/>
                <w:color w:val="auto"/>
              </w:rPr>
            </w:pPr>
            <w:r>
              <w:rPr>
                <w:rFonts w:ascii="Courier New" w:cs="Courier New" w:eastAsia="Courier New" w:hAnsi="Courier New"/>
                <w:sz w:val="18"/>
                <w:szCs w:val="18"/>
                <w:color w:val="auto"/>
                <w:w w:val="99"/>
              </w:rPr>
              <w:t>Description of Securities Other than Equity Securities......</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64</w:t>
            </w:r>
          </w:p>
        </w:tc>
        <w:tc>
          <w:tcPr>
            <w:tcW w:w="0" w:type="dxa"/>
            <w:vAlign w:val="bottom"/>
          </w:tcPr>
          <w:p>
            <w:pPr>
              <w:spacing w:after="0"/>
              <w:rPr>
                <w:sz w:val="1"/>
                <w:szCs w:val="1"/>
                <w:color w:val="auto"/>
              </w:rPr>
            </w:pPr>
          </w:p>
        </w:tc>
      </w:tr>
      <w:tr>
        <w:trPr>
          <w:trHeight w:val="405"/>
        </w:trPr>
        <w:tc>
          <w:tcPr>
            <w:tcW w:w="1060" w:type="dxa"/>
            <w:vAlign w:val="bottom"/>
          </w:tcPr>
          <w:p>
            <w:pPr>
              <w:spacing w:after="0"/>
              <w:rPr>
                <w:sz w:val="24"/>
                <w:szCs w:val="24"/>
                <w:color w:val="auto"/>
              </w:rPr>
            </w:pPr>
          </w:p>
        </w:tc>
        <w:tc>
          <w:tcPr>
            <w:tcW w:w="6580" w:type="dxa"/>
            <w:vAlign w:val="bottom"/>
          </w:tcPr>
          <w:p>
            <w:pPr>
              <w:jc w:val="right"/>
              <w:ind w:right="3232"/>
              <w:spacing w:after="0"/>
              <w:rPr>
                <w:sz w:val="20"/>
                <w:szCs w:val="20"/>
                <w:color w:val="auto"/>
              </w:rPr>
            </w:pPr>
            <w:r>
              <w:rPr>
                <w:rFonts w:ascii="Courier New" w:cs="Courier New" w:eastAsia="Courier New" w:hAnsi="Courier New"/>
                <w:sz w:val="18"/>
                <w:szCs w:val="18"/>
                <w:color w:val="auto"/>
              </w:rPr>
              <w:t>PART II</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060" w:type="dxa"/>
            <w:vAlign w:val="bottom"/>
          </w:tcPr>
          <w:p>
            <w:pPr>
              <w:spacing w:after="0"/>
              <w:rPr>
                <w:sz w:val="20"/>
                <w:szCs w:val="20"/>
                <w:color w:val="auto"/>
              </w:rPr>
            </w:pPr>
            <w:r>
              <w:rPr>
                <w:rFonts w:ascii="Courier New" w:cs="Courier New" w:eastAsia="Courier New" w:hAnsi="Courier New"/>
                <w:sz w:val="18"/>
                <w:szCs w:val="18"/>
                <w:color w:val="auto"/>
              </w:rPr>
              <w:t>Item 13.</w:t>
            </w:r>
          </w:p>
        </w:tc>
        <w:tc>
          <w:tcPr>
            <w:tcW w:w="6580" w:type="dxa"/>
            <w:vAlign w:val="bottom"/>
          </w:tcPr>
          <w:p>
            <w:pPr>
              <w:ind w:left="100"/>
              <w:spacing w:after="0"/>
              <w:rPr>
                <w:sz w:val="20"/>
                <w:szCs w:val="20"/>
                <w:color w:val="auto"/>
              </w:rPr>
            </w:pPr>
            <w:r>
              <w:rPr>
                <w:rFonts w:ascii="Courier New" w:cs="Courier New" w:eastAsia="Courier New" w:hAnsi="Courier New"/>
                <w:sz w:val="18"/>
                <w:szCs w:val="18"/>
                <w:color w:val="auto"/>
                <w:w w:val="99"/>
              </w:rPr>
              <w:t>Defaults, Dividend Arrearages and Delinquencies.............</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64</w:t>
            </w:r>
          </w:p>
        </w:tc>
        <w:tc>
          <w:tcPr>
            <w:tcW w:w="0" w:type="dxa"/>
            <w:vAlign w:val="bottom"/>
          </w:tcPr>
          <w:p>
            <w:pPr>
              <w:spacing w:after="0"/>
              <w:rPr>
                <w:sz w:val="1"/>
                <w:szCs w:val="1"/>
                <w:color w:val="auto"/>
              </w:rPr>
            </w:pP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14.</w:t>
            </w:r>
          </w:p>
        </w:tc>
        <w:tc>
          <w:tcPr>
            <w:tcW w:w="6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Material Modifications to the Rights of Security Holders and</w:t>
            </w:r>
          </w:p>
        </w:tc>
        <w:tc>
          <w:tcPr>
            <w:tcW w:w="3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64</w:t>
            </w:r>
          </w:p>
        </w:tc>
        <w:tc>
          <w:tcPr>
            <w:tcW w:w="0" w:type="dxa"/>
            <w:vAlign w:val="bottom"/>
          </w:tcPr>
          <w:p>
            <w:pPr>
              <w:spacing w:after="0"/>
              <w:rPr>
                <w:sz w:val="1"/>
                <w:szCs w:val="1"/>
                <w:color w:val="auto"/>
              </w:rPr>
            </w:pPr>
          </w:p>
        </w:tc>
      </w:tr>
      <w:tr>
        <w:trPr>
          <w:trHeight w:val="203"/>
        </w:trPr>
        <w:tc>
          <w:tcPr>
            <w:tcW w:w="1060" w:type="dxa"/>
            <w:vAlign w:val="bottom"/>
            <w:vMerge w:val="restart"/>
          </w:tcPr>
          <w:p>
            <w:pPr>
              <w:spacing w:after="0"/>
              <w:rPr>
                <w:sz w:val="20"/>
                <w:szCs w:val="20"/>
                <w:color w:val="auto"/>
              </w:rPr>
            </w:pPr>
            <w:r>
              <w:rPr>
                <w:rFonts w:ascii="Courier New" w:cs="Courier New" w:eastAsia="Courier New" w:hAnsi="Courier New"/>
                <w:sz w:val="18"/>
                <w:szCs w:val="18"/>
                <w:color w:val="auto"/>
              </w:rPr>
              <w:t>Item 15.</w:t>
            </w:r>
          </w:p>
        </w:tc>
        <w:tc>
          <w:tcPr>
            <w:tcW w:w="6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Use of Proceeds.............................................</w:t>
            </w:r>
          </w:p>
        </w:tc>
        <w:tc>
          <w:tcPr>
            <w:tcW w:w="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60" w:type="dxa"/>
            <w:vAlign w:val="bottom"/>
            <w:vMerge w:val="continue"/>
          </w:tcPr>
          <w:p>
            <w:pPr>
              <w:spacing w:after="0"/>
              <w:rPr>
                <w:sz w:val="17"/>
                <w:szCs w:val="17"/>
                <w:color w:val="auto"/>
              </w:rPr>
            </w:pPr>
          </w:p>
        </w:tc>
        <w:tc>
          <w:tcPr>
            <w:tcW w:w="6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Controls and Procedures.....................................</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w:t>
            </w:r>
          </w:p>
        </w:tc>
        <w:tc>
          <w:tcPr>
            <w:tcW w:w="0" w:type="dxa"/>
            <w:vAlign w:val="bottom"/>
          </w:tcPr>
          <w:p>
            <w:pPr>
              <w:spacing w:after="0"/>
              <w:rPr>
                <w:sz w:val="1"/>
                <w:szCs w:val="1"/>
                <w:color w:val="auto"/>
              </w:rPr>
            </w:pP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16A.</w:t>
            </w:r>
          </w:p>
        </w:tc>
        <w:tc>
          <w:tcPr>
            <w:tcW w:w="6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Audit Committee Financial Expert............................</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w:t>
            </w:r>
          </w:p>
        </w:tc>
        <w:tc>
          <w:tcPr>
            <w:tcW w:w="0" w:type="dxa"/>
            <w:vAlign w:val="bottom"/>
          </w:tcPr>
          <w:p>
            <w:pPr>
              <w:spacing w:after="0"/>
              <w:rPr>
                <w:sz w:val="1"/>
                <w:szCs w:val="1"/>
                <w:color w:val="auto"/>
              </w:rPr>
            </w:pP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16B.</w:t>
            </w:r>
          </w:p>
        </w:tc>
        <w:tc>
          <w:tcPr>
            <w:tcW w:w="6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Code of Ethics..............................................</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w:t>
            </w:r>
          </w:p>
        </w:tc>
        <w:tc>
          <w:tcPr>
            <w:tcW w:w="0" w:type="dxa"/>
            <w:vAlign w:val="bottom"/>
          </w:tcPr>
          <w:p>
            <w:pPr>
              <w:spacing w:after="0"/>
              <w:rPr>
                <w:sz w:val="1"/>
                <w:szCs w:val="1"/>
                <w:color w:val="auto"/>
              </w:rPr>
            </w:pP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16C.</w:t>
            </w:r>
          </w:p>
        </w:tc>
        <w:tc>
          <w:tcPr>
            <w:tcW w:w="6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Principal Accountant Fees and Services......................</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w:t>
            </w:r>
          </w:p>
        </w:tc>
        <w:tc>
          <w:tcPr>
            <w:tcW w:w="0" w:type="dxa"/>
            <w:vAlign w:val="bottom"/>
          </w:tcPr>
          <w:p>
            <w:pPr>
              <w:spacing w:after="0"/>
              <w:rPr>
                <w:sz w:val="1"/>
                <w:szCs w:val="1"/>
                <w:color w:val="auto"/>
              </w:rPr>
            </w:pPr>
          </w:p>
        </w:tc>
      </w:tr>
      <w:tr>
        <w:trPr>
          <w:trHeight w:val="296"/>
        </w:trPr>
        <w:tc>
          <w:tcPr>
            <w:tcW w:w="1060" w:type="dxa"/>
            <w:vAlign w:val="bottom"/>
          </w:tcPr>
          <w:p>
            <w:pPr>
              <w:spacing w:after="0"/>
              <w:rPr>
                <w:sz w:val="20"/>
                <w:szCs w:val="20"/>
                <w:color w:val="auto"/>
              </w:rPr>
            </w:pPr>
            <w:r>
              <w:rPr>
                <w:rFonts w:ascii="Courier New" w:cs="Courier New" w:eastAsia="Courier New" w:hAnsi="Courier New"/>
                <w:sz w:val="18"/>
                <w:szCs w:val="18"/>
                <w:color w:val="auto"/>
              </w:rPr>
              <w:t>Item 16D.</w:t>
            </w:r>
          </w:p>
        </w:tc>
        <w:tc>
          <w:tcPr>
            <w:tcW w:w="6580" w:type="dxa"/>
            <w:vAlign w:val="bottom"/>
          </w:tcPr>
          <w:p>
            <w:pPr>
              <w:ind w:left="100"/>
              <w:spacing w:after="0"/>
              <w:rPr>
                <w:sz w:val="20"/>
                <w:szCs w:val="20"/>
                <w:color w:val="auto"/>
              </w:rPr>
            </w:pPr>
            <w:r>
              <w:rPr>
                <w:rFonts w:ascii="Courier New" w:cs="Courier New" w:eastAsia="Courier New" w:hAnsi="Courier New"/>
                <w:sz w:val="18"/>
                <w:szCs w:val="18"/>
                <w:color w:val="auto"/>
                <w:w w:val="99"/>
              </w:rPr>
              <w:t>Exemption From the Listing Standards for Audit Committees...</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65</w:t>
            </w:r>
          </w:p>
        </w:tc>
        <w:tc>
          <w:tcPr>
            <w:tcW w:w="0" w:type="dxa"/>
            <w:vAlign w:val="bottom"/>
          </w:tcPr>
          <w:p>
            <w:pPr>
              <w:spacing w:after="0"/>
              <w:rPr>
                <w:sz w:val="1"/>
                <w:szCs w:val="1"/>
                <w:color w:val="auto"/>
              </w:rPr>
            </w:pPr>
          </w:p>
        </w:tc>
      </w:tr>
      <w:tr>
        <w:trPr>
          <w:trHeight w:val="405"/>
        </w:trPr>
        <w:tc>
          <w:tcPr>
            <w:tcW w:w="1060" w:type="dxa"/>
            <w:vAlign w:val="bottom"/>
          </w:tcPr>
          <w:p>
            <w:pPr>
              <w:spacing w:after="0"/>
              <w:rPr>
                <w:sz w:val="24"/>
                <w:szCs w:val="24"/>
                <w:color w:val="auto"/>
              </w:rPr>
            </w:pPr>
          </w:p>
        </w:tc>
        <w:tc>
          <w:tcPr>
            <w:tcW w:w="6580" w:type="dxa"/>
            <w:vAlign w:val="bottom"/>
          </w:tcPr>
          <w:p>
            <w:pPr>
              <w:jc w:val="right"/>
              <w:ind w:right="3112"/>
              <w:spacing w:after="0"/>
              <w:rPr>
                <w:sz w:val="20"/>
                <w:szCs w:val="20"/>
                <w:color w:val="auto"/>
              </w:rPr>
            </w:pPr>
            <w:r>
              <w:rPr>
                <w:rFonts w:ascii="Courier New" w:cs="Courier New" w:eastAsia="Courier New" w:hAnsi="Courier New"/>
                <w:sz w:val="18"/>
                <w:szCs w:val="18"/>
                <w:color w:val="auto"/>
              </w:rPr>
              <w:t>PART III</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060" w:type="dxa"/>
            <w:vAlign w:val="bottom"/>
          </w:tcPr>
          <w:p>
            <w:pPr>
              <w:spacing w:after="0"/>
              <w:rPr>
                <w:sz w:val="20"/>
                <w:szCs w:val="20"/>
                <w:color w:val="auto"/>
              </w:rPr>
            </w:pPr>
            <w:r>
              <w:rPr>
                <w:rFonts w:ascii="Courier New" w:cs="Courier New" w:eastAsia="Courier New" w:hAnsi="Courier New"/>
                <w:sz w:val="18"/>
                <w:szCs w:val="18"/>
                <w:color w:val="auto"/>
              </w:rPr>
              <w:t>Item 17.</w:t>
            </w:r>
          </w:p>
        </w:tc>
        <w:tc>
          <w:tcPr>
            <w:tcW w:w="6580" w:type="dxa"/>
            <w:vAlign w:val="bottom"/>
          </w:tcPr>
          <w:p>
            <w:pPr>
              <w:ind w:left="100"/>
              <w:spacing w:after="0"/>
              <w:rPr>
                <w:sz w:val="20"/>
                <w:szCs w:val="20"/>
                <w:color w:val="auto"/>
              </w:rPr>
            </w:pPr>
            <w:r>
              <w:rPr>
                <w:rFonts w:ascii="Courier New" w:cs="Courier New" w:eastAsia="Courier New" w:hAnsi="Courier New"/>
                <w:sz w:val="18"/>
                <w:szCs w:val="18"/>
                <w:color w:val="auto"/>
                <w:w w:val="99"/>
              </w:rPr>
              <w:t>Financial Statements........................................</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65</w:t>
            </w:r>
          </w:p>
        </w:tc>
        <w:tc>
          <w:tcPr>
            <w:tcW w:w="0" w:type="dxa"/>
            <w:vAlign w:val="bottom"/>
          </w:tcPr>
          <w:p>
            <w:pPr>
              <w:spacing w:after="0"/>
              <w:rPr>
                <w:sz w:val="1"/>
                <w:szCs w:val="1"/>
                <w:color w:val="auto"/>
              </w:rPr>
            </w:pP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18.</w:t>
            </w:r>
          </w:p>
        </w:tc>
        <w:tc>
          <w:tcPr>
            <w:tcW w:w="6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Financial Statements........................................</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65</w:t>
            </w:r>
          </w:p>
        </w:tc>
        <w:tc>
          <w:tcPr>
            <w:tcW w:w="0" w:type="dxa"/>
            <w:vAlign w:val="bottom"/>
          </w:tcPr>
          <w:p>
            <w:pPr>
              <w:spacing w:after="0"/>
              <w:rPr>
                <w:sz w:val="1"/>
                <w:szCs w:val="1"/>
                <w:color w:val="auto"/>
              </w:rPr>
            </w:pPr>
          </w:p>
        </w:tc>
      </w:tr>
      <w:tr>
        <w:trPr>
          <w:trHeight w:val="296"/>
        </w:trPr>
        <w:tc>
          <w:tcPr>
            <w:tcW w:w="1060" w:type="dxa"/>
            <w:vAlign w:val="bottom"/>
          </w:tcPr>
          <w:p>
            <w:pPr>
              <w:spacing w:after="0"/>
              <w:rPr>
                <w:sz w:val="20"/>
                <w:szCs w:val="20"/>
                <w:color w:val="auto"/>
              </w:rPr>
            </w:pPr>
            <w:r>
              <w:rPr>
                <w:rFonts w:ascii="Courier New" w:cs="Courier New" w:eastAsia="Courier New" w:hAnsi="Courier New"/>
                <w:sz w:val="18"/>
                <w:szCs w:val="18"/>
                <w:color w:val="auto"/>
              </w:rPr>
              <w:t>Item 19.</w:t>
            </w:r>
          </w:p>
        </w:tc>
        <w:tc>
          <w:tcPr>
            <w:tcW w:w="6580" w:type="dxa"/>
            <w:vAlign w:val="bottom"/>
          </w:tcPr>
          <w:p>
            <w:pPr>
              <w:ind w:left="100"/>
              <w:spacing w:after="0"/>
              <w:rPr>
                <w:sz w:val="20"/>
                <w:szCs w:val="20"/>
                <w:color w:val="auto"/>
              </w:rPr>
            </w:pPr>
            <w:r>
              <w:rPr>
                <w:rFonts w:ascii="Courier New" w:cs="Courier New" w:eastAsia="Courier New" w:hAnsi="Courier New"/>
                <w:sz w:val="18"/>
                <w:szCs w:val="18"/>
                <w:color w:val="auto"/>
                <w:w w:val="99"/>
              </w:rPr>
              <w:t>Exhibits....................................................</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66</w:t>
            </w:r>
          </w:p>
        </w:tc>
        <w:tc>
          <w:tcPr>
            <w:tcW w:w="0" w:type="dxa"/>
            <w:vAlign w:val="bottom"/>
          </w:tcPr>
          <w:p>
            <w:pPr>
              <w:spacing w:after="0"/>
              <w:rPr>
                <w:sz w:val="1"/>
                <w:szCs w:val="1"/>
                <w:color w:val="auto"/>
              </w:rPr>
            </w:pPr>
          </w:p>
        </w:tc>
      </w:tr>
      <w:tr>
        <w:trPr>
          <w:trHeight w:val="608"/>
        </w:trPr>
        <w:tc>
          <w:tcPr>
            <w:tcW w:w="1060" w:type="dxa"/>
            <w:vAlign w:val="bottom"/>
          </w:tcPr>
          <w:p>
            <w:pPr>
              <w:spacing w:after="0"/>
              <w:rPr>
                <w:sz w:val="24"/>
                <w:szCs w:val="24"/>
                <w:color w:val="auto"/>
              </w:rPr>
            </w:pPr>
          </w:p>
        </w:tc>
        <w:tc>
          <w:tcPr>
            <w:tcW w:w="6580" w:type="dxa"/>
            <w:vAlign w:val="bottom"/>
          </w:tcPr>
          <w:p>
            <w:pPr>
              <w:jc w:val="right"/>
              <w:ind w:right="3232"/>
              <w:spacing w:after="0"/>
              <w:rPr>
                <w:sz w:val="20"/>
                <w:szCs w:val="20"/>
                <w:color w:val="auto"/>
              </w:rPr>
            </w:pPr>
            <w:r>
              <w:rPr>
                <w:rFonts w:ascii="Courier New" w:cs="Courier New" w:eastAsia="Courier New" w:hAnsi="Courier New"/>
                <w:sz w:val="18"/>
                <w:szCs w:val="18"/>
                <w:color w:val="auto"/>
              </w:rPr>
              <w:t>1</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691" w:right="1440" w:bottom="1440" w:gutter="0" w:footer="0" w:header="0"/>
        </w:sectPr>
      </w:pPr>
    </w:p>
    <w:bookmarkStart w:id="3" w:name="page4"/>
    <w:bookmarkEnd w:id="3"/>
    <w:p>
      <w:pPr>
        <w:ind w:right="1779" w:firstLine="527"/>
        <w:spacing w:after="0" w:line="253" w:lineRule="auto"/>
        <w:rPr>
          <w:sz w:val="20"/>
          <w:szCs w:val="20"/>
          <w:color w:val="auto"/>
        </w:rPr>
      </w:pPr>
      <w:r>
        <w:rPr>
          <w:rFonts w:ascii="Courier New" w:cs="Courier New" w:eastAsia="Courier New" w:hAnsi="Courier New"/>
          <w:sz w:val="18"/>
          <w:szCs w:val="18"/>
          <w:color w:val="auto"/>
        </w:rPr>
        <w:t>Unless the context otherwise requires, all references in this Annual Report on Form 20-F to "Amdocs", "we", "our", "us" and the "Company" refer to Amdocs Limited and its consolidated subsidiaries and their respective predecessors. Our consolidated financial statements are prepared in accordance with U.S. GAAP and are expressed in U.S. dollars. References to "dollars" or "$" are to U.S. dollars. Our fiscal year ends on September 30 of each year. References to any specific financial year refer to the year ended September 30 of the calendar year specified.</w:t>
      </w:r>
    </w:p>
    <w:p>
      <w:pPr>
        <w:spacing w:after="0" w:line="104" w:lineRule="exact"/>
        <w:rPr>
          <w:sz w:val="20"/>
          <w:szCs w:val="20"/>
          <w:color w:val="auto"/>
        </w:rPr>
      </w:pPr>
    </w:p>
    <w:p>
      <w:pPr>
        <w:ind w:right="1999" w:firstLine="527"/>
        <w:spacing w:after="0" w:line="274" w:lineRule="auto"/>
        <w:rPr>
          <w:sz w:val="20"/>
          <w:szCs w:val="20"/>
          <w:color w:val="auto"/>
        </w:rPr>
      </w:pPr>
      <w:r>
        <w:rPr>
          <w:rFonts w:ascii="Courier New" w:cs="Courier New" w:eastAsia="Courier New" w:hAnsi="Courier New"/>
          <w:sz w:val="18"/>
          <w:szCs w:val="18"/>
          <w:color w:val="auto"/>
        </w:rPr>
        <w:t>We own or have rights to trademarks or trade names that we use in conjunction with the sale of our products and services, including, without limitation, each of the following: Amdocs(TM), Ensemble(TM), AmdocsEnabler(TM) and Clarify(TM).</w:t>
      </w:r>
    </w:p>
    <w:p>
      <w:pPr>
        <w:spacing w:after="0" w:line="82"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FORWARD LOOKING STATEMENTS</w:t>
      </w:r>
    </w:p>
    <w:p>
      <w:pPr>
        <w:spacing w:after="0" w:line="201" w:lineRule="exact"/>
        <w:rPr>
          <w:sz w:val="20"/>
          <w:szCs w:val="20"/>
          <w:color w:val="auto"/>
        </w:rPr>
      </w:pPr>
    </w:p>
    <w:p>
      <w:pPr>
        <w:ind w:right="1779" w:firstLine="527"/>
        <w:spacing w:after="0" w:line="245" w:lineRule="auto"/>
        <w:rPr>
          <w:sz w:val="20"/>
          <w:szCs w:val="20"/>
          <w:color w:val="auto"/>
        </w:rPr>
      </w:pPr>
      <w:r>
        <w:rPr>
          <w:rFonts w:ascii="Courier New" w:cs="Courier New" w:eastAsia="Courier New" w:hAnsi="Courier New"/>
          <w:sz w:val="18"/>
          <w:szCs w:val="18"/>
          <w:color w:val="auto"/>
        </w:rPr>
        <w:t>This Annual Report on Form 20-F contains forward-looking statements (within the meaning of the United States federal securities laws) that involve substantial risks and uncertainties. You can identify these forward-looking statements by words such as "expect", "anticipate", "believe", "seek", "estimate", "project", "forecast", "continue", "potential", "should", "would", "could" and "may", and other words that convey uncertainty of future events or outcome. Statements that we make in this Annual Report that are not statements of historical fact also may be forward-looking statements. Forward-looking statements are not guarantees of future performance, and involve risks, uncertainties and assumptions that may cause our actual results to differ materially from the expectations that we describe in our forward-looking statements. There may be events in the future that we are not accurately able to predict, or over which we have no control. You should not place undue reliance on forward-looking statements. We do not promise to notify you if we learn that our assumptions or projections are wrong for any reason. We disclaim any obligation to update our forward-looking statements, except where applicable law may otherwise require us to do so.</w:t>
      </w:r>
    </w:p>
    <w:p>
      <w:pPr>
        <w:spacing w:after="0" w:line="108" w:lineRule="exact"/>
        <w:rPr>
          <w:sz w:val="20"/>
          <w:szCs w:val="20"/>
          <w:color w:val="auto"/>
        </w:rPr>
      </w:pPr>
    </w:p>
    <w:p>
      <w:pPr>
        <w:ind w:right="1999" w:firstLine="527"/>
        <w:spacing w:after="0" w:line="248" w:lineRule="auto"/>
        <w:rPr>
          <w:sz w:val="20"/>
          <w:szCs w:val="20"/>
          <w:color w:val="auto"/>
        </w:rPr>
      </w:pPr>
      <w:r>
        <w:rPr>
          <w:rFonts w:ascii="Courier New" w:cs="Courier New" w:eastAsia="Courier New" w:hAnsi="Courier New"/>
          <w:sz w:val="18"/>
          <w:szCs w:val="18"/>
          <w:color w:val="auto"/>
        </w:rPr>
        <w:t>Important factors that may affect these projections or expectations include, but are not limited to: changes in the overall economy; changes in competition in markets in which we operate; changes in the demand for our products and services; consolidation within the industries in which our customers operate; the loss of a significant customer; changes in the telecommunications regulatory environment; changes in technology that impact both the markets we serve and the types of products and services we offer; financial difficulties of our customers; losses of key personnel; difficulties in completing or integrating acquisitions; litigation and regulatory proceedings; and acts of war or terrorism. For a discussion of these important factors, please read the information set forth below under the caption "Risk Factors".</w:t>
      </w:r>
    </w:p>
    <w:p>
      <w:pPr>
        <w:spacing w:after="0" w:line="1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691" w:right="1440" w:bottom="1440" w:gutter="0" w:footer="0" w:header="0"/>
        </w:sectPr>
      </w:pPr>
    </w:p>
    <w:bookmarkStart w:id="4" w:name="page5"/>
    <w:bookmarkEnd w:id="4"/>
    <w:p>
      <w:pPr>
        <w:ind w:left="3900"/>
        <w:spacing w:after="0"/>
        <w:rPr>
          <w:sz w:val="20"/>
          <w:szCs w:val="20"/>
          <w:color w:val="auto"/>
        </w:rPr>
      </w:pPr>
      <w:r>
        <w:rPr>
          <w:rFonts w:ascii="Courier New" w:cs="Courier New" w:eastAsia="Courier New" w:hAnsi="Courier New"/>
          <w:sz w:val="18"/>
          <w:szCs w:val="18"/>
          <w:color w:val="auto"/>
        </w:rPr>
        <w:t>PART I</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IDENTITY OF DIRECTORS, SENIOR MANAGEMENT AND ADVISORS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OFFER STATISTICS AND EXPECTED TIMETABLE</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KEY INFORMATION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SELECTED FINANCIAL DATA</w:t>
      </w:r>
    </w:p>
    <w:p>
      <w:pPr>
        <w:spacing w:after="0" w:line="201" w:lineRule="exact"/>
        <w:rPr>
          <w:sz w:val="20"/>
          <w:szCs w:val="20"/>
          <w:color w:val="auto"/>
        </w:rPr>
      </w:pPr>
    </w:p>
    <w:p>
      <w:pPr>
        <w:ind w:right="1779" w:firstLine="527"/>
        <w:spacing w:after="0" w:line="252" w:lineRule="auto"/>
        <w:rPr>
          <w:sz w:val="20"/>
          <w:szCs w:val="20"/>
          <w:color w:val="auto"/>
        </w:rPr>
      </w:pPr>
      <w:r>
        <w:rPr>
          <w:rFonts w:ascii="Courier New" w:cs="Courier New" w:eastAsia="Courier New" w:hAnsi="Courier New"/>
          <w:sz w:val="18"/>
          <w:szCs w:val="18"/>
          <w:color w:val="auto"/>
        </w:rPr>
        <w:t>Our historical consolidated financial statements are prepared in accordance with accounting principles generally accepted in the United States ("GAAP") and presented in U.S. dollars. The selected historical consolidated financial information set forth below has been derived from our historical consolidated financial statements for the years presented. Historical information as of and for the five years ended September 30, 2003 is derived from our consolidated financial statements, which have been audited by Ernst &amp; Young LLP, our independent auditors. You should read the information presented below in conjunction with those statements.</w:t>
      </w:r>
    </w:p>
    <w:p>
      <w:pPr>
        <w:spacing w:after="0" w:line="99" w:lineRule="exact"/>
        <w:rPr>
          <w:sz w:val="20"/>
          <w:szCs w:val="20"/>
          <w:color w:val="auto"/>
        </w:rPr>
      </w:pPr>
    </w:p>
    <w:p>
      <w:pPr>
        <w:ind w:right="2619" w:firstLine="527"/>
        <w:spacing w:after="0" w:line="274" w:lineRule="auto"/>
        <w:rPr>
          <w:sz w:val="20"/>
          <w:szCs w:val="20"/>
          <w:color w:val="auto"/>
        </w:rPr>
      </w:pPr>
      <w:r>
        <w:rPr>
          <w:rFonts w:ascii="Courier New" w:cs="Courier New" w:eastAsia="Courier New" w:hAnsi="Courier New"/>
          <w:sz w:val="18"/>
          <w:szCs w:val="18"/>
          <w:color w:val="auto"/>
        </w:rPr>
        <w:t>The information presented below is qualified by the more detailed historical consolidated financial statements, the notes thereto and the discussion under "Operating and Financial Review and Prospects" included elsewhere in this Annual Report.</w:t>
      </w:r>
    </w:p>
    <w:p>
      <w:pPr>
        <w:spacing w:after="0" w:line="82"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YEAR ENDED SEPTEMBER 30, --------</w:t>
      </w:r>
    </w:p>
    <w:p>
      <w:pPr>
        <w:spacing w:after="0" w:line="29"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w:t>
      </w:r>
    </w:p>
    <w:tbl>
      <w:tblPr>
        <w:tblLayout w:type="fixed"/>
        <w:tblInd w:w="60" w:type="dxa"/>
        <w:tblCellMar>
          <w:top w:w="0" w:type="dxa"/>
          <w:left w:w="0" w:type="dxa"/>
          <w:bottom w:w="0" w:type="dxa"/>
          <w:right w:w="0" w:type="dxa"/>
        </w:tblCellMar>
      </w:tblPr>
      <w:tr>
        <w:trPr>
          <w:trHeight w:val="171"/>
        </w:trPr>
        <w:tc>
          <w:tcPr>
            <w:tcW w:w="2320" w:type="dxa"/>
            <w:vAlign w:val="bottom"/>
            <w:vMerge w:val="restart"/>
          </w:tcPr>
          <w:p>
            <w:pPr>
              <w:jc w:val="right"/>
              <w:ind w:right="18"/>
              <w:spacing w:after="0"/>
              <w:rPr>
                <w:sz w:val="20"/>
                <w:szCs w:val="20"/>
                <w:color w:val="auto"/>
              </w:rPr>
            </w:pPr>
            <w:r>
              <w:rPr>
                <w:rFonts w:ascii="Courier New" w:cs="Courier New" w:eastAsia="Courier New" w:hAnsi="Courier New"/>
                <w:sz w:val="29"/>
                <w:szCs w:val="29"/>
                <w:color w:val="auto"/>
                <w:w w:val="70"/>
                <w:vertAlign w:val="subscript"/>
              </w:rPr>
              <w:t>2001</w:t>
            </w:r>
            <w:r>
              <w:rPr>
                <w:rFonts w:ascii="Courier New" w:cs="Courier New" w:eastAsia="Courier New" w:hAnsi="Courier New"/>
                <w:sz w:val="15"/>
                <w:szCs w:val="15"/>
                <w:color w:val="auto"/>
                <w:w w:val="70"/>
              </w:rPr>
              <w:t>-------------------</w:t>
            </w:r>
            <w:r>
              <w:rPr>
                <w:rFonts w:ascii="Courier New" w:cs="Courier New" w:eastAsia="Courier New" w:hAnsi="Courier New"/>
                <w:sz w:val="29"/>
                <w:szCs w:val="29"/>
                <w:color w:val="auto"/>
                <w:w w:val="70"/>
                <w:vertAlign w:val="subscript"/>
              </w:rPr>
              <w:t>20001999</w:t>
            </w:r>
          </w:p>
        </w:tc>
        <w:tc>
          <w:tcPr>
            <w:tcW w:w="1160" w:type="dxa"/>
            <w:vAlign w:val="bottom"/>
          </w:tcPr>
          <w:p>
            <w:pPr>
              <w:jc w:val="right"/>
              <w:ind w:right="132"/>
              <w:spacing w:after="0" w:line="170" w:lineRule="exact"/>
              <w:rPr>
                <w:sz w:val="20"/>
                <w:szCs w:val="20"/>
                <w:color w:val="auto"/>
              </w:rPr>
            </w:pPr>
            <w:r>
              <w:rPr>
                <w:rFonts w:ascii="Courier New" w:cs="Courier New" w:eastAsia="Courier New" w:hAnsi="Courier New"/>
                <w:sz w:val="18"/>
                <w:szCs w:val="18"/>
                <w:color w:val="auto"/>
                <w:w w:val="94"/>
              </w:rPr>
              <w:t>2003 2002</w:t>
            </w:r>
          </w:p>
        </w:tc>
        <w:tc>
          <w:tcPr>
            <w:tcW w:w="0" w:type="dxa"/>
            <w:vAlign w:val="bottom"/>
          </w:tcPr>
          <w:p>
            <w:pPr>
              <w:spacing w:after="0"/>
              <w:rPr>
                <w:sz w:val="1"/>
                <w:szCs w:val="1"/>
                <w:color w:val="auto"/>
              </w:rPr>
            </w:pPr>
          </w:p>
        </w:tc>
      </w:tr>
      <w:tr>
        <w:trPr>
          <w:trHeight w:val="235"/>
        </w:trPr>
        <w:tc>
          <w:tcPr>
            <w:tcW w:w="2320" w:type="dxa"/>
            <w:vAlign w:val="bottom"/>
            <w:vMerge w:val="continue"/>
          </w:tcPr>
          <w:p>
            <w:pPr>
              <w:jc w:val="right"/>
              <w:spacing w:after="0" w:line="178"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ind w:left="480" w:hanging="421"/>
        <w:spacing w:after="0" w:line="238" w:lineRule="auto"/>
        <w:tabs>
          <w:tab w:leader="none" w:pos="4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(IN THOUSANDS, EXCEPT PER SHARE</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DATA) STATEMENT OF OPERATIONS</w:t>
      </w:r>
    </w:p>
    <w:p>
      <w:pPr>
        <w:jc w:val="center"/>
        <w:ind w:right="6639"/>
        <w:spacing w:after="0"/>
        <w:rPr>
          <w:sz w:val="20"/>
          <w:szCs w:val="20"/>
          <w:color w:val="auto"/>
        </w:rPr>
      </w:pPr>
      <w:r>
        <w:rPr>
          <w:rFonts w:ascii="Courier New" w:cs="Courier New" w:eastAsia="Courier New" w:hAnsi="Courier New"/>
          <w:sz w:val="18"/>
          <w:szCs w:val="18"/>
          <w:color w:val="auto"/>
        </w:rPr>
        <w:t>DATA:</w:t>
      </w:r>
    </w:p>
    <w:p>
      <w:pPr>
        <w:spacing w:after="0" w:line="238" w:lineRule="auto"/>
        <w:rPr>
          <w:sz w:val="20"/>
          <w:szCs w:val="20"/>
          <w:color w:val="auto"/>
        </w:rPr>
      </w:pPr>
      <w:r>
        <w:rPr>
          <w:rFonts w:ascii="Courier New" w:cs="Courier New" w:eastAsia="Courier New" w:hAnsi="Courier New"/>
          <w:sz w:val="18"/>
          <w:szCs w:val="18"/>
          <w:color w:val="auto"/>
        </w:rPr>
        <w:t>Revenue...........................</w:t>
      </w:r>
    </w:p>
    <w:p>
      <w:pPr>
        <w:jc w:val="center"/>
        <w:ind w:right="6639"/>
        <w:spacing w:after="0"/>
        <w:rPr>
          <w:sz w:val="20"/>
          <w:szCs w:val="20"/>
          <w:color w:val="auto"/>
        </w:rPr>
      </w:pPr>
      <w:r>
        <w:rPr>
          <w:rFonts w:ascii="Courier New" w:cs="Courier New" w:eastAsia="Courier New" w:hAnsi="Courier New"/>
          <w:sz w:val="18"/>
          <w:szCs w:val="18"/>
          <w:color w:val="auto"/>
        </w:rPr>
        <w:t>$1,483,327 $1,613,565 $1,533,910</w:t>
      </w:r>
    </w:p>
    <w:p>
      <w:pPr>
        <w:jc w:val="center"/>
        <w:ind w:right="6639"/>
        <w:spacing w:after="0" w:line="238" w:lineRule="auto"/>
        <w:rPr>
          <w:sz w:val="20"/>
          <w:szCs w:val="20"/>
          <w:color w:val="auto"/>
        </w:rPr>
      </w:pPr>
      <w:r>
        <w:rPr>
          <w:rFonts w:ascii="Courier New" w:cs="Courier New" w:eastAsia="Courier New" w:hAnsi="Courier New"/>
          <w:sz w:val="18"/>
          <w:szCs w:val="18"/>
          <w:color w:val="auto"/>
        </w:rPr>
        <w:t>$1,118,320 $626,855 Operating</w:t>
      </w:r>
    </w:p>
    <w:p>
      <w:pPr>
        <w:jc w:val="center"/>
        <w:ind w:right="6639"/>
        <w:spacing w:after="0"/>
        <w:rPr>
          <w:sz w:val="20"/>
          <w:szCs w:val="20"/>
          <w:color w:val="auto"/>
        </w:rPr>
      </w:pPr>
      <w:r>
        <w:rPr>
          <w:rFonts w:ascii="Courier New" w:cs="Courier New" w:eastAsia="Courier New" w:hAnsi="Courier New"/>
          <w:sz w:val="18"/>
          <w:szCs w:val="18"/>
          <w:color w:val="auto"/>
        </w:rPr>
        <w:t>income(1)(2)(3)......... 210,418</w:t>
      </w:r>
    </w:p>
    <w:p>
      <w:pPr>
        <w:jc w:val="center"/>
        <w:ind w:right="6639"/>
        <w:spacing w:after="0" w:line="238" w:lineRule="auto"/>
        <w:rPr>
          <w:sz w:val="20"/>
          <w:szCs w:val="20"/>
          <w:color w:val="auto"/>
        </w:rPr>
      </w:pPr>
      <w:r>
        <w:rPr>
          <w:rFonts w:ascii="Courier New" w:cs="Courier New" w:eastAsia="Courier New" w:hAnsi="Courier New"/>
          <w:sz w:val="18"/>
          <w:szCs w:val="18"/>
          <w:color w:val="auto"/>
        </w:rPr>
        <w:t>49,161 159,281 74,124 146,998 Net</w:t>
      </w:r>
    </w:p>
    <w:p>
      <w:pPr>
        <w:jc w:val="center"/>
        <w:ind w:right="6639"/>
        <w:spacing w:after="0"/>
        <w:rPr>
          <w:sz w:val="20"/>
          <w:szCs w:val="20"/>
          <w:color w:val="auto"/>
        </w:rPr>
      </w:pPr>
      <w:r>
        <w:rPr>
          <w:rFonts w:ascii="Courier New" w:cs="Courier New" w:eastAsia="Courier New" w:hAnsi="Courier New"/>
          <w:sz w:val="18"/>
          <w:szCs w:val="18"/>
          <w:color w:val="auto"/>
        </w:rPr>
        <w:t>income (loss)(1)(2)(3)(4).....</w:t>
      </w:r>
    </w:p>
    <w:p>
      <w:pPr>
        <w:jc w:val="center"/>
        <w:ind w:right="6639"/>
        <w:spacing w:after="0" w:line="238" w:lineRule="auto"/>
        <w:rPr>
          <w:sz w:val="20"/>
          <w:szCs w:val="20"/>
          <w:color w:val="auto"/>
        </w:rPr>
      </w:pPr>
      <w:r>
        <w:rPr>
          <w:rFonts w:ascii="Courier New" w:cs="Courier New" w:eastAsia="Courier New" w:hAnsi="Courier New"/>
          <w:sz w:val="18"/>
          <w:szCs w:val="18"/>
          <w:color w:val="auto"/>
        </w:rPr>
        <w:t>168,883 (5,061) 66,386 5,978</w:t>
      </w:r>
    </w:p>
    <w:p>
      <w:pPr>
        <w:jc w:val="center"/>
        <w:ind w:right="6639"/>
        <w:spacing w:after="0"/>
        <w:rPr>
          <w:sz w:val="20"/>
          <w:szCs w:val="20"/>
          <w:color w:val="auto"/>
        </w:rPr>
      </w:pPr>
      <w:r>
        <w:rPr>
          <w:rFonts w:ascii="Courier New" w:cs="Courier New" w:eastAsia="Courier New" w:hAnsi="Courier New"/>
          <w:sz w:val="18"/>
          <w:szCs w:val="18"/>
          <w:color w:val="auto"/>
        </w:rPr>
        <w:t>98,543 Basic earnings (loss) per</w:t>
      </w:r>
    </w:p>
    <w:tbl>
      <w:tblPr>
        <w:tblLayout w:type="fixed"/>
        <w:tblInd w:w="220" w:type="dxa"/>
        <w:tblCellMar>
          <w:top w:w="0" w:type="dxa"/>
          <w:left w:w="0" w:type="dxa"/>
          <w:bottom w:w="0" w:type="dxa"/>
          <w:right w:w="0" w:type="dxa"/>
        </w:tblCellMar>
      </w:tblP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w:t>
            </w:r>
          </w:p>
        </w:tc>
        <w:tc>
          <w:tcPr>
            <w:tcW w:w="2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0.78 (0.02) 0.30 0.03</w:t>
            </w:r>
          </w:p>
        </w:tc>
      </w:tr>
    </w:tbl>
    <w:p>
      <w:pPr>
        <w:ind w:left="120"/>
        <w:spacing w:after="0" w:line="238" w:lineRule="auto"/>
        <w:rPr>
          <w:sz w:val="20"/>
          <w:szCs w:val="20"/>
          <w:color w:val="auto"/>
        </w:rPr>
      </w:pPr>
      <w:r>
        <w:rPr>
          <w:rFonts w:ascii="Courier New" w:cs="Courier New" w:eastAsia="Courier New" w:hAnsi="Courier New"/>
          <w:sz w:val="18"/>
          <w:szCs w:val="18"/>
          <w:color w:val="auto"/>
        </w:rPr>
        <w:t>0.50 Diluted earnings (loss) per</w:t>
      </w:r>
    </w:p>
    <w:tbl>
      <w:tblPr>
        <w:tblLayout w:type="fixed"/>
        <w:tblInd w:w="120" w:type="dxa"/>
        <w:tblCellMar>
          <w:top w:w="0" w:type="dxa"/>
          <w:left w:w="0" w:type="dxa"/>
          <w:bottom w:w="0" w:type="dxa"/>
          <w:right w:w="0" w:type="dxa"/>
        </w:tblCellMar>
      </w:tblPr>
      <w:tr>
        <w:trPr>
          <w:trHeight w:val="171"/>
        </w:trPr>
        <w:tc>
          <w:tcPr>
            <w:tcW w:w="1580" w:type="dxa"/>
            <w:vAlign w:val="bottom"/>
          </w:tcPr>
          <w:p>
            <w:pPr>
              <w:jc w:val="right"/>
              <w:spacing w:after="0"/>
              <w:rPr>
                <w:sz w:val="20"/>
                <w:szCs w:val="20"/>
                <w:color w:val="auto"/>
              </w:rPr>
            </w:pPr>
            <w:r>
              <w:rPr>
                <w:rFonts w:ascii="Courier New" w:cs="Courier New" w:eastAsia="Courier New" w:hAnsi="Courier New"/>
                <w:sz w:val="11"/>
                <w:szCs w:val="11"/>
                <w:color w:val="auto"/>
                <w:w w:val="73"/>
              </w:rPr>
              <w:t>share...........................</w:t>
            </w:r>
          </w:p>
        </w:tc>
        <w:tc>
          <w:tcPr>
            <w:tcW w:w="1000" w:type="dxa"/>
            <w:vAlign w:val="bottom"/>
            <w:vMerge w:val="restart"/>
          </w:tcPr>
          <w:p>
            <w:pPr>
              <w:spacing w:after="0"/>
              <w:rPr>
                <w:sz w:val="20"/>
                <w:szCs w:val="20"/>
                <w:color w:val="auto"/>
              </w:rPr>
            </w:pPr>
            <w:r>
              <w:rPr>
                <w:rFonts w:ascii="Courier New" w:cs="Courier New" w:eastAsia="Courier New" w:hAnsi="Courier New"/>
                <w:sz w:val="18"/>
                <w:szCs w:val="18"/>
                <w:color w:val="auto"/>
              </w:rPr>
              <w:t>0.29 0.03</w:t>
            </w:r>
          </w:p>
        </w:tc>
        <w:tc>
          <w:tcPr>
            <w:tcW w:w="4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0.49</w:t>
            </w:r>
          </w:p>
        </w:tc>
        <w:tc>
          <w:tcPr>
            <w:tcW w:w="0" w:type="dxa"/>
            <w:vAlign w:val="bottom"/>
          </w:tcPr>
          <w:p>
            <w:pPr>
              <w:spacing w:after="0"/>
              <w:rPr>
                <w:sz w:val="1"/>
                <w:szCs w:val="1"/>
                <w:color w:val="auto"/>
              </w:rPr>
            </w:pPr>
          </w:p>
        </w:tc>
      </w:tr>
      <w:tr>
        <w:trPr>
          <w:trHeight w:val="203"/>
        </w:trPr>
        <w:tc>
          <w:tcPr>
            <w:tcW w:w="1580" w:type="dxa"/>
            <w:vAlign w:val="bottom"/>
          </w:tcPr>
          <w:p>
            <w:pPr>
              <w:jc w:val="right"/>
              <w:ind w:right="40"/>
              <w:spacing w:after="0" w:line="203" w:lineRule="exact"/>
              <w:rPr>
                <w:sz w:val="20"/>
                <w:szCs w:val="20"/>
                <w:color w:val="auto"/>
              </w:rPr>
            </w:pPr>
            <w:r>
              <w:rPr>
                <w:rFonts w:ascii="Courier New" w:cs="Courier New" w:eastAsia="Courier New" w:hAnsi="Courier New"/>
                <w:sz w:val="18"/>
                <w:szCs w:val="18"/>
                <w:color w:val="auto"/>
              </w:rPr>
              <w:t>0.77 (0.02)</w:t>
            </w:r>
          </w:p>
        </w:tc>
        <w:tc>
          <w:tcPr>
            <w:tcW w:w="1000" w:type="dxa"/>
            <w:vAlign w:val="bottom"/>
            <w:vMerge w:val="continue"/>
          </w:tcPr>
          <w:p>
            <w:pPr>
              <w:spacing w:after="0"/>
              <w:rPr>
                <w:sz w:val="17"/>
                <w:szCs w:val="17"/>
                <w:color w:val="auto"/>
              </w:rPr>
            </w:pPr>
          </w:p>
        </w:tc>
        <w:tc>
          <w:tcPr>
            <w:tcW w:w="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80" w:type="dxa"/>
            <w:vAlign w:val="bottom"/>
          </w:tcPr>
          <w:p>
            <w:pPr>
              <w:jc w:val="right"/>
              <w:ind w:right="40"/>
              <w:spacing w:after="0" w:line="203" w:lineRule="exact"/>
              <w:rPr>
                <w:sz w:val="20"/>
                <w:szCs w:val="20"/>
                <w:color w:val="auto"/>
              </w:rPr>
            </w:pPr>
            <w:r>
              <w:rPr>
                <w:rFonts w:ascii="Courier New" w:cs="Courier New" w:eastAsia="Courier New" w:hAnsi="Courier New"/>
                <w:sz w:val="18"/>
                <w:szCs w:val="18"/>
                <w:color w:val="auto"/>
              </w:rPr>
              <w:t>Dividends</w:t>
            </w:r>
          </w:p>
        </w:tc>
        <w:tc>
          <w:tcPr>
            <w:tcW w:w="14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declared per</w:t>
            </w:r>
          </w:p>
        </w:tc>
        <w:tc>
          <w:tcPr>
            <w:tcW w:w="0" w:type="dxa"/>
            <w:vAlign w:val="bottom"/>
          </w:tcPr>
          <w:p>
            <w:pPr>
              <w:spacing w:after="0"/>
              <w:rPr>
                <w:sz w:val="1"/>
                <w:szCs w:val="1"/>
                <w:color w:val="auto"/>
              </w:rPr>
            </w:pPr>
          </w:p>
        </w:tc>
      </w:tr>
      <w:tr>
        <w:trPr>
          <w:trHeight w:val="296"/>
        </w:trPr>
        <w:tc>
          <w:tcPr>
            <w:tcW w:w="1580" w:type="dxa"/>
            <w:vAlign w:val="bottom"/>
          </w:tcPr>
          <w:p>
            <w:pPr>
              <w:jc w:val="right"/>
              <w:ind w:right="40"/>
              <w:spacing w:after="0"/>
              <w:rPr>
                <w:sz w:val="20"/>
                <w:szCs w:val="20"/>
                <w:color w:val="auto"/>
              </w:rPr>
            </w:pPr>
            <w:r>
              <w:rPr>
                <w:rFonts w:ascii="Courier New" w:cs="Courier New" w:eastAsia="Courier New" w:hAnsi="Courier New"/>
                <w:sz w:val="18"/>
                <w:szCs w:val="18"/>
                <w:color w:val="auto"/>
              </w:rPr>
              <w:t>share......</w:t>
            </w:r>
          </w:p>
        </w:tc>
        <w:tc>
          <w:tcPr>
            <w:tcW w:w="14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5"/>
              </w:rPr>
              <w:t>-- -- -- -- --</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AS OF SEPTEMBER 30, -----------</w:t>
      </w:r>
    </w:p>
    <w:p>
      <w:pPr>
        <w:spacing w:after="0" w:line="29"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w:t>
      </w:r>
    </w:p>
    <w:tbl>
      <w:tblPr>
        <w:tblLayout w:type="fixed"/>
        <w:tblInd w:w="60" w:type="dxa"/>
        <w:tblCellMar>
          <w:top w:w="0" w:type="dxa"/>
          <w:left w:w="0" w:type="dxa"/>
          <w:bottom w:w="0" w:type="dxa"/>
          <w:right w:w="0" w:type="dxa"/>
        </w:tblCellMar>
      </w:tblPr>
      <w:tr>
        <w:trPr>
          <w:trHeight w:val="171"/>
        </w:trPr>
        <w:tc>
          <w:tcPr>
            <w:tcW w:w="2160" w:type="dxa"/>
            <w:vAlign w:val="bottom"/>
            <w:vMerge w:val="restart"/>
          </w:tcPr>
          <w:p>
            <w:pPr>
              <w:jc w:val="right"/>
              <w:ind w:right="20"/>
              <w:spacing w:after="0"/>
              <w:rPr>
                <w:sz w:val="20"/>
                <w:szCs w:val="20"/>
                <w:color w:val="auto"/>
              </w:rPr>
            </w:pPr>
            <w:r>
              <w:rPr>
                <w:rFonts w:ascii="Courier New" w:cs="Courier New" w:eastAsia="Courier New" w:hAnsi="Courier New"/>
                <w:sz w:val="26"/>
                <w:szCs w:val="26"/>
                <w:color w:val="auto"/>
                <w:w w:val="73"/>
                <w:vertAlign w:val="subscript"/>
              </w:rPr>
              <w:t>2001</w:t>
            </w:r>
            <w:r>
              <w:rPr>
                <w:rFonts w:ascii="Courier New" w:cs="Courier New" w:eastAsia="Courier New" w:hAnsi="Courier New"/>
                <w:sz w:val="14"/>
                <w:szCs w:val="14"/>
                <w:color w:val="auto"/>
                <w:w w:val="73"/>
              </w:rPr>
              <w:t>------------------</w:t>
            </w:r>
            <w:r>
              <w:rPr>
                <w:rFonts w:ascii="Courier New" w:cs="Courier New" w:eastAsia="Courier New" w:hAnsi="Courier New"/>
                <w:sz w:val="26"/>
                <w:szCs w:val="26"/>
                <w:color w:val="auto"/>
                <w:w w:val="73"/>
                <w:vertAlign w:val="subscript"/>
              </w:rPr>
              <w:t>20001999</w:t>
            </w:r>
          </w:p>
        </w:tc>
        <w:tc>
          <w:tcPr>
            <w:tcW w:w="1100" w:type="dxa"/>
            <w:vAlign w:val="bottom"/>
          </w:tcPr>
          <w:p>
            <w:pPr>
              <w:jc w:val="right"/>
              <w:ind w:right="72"/>
              <w:spacing w:after="0" w:line="170" w:lineRule="exact"/>
              <w:rPr>
                <w:sz w:val="20"/>
                <w:szCs w:val="20"/>
                <w:color w:val="auto"/>
              </w:rPr>
            </w:pPr>
            <w:r>
              <w:rPr>
                <w:rFonts w:ascii="Courier New" w:cs="Courier New" w:eastAsia="Courier New" w:hAnsi="Courier New"/>
                <w:sz w:val="18"/>
                <w:szCs w:val="18"/>
                <w:color w:val="auto"/>
                <w:w w:val="94"/>
              </w:rPr>
              <w:t>2003 2002</w:t>
            </w:r>
          </w:p>
        </w:tc>
        <w:tc>
          <w:tcPr>
            <w:tcW w:w="0" w:type="dxa"/>
            <w:vAlign w:val="bottom"/>
          </w:tcPr>
          <w:p>
            <w:pPr>
              <w:spacing w:after="0"/>
              <w:rPr>
                <w:sz w:val="1"/>
                <w:szCs w:val="1"/>
                <w:color w:val="auto"/>
              </w:rPr>
            </w:pPr>
          </w:p>
        </w:tc>
      </w:tr>
      <w:tr>
        <w:trPr>
          <w:trHeight w:val="235"/>
        </w:trPr>
        <w:tc>
          <w:tcPr>
            <w:tcW w:w="2160" w:type="dxa"/>
            <w:vAlign w:val="bottom"/>
            <w:vMerge w:val="continue"/>
          </w:tcPr>
          <w:p>
            <w:pPr>
              <w:jc w:val="right"/>
              <w:spacing w:after="0" w:line="178"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ind w:left="680" w:hanging="623"/>
        <w:spacing w:after="0" w:line="238" w:lineRule="auto"/>
        <w:tabs>
          <w:tab w:leader="none" w:pos="6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800" w:right="7059" w:hanging="585"/>
        <w:spacing w:after="0" w:line="268" w:lineRule="auto"/>
        <w:tabs>
          <w:tab w:leader="none" w:pos="853"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THOUSANDS) BALANCE SHEET DATA: Total</w:t>
      </w:r>
    </w:p>
    <w:p>
      <w:pPr>
        <w:ind w:left="220"/>
        <w:spacing w:after="0"/>
        <w:rPr>
          <w:sz w:val="20"/>
          <w:szCs w:val="20"/>
          <w:color w:val="auto"/>
        </w:rPr>
      </w:pPr>
      <w:r>
        <w:rPr>
          <w:rFonts w:ascii="Courier New" w:cs="Courier New" w:eastAsia="Courier New" w:hAnsi="Courier New"/>
          <w:sz w:val="18"/>
          <w:szCs w:val="18"/>
          <w:color w:val="auto"/>
        </w:rPr>
        <w:t>assets......................</w:t>
      </w:r>
    </w:p>
    <w:p>
      <w:pPr>
        <w:jc w:val="center"/>
        <w:ind w:right="6839"/>
        <w:spacing w:after="0" w:line="238" w:lineRule="auto"/>
        <w:rPr>
          <w:sz w:val="20"/>
          <w:szCs w:val="20"/>
          <w:color w:val="auto"/>
        </w:rPr>
      </w:pPr>
      <w:r>
        <w:rPr>
          <w:rFonts w:ascii="Courier New" w:cs="Courier New" w:eastAsia="Courier New" w:hAnsi="Courier New"/>
          <w:sz w:val="18"/>
          <w:szCs w:val="18"/>
          <w:color w:val="auto"/>
        </w:rPr>
        <w:t>$2,877,517 $2,540,094</w:t>
      </w:r>
    </w:p>
    <w:p>
      <w:pPr>
        <w:jc w:val="center"/>
        <w:ind w:right="6839"/>
        <w:spacing w:after="0"/>
        <w:rPr>
          <w:sz w:val="20"/>
          <w:szCs w:val="20"/>
          <w:color w:val="auto"/>
        </w:rPr>
      </w:pPr>
      <w:r>
        <w:rPr>
          <w:rFonts w:ascii="Courier New" w:cs="Courier New" w:eastAsia="Courier New" w:hAnsi="Courier New"/>
          <w:sz w:val="18"/>
          <w:szCs w:val="18"/>
          <w:color w:val="auto"/>
        </w:rPr>
        <w:t>$2,624,436 $1,935,085 $430,011</w:t>
      </w:r>
    </w:p>
    <w:p>
      <w:pPr>
        <w:jc w:val="center"/>
        <w:ind w:right="6839"/>
        <w:spacing w:after="0" w:line="238" w:lineRule="auto"/>
        <w:rPr>
          <w:sz w:val="20"/>
          <w:szCs w:val="20"/>
          <w:color w:val="auto"/>
        </w:rPr>
      </w:pPr>
      <w:r>
        <w:rPr>
          <w:rFonts w:ascii="Courier New" w:cs="Courier New" w:eastAsia="Courier New" w:hAnsi="Courier New"/>
          <w:sz w:val="18"/>
          <w:szCs w:val="18"/>
          <w:color w:val="auto"/>
        </w:rPr>
        <w:t>Long term obligations 2%</w:t>
      </w:r>
    </w:p>
    <w:p>
      <w:pPr>
        <w:jc w:val="center"/>
        <w:ind w:right="6839"/>
        <w:spacing w:after="0"/>
        <w:rPr>
          <w:sz w:val="20"/>
          <w:szCs w:val="20"/>
          <w:color w:val="auto"/>
        </w:rPr>
      </w:pPr>
      <w:r>
        <w:rPr>
          <w:rFonts w:ascii="Courier New" w:cs="Courier New" w:eastAsia="Courier New" w:hAnsi="Courier New"/>
          <w:sz w:val="18"/>
          <w:szCs w:val="18"/>
          <w:color w:val="auto"/>
        </w:rPr>
        <w:t>Convertible Notes due June 1,</w:t>
      </w:r>
    </w:p>
    <w:p>
      <w:pPr>
        <w:jc w:val="center"/>
        <w:ind w:right="6839"/>
        <w:spacing w:after="0"/>
        <w:rPr>
          <w:sz w:val="20"/>
          <w:szCs w:val="20"/>
          <w:color w:val="auto"/>
        </w:rPr>
      </w:pPr>
      <w:r>
        <w:rPr>
          <w:rFonts w:ascii="Courier New" w:cs="Courier New" w:eastAsia="Courier New" w:hAnsi="Courier New"/>
          <w:sz w:val="16"/>
          <w:szCs w:val="16"/>
          <w:color w:val="auto"/>
        </w:rPr>
        <w:t>2008(4).........................</w:t>
      </w:r>
    </w:p>
    <w:p>
      <w:pPr>
        <w:spacing w:after="0" w:line="20"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400,454 445,054 500,000 -- --</w:t>
      </w:r>
    </w:p>
    <w:p>
      <w:pPr>
        <w:ind w:left="220"/>
        <w:spacing w:after="0" w:line="238" w:lineRule="auto"/>
        <w:rPr>
          <w:sz w:val="20"/>
          <w:szCs w:val="20"/>
          <w:color w:val="auto"/>
        </w:rPr>
      </w:pPr>
      <w:r>
        <w:rPr>
          <w:rFonts w:ascii="Courier New" w:cs="Courier New" w:eastAsia="Courier New" w:hAnsi="Courier New"/>
          <w:sz w:val="18"/>
          <w:szCs w:val="18"/>
          <w:color w:val="auto"/>
        </w:rPr>
        <w:t>Long-term portion of capital</w:t>
      </w:r>
    </w:p>
    <w:p>
      <w:pPr>
        <w:ind w:left="160"/>
        <w:spacing w:after="0"/>
        <w:rPr>
          <w:sz w:val="20"/>
          <w:szCs w:val="20"/>
          <w:color w:val="auto"/>
        </w:rPr>
      </w:pPr>
      <w:r>
        <w:rPr>
          <w:rFonts w:ascii="Courier New" w:cs="Courier New" w:eastAsia="Courier New" w:hAnsi="Courier New"/>
          <w:sz w:val="18"/>
          <w:szCs w:val="18"/>
          <w:color w:val="auto"/>
        </w:rPr>
        <w:t>lease obligations............</w:t>
      </w:r>
    </w:p>
    <w:p>
      <w:pPr>
        <w:jc w:val="center"/>
        <w:ind w:right="6839"/>
        <w:spacing w:after="0" w:line="238" w:lineRule="auto"/>
        <w:rPr>
          <w:sz w:val="20"/>
          <w:szCs w:val="20"/>
          <w:color w:val="auto"/>
        </w:rPr>
      </w:pPr>
      <w:r>
        <w:rPr>
          <w:rFonts w:ascii="Courier New" w:cs="Courier New" w:eastAsia="Courier New" w:hAnsi="Courier New"/>
          <w:sz w:val="18"/>
          <w:szCs w:val="18"/>
          <w:color w:val="auto"/>
        </w:rPr>
        <w:t>23,825 15,138 24,779 23,417</w:t>
      </w:r>
    </w:p>
    <w:p>
      <w:pPr>
        <w:jc w:val="center"/>
        <w:ind w:right="6839"/>
        <w:spacing w:after="0"/>
        <w:rPr>
          <w:sz w:val="20"/>
          <w:szCs w:val="20"/>
          <w:color w:val="auto"/>
        </w:rPr>
      </w:pPr>
      <w:r>
        <w:rPr>
          <w:rFonts w:ascii="Courier New" w:cs="Courier New" w:eastAsia="Courier New" w:hAnsi="Courier New"/>
          <w:sz w:val="18"/>
          <w:szCs w:val="18"/>
          <w:color w:val="auto"/>
        </w:rPr>
        <w:t>17,148 Shareholders' equity(5)</w:t>
      </w:r>
    </w:p>
    <w:p>
      <w:pPr>
        <w:ind w:left="60"/>
        <w:spacing w:after="0" w:line="238" w:lineRule="auto"/>
        <w:rPr>
          <w:sz w:val="20"/>
          <w:szCs w:val="20"/>
          <w:color w:val="auto"/>
        </w:rPr>
      </w:pPr>
      <w:r>
        <w:rPr>
          <w:rFonts w:ascii="Courier New" w:cs="Courier New" w:eastAsia="Courier New" w:hAnsi="Courier New"/>
          <w:sz w:val="18"/>
          <w:szCs w:val="18"/>
          <w:color w:val="auto"/>
        </w:rPr>
        <w:t>(6)........ 1,591,600 1,416,275</w:t>
      </w:r>
    </w:p>
    <w:p>
      <w:pPr>
        <w:ind w:left="260"/>
        <w:spacing w:after="0"/>
        <w:rPr>
          <w:sz w:val="20"/>
          <w:szCs w:val="20"/>
          <w:color w:val="auto"/>
        </w:rPr>
      </w:pPr>
      <w:r>
        <w:rPr>
          <w:rFonts w:ascii="Courier New" w:cs="Courier New" w:eastAsia="Courier New" w:hAnsi="Courier New"/>
          <w:sz w:val="18"/>
          <w:szCs w:val="18"/>
          <w:color w:val="auto"/>
        </w:rPr>
        <w:t>1,512,091 1,430,772 123,737</w:t>
      </w:r>
    </w:p>
    <w:p>
      <w:pPr>
        <w:spacing w:after="0" w:line="37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691" w:right="1440" w:bottom="186" w:gutter="0" w:footer="0" w:header="0"/>
        </w:sectPr>
      </w:pPr>
    </w:p>
    <w:bookmarkStart w:id="5" w:name="page6"/>
    <w:bookmarkEnd w:id="5"/>
    <w:p>
      <w:pPr>
        <w:ind w:left="60"/>
        <w:spacing w:after="0"/>
        <w:rPr>
          <w:sz w:val="20"/>
          <w:szCs w:val="20"/>
          <w:color w:val="auto"/>
        </w:rPr>
      </w:pPr>
      <w:r>
        <w:rPr>
          <w:rFonts w:ascii="Courier New" w:cs="Courier New" w:eastAsia="Courier New" w:hAnsi="Courier New"/>
          <w:sz w:val="18"/>
          <w:szCs w:val="18"/>
          <w:color w:val="auto"/>
        </w:rPr>
        <w:t>ORDINARY SHARES ADDITIONAL -----</w:t>
      </w:r>
    </w:p>
    <w:p>
      <w:pPr>
        <w:spacing w:after="0" w:line="29" w:lineRule="exact"/>
        <w:rPr>
          <w:sz w:val="20"/>
          <w:szCs w:val="20"/>
          <w:color w:val="auto"/>
        </w:rPr>
      </w:pPr>
    </w:p>
    <w:p>
      <w:pPr>
        <w:ind w:left="380"/>
        <w:spacing w:after="0"/>
        <w:rPr>
          <w:sz w:val="20"/>
          <w:szCs w:val="20"/>
          <w:color w:val="auto"/>
        </w:rPr>
      </w:pPr>
      <w:r>
        <w:rPr>
          <w:rFonts w:ascii="Courier New" w:cs="Courier New" w:eastAsia="Courier New" w:hAnsi="Courier New"/>
          <w:sz w:val="18"/>
          <w:szCs w:val="18"/>
          <w:color w:val="auto"/>
        </w:rPr>
        <w:t>----------- PAID-IN SHARES</w:t>
      </w:r>
    </w:p>
    <w:p>
      <w:pPr>
        <w:ind w:left="60"/>
        <w:spacing w:after="0" w:line="238" w:lineRule="auto"/>
        <w:rPr>
          <w:sz w:val="20"/>
          <w:szCs w:val="20"/>
          <w:color w:val="auto"/>
        </w:rPr>
      </w:pPr>
      <w:r>
        <w:rPr>
          <w:rFonts w:ascii="Courier New" w:cs="Courier New" w:eastAsia="Courier New" w:hAnsi="Courier New"/>
          <w:sz w:val="18"/>
          <w:szCs w:val="18"/>
          <w:color w:val="auto"/>
        </w:rPr>
        <w:t>AMOUNT CAPITAL TREASURY STOCK --</w:t>
      </w:r>
    </w:p>
    <w:p>
      <w:pPr>
        <w:ind w:left="680" w:hanging="622"/>
        <w:spacing w:after="0"/>
        <w:tabs>
          <w:tab w:leader="none" w:pos="6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(IN THOUSANDS) STATEMENT</w:t>
      </w:r>
    </w:p>
    <w:p>
      <w:pPr>
        <w:spacing w:after="0" w:line="200" w:lineRule="exact"/>
        <w:rPr>
          <w:sz w:val="20"/>
          <w:szCs w:val="20"/>
          <w:color w:val="auto"/>
        </w:rPr>
      </w:pPr>
    </w:p>
    <w:p>
      <w:pPr>
        <w:spacing w:after="0" w:line="373" w:lineRule="exact"/>
        <w:rPr>
          <w:sz w:val="20"/>
          <w:szCs w:val="20"/>
          <w:color w:val="auto"/>
        </w:rPr>
      </w:pPr>
    </w:p>
    <w:tbl>
      <w:tblPr>
        <w:tblLayout w:type="fixed"/>
        <w:tblInd w:w="160" w:type="dxa"/>
        <w:tblCellMar>
          <w:top w:w="0" w:type="dxa"/>
          <w:left w:w="0" w:type="dxa"/>
          <w:bottom w:w="0" w:type="dxa"/>
          <w:right w:w="0" w:type="dxa"/>
        </w:tblCellMar>
      </w:tblPr>
      <w:tr>
        <w:trPr>
          <w:trHeight w:val="204"/>
        </w:trPr>
        <w:tc>
          <w:tcPr>
            <w:tcW w:w="740" w:type="dxa"/>
            <w:vAlign w:val="bottom"/>
          </w:tcPr>
          <w:p>
            <w:pPr>
              <w:jc w:val="right"/>
              <w:spacing w:after="0"/>
              <w:rPr>
                <w:sz w:val="20"/>
                <w:szCs w:val="20"/>
                <w:color w:val="auto"/>
              </w:rPr>
            </w:pPr>
            <w:r>
              <w:rPr>
                <w:rFonts w:ascii="Courier New" w:cs="Courier New" w:eastAsia="Courier New" w:hAnsi="Courier New"/>
                <w:sz w:val="8"/>
                <w:szCs w:val="8"/>
                <w:color w:val="auto"/>
                <w:w w:val="71"/>
              </w:rPr>
              <w:t>1999.................</w:t>
            </w:r>
          </w:p>
        </w:tc>
        <w:tc>
          <w:tcPr>
            <w:tcW w:w="10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4"/>
              </w:rPr>
              <w:t>$ 489,099</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198,800</w:t>
            </w:r>
          </w:p>
        </w:tc>
        <w:tc>
          <w:tcPr>
            <w:tcW w:w="0" w:type="dxa"/>
            <w:vAlign w:val="bottom"/>
          </w:tcPr>
          <w:p>
            <w:pPr>
              <w:spacing w:after="0"/>
              <w:rPr>
                <w:sz w:val="1"/>
                <w:szCs w:val="1"/>
                <w:color w:val="auto"/>
              </w:rPr>
            </w:pPr>
          </w:p>
        </w:tc>
      </w:tr>
      <w:tr>
        <w:trPr>
          <w:trHeight w:val="235"/>
        </w:trPr>
        <w:tc>
          <w:tcPr>
            <w:tcW w:w="740" w:type="dxa"/>
            <w:vAlign w:val="bottom"/>
          </w:tcPr>
          <w:p>
            <w:pPr>
              <w:jc w:val="right"/>
              <w:ind w:right="37"/>
              <w:spacing w:after="0"/>
              <w:rPr>
                <w:sz w:val="20"/>
                <w:szCs w:val="20"/>
                <w:color w:val="auto"/>
              </w:rPr>
            </w:pPr>
            <w:r>
              <w:rPr>
                <w:rFonts w:ascii="Courier New" w:cs="Courier New" w:eastAsia="Courier New" w:hAnsi="Courier New"/>
                <w:sz w:val="18"/>
                <w:szCs w:val="18"/>
                <w:color w:val="auto"/>
                <w:w w:val="95"/>
              </w:rPr>
              <w:t>$3,181</w:t>
            </w:r>
          </w:p>
        </w:tc>
        <w:tc>
          <w:tcPr>
            <w:tcW w:w="1000" w:type="dxa"/>
            <w:vAlign w:val="bottom"/>
            <w:vMerge w:val="continue"/>
          </w:tcPr>
          <w:p>
            <w:pPr>
              <w:spacing w:after="0"/>
              <w:rPr>
                <w:sz w:val="20"/>
                <w:szCs w:val="20"/>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w w:val="99"/>
              </w:rPr>
              <w:t>$ -- Issuance</w:t>
            </w:r>
          </w:p>
        </w:tc>
        <w:tc>
          <w:tcPr>
            <w:tcW w:w="0" w:type="dxa"/>
            <w:vAlign w:val="bottom"/>
          </w:tcPr>
          <w:p>
            <w:pPr>
              <w:spacing w:after="0"/>
              <w:rPr>
                <w:sz w:val="1"/>
                <w:szCs w:val="1"/>
                <w:color w:val="auto"/>
              </w:rPr>
            </w:pPr>
          </w:p>
        </w:tc>
      </w:tr>
    </w:tbl>
    <w:p>
      <w:pPr>
        <w:jc w:val="center"/>
        <w:ind w:right="6739"/>
        <w:spacing w:after="0" w:line="238" w:lineRule="auto"/>
        <w:rPr>
          <w:sz w:val="20"/>
          <w:szCs w:val="20"/>
          <w:color w:val="auto"/>
        </w:rPr>
      </w:pPr>
      <w:r>
        <w:rPr>
          <w:rFonts w:ascii="Courier New" w:cs="Courier New" w:eastAsia="Courier New" w:hAnsi="Courier New"/>
          <w:sz w:val="18"/>
          <w:szCs w:val="18"/>
          <w:color w:val="auto"/>
        </w:rPr>
        <w:t>of ordinary shares related to</w:t>
      </w:r>
    </w:p>
    <w:p>
      <w:pPr>
        <w:jc w:val="center"/>
        <w:ind w:right="6739"/>
        <w:spacing w:after="0"/>
        <w:rPr>
          <w:sz w:val="20"/>
          <w:szCs w:val="20"/>
          <w:color w:val="auto"/>
        </w:rPr>
      </w:pPr>
      <w:r>
        <w:rPr>
          <w:rFonts w:ascii="Courier New" w:cs="Courier New" w:eastAsia="Courier New" w:hAnsi="Courier New"/>
          <w:sz w:val="18"/>
          <w:szCs w:val="18"/>
          <w:color w:val="auto"/>
        </w:rPr>
        <w:t>acquisitions,</w:t>
      </w:r>
    </w:p>
    <w:p>
      <w:pPr>
        <w:ind w:left="160"/>
        <w:spacing w:after="0" w:line="238" w:lineRule="auto"/>
        <w:rPr>
          <w:sz w:val="20"/>
          <w:szCs w:val="20"/>
          <w:color w:val="auto"/>
        </w:rPr>
      </w:pPr>
      <w:r>
        <w:rPr>
          <w:rFonts w:ascii="Courier New" w:cs="Courier New" w:eastAsia="Courier New" w:hAnsi="Courier New"/>
          <w:sz w:val="18"/>
          <w:szCs w:val="18"/>
          <w:color w:val="auto"/>
        </w:rPr>
        <w:t>net(5)........................</w:t>
      </w:r>
    </w:p>
    <w:p>
      <w:pPr>
        <w:jc w:val="center"/>
        <w:ind w:right="6739"/>
        <w:spacing w:after="0"/>
        <w:rPr>
          <w:sz w:val="20"/>
          <w:szCs w:val="20"/>
          <w:color w:val="auto"/>
        </w:rPr>
      </w:pPr>
      <w:r>
        <w:rPr>
          <w:rFonts w:ascii="Courier New" w:cs="Courier New" w:eastAsia="Courier New" w:hAnsi="Courier New"/>
          <w:sz w:val="18"/>
          <w:szCs w:val="18"/>
          <w:color w:val="auto"/>
        </w:rPr>
        <w:t>20,307 325 1,263,330 -- Employee</w:t>
      </w:r>
    </w:p>
    <w:p>
      <w:pPr>
        <w:jc w:val="center"/>
        <w:ind w:right="6739"/>
        <w:spacing w:after="0" w:line="238" w:lineRule="auto"/>
        <w:rPr>
          <w:sz w:val="20"/>
          <w:szCs w:val="20"/>
          <w:color w:val="auto"/>
        </w:rPr>
      </w:pPr>
      <w:r>
        <w:rPr>
          <w:rFonts w:ascii="Courier New" w:cs="Courier New" w:eastAsia="Courier New" w:hAnsi="Courier New"/>
          <w:sz w:val="18"/>
          <w:szCs w:val="18"/>
          <w:color w:val="auto"/>
        </w:rPr>
        <w:t>stock options</w:t>
      </w:r>
    </w:p>
    <w:p>
      <w:pPr>
        <w:ind w:left="160"/>
        <w:spacing w:after="0"/>
        <w:rPr>
          <w:sz w:val="20"/>
          <w:szCs w:val="20"/>
          <w:color w:val="auto"/>
        </w:rPr>
      </w:pPr>
      <w:r>
        <w:rPr>
          <w:rFonts w:ascii="Courier New" w:cs="Courier New" w:eastAsia="Courier New" w:hAnsi="Courier New"/>
          <w:sz w:val="18"/>
          <w:szCs w:val="18"/>
          <w:color w:val="auto"/>
        </w:rPr>
        <w:t>exercised............... 2,058</w:t>
      </w:r>
    </w:p>
    <w:p>
      <w:pPr>
        <w:jc w:val="center"/>
        <w:ind w:right="6739"/>
        <w:spacing w:after="0" w:line="238" w:lineRule="auto"/>
        <w:rPr>
          <w:sz w:val="20"/>
          <w:szCs w:val="20"/>
          <w:color w:val="auto"/>
        </w:rPr>
      </w:pPr>
      <w:r>
        <w:rPr>
          <w:rFonts w:ascii="Courier New" w:cs="Courier New" w:eastAsia="Courier New" w:hAnsi="Courier New"/>
          <w:sz w:val="18"/>
          <w:szCs w:val="18"/>
          <w:color w:val="auto"/>
        </w:rPr>
        <w:t>33 21,327 -- Tax benefit of</w:t>
      </w:r>
    </w:p>
    <w:p>
      <w:pPr>
        <w:ind w:left="60"/>
        <w:spacing w:after="0"/>
        <w:rPr>
          <w:sz w:val="20"/>
          <w:szCs w:val="20"/>
          <w:color w:val="auto"/>
        </w:rPr>
      </w:pPr>
      <w:r>
        <w:rPr>
          <w:rFonts w:ascii="Courier New" w:cs="Courier New" w:eastAsia="Courier New" w:hAnsi="Courier New"/>
          <w:sz w:val="18"/>
          <w:szCs w:val="18"/>
          <w:color w:val="auto"/>
        </w:rPr>
        <w:t>stock options exercised.........</w:t>
      </w:r>
    </w:p>
    <w:p>
      <w:pPr>
        <w:ind w:right="6739" w:firstLine="216"/>
        <w:spacing w:after="0" w:line="268" w:lineRule="auto"/>
        <w:tabs>
          <w:tab w:leader="none" w:pos="524" w:val="left"/>
        </w:tabs>
        <w:numPr>
          <w:ilvl w:val="1"/>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-- 10,825 -- Stock options granted..........................</w:t>
      </w:r>
    </w:p>
    <w:p>
      <w:pPr>
        <w:ind w:left="380" w:hanging="322"/>
        <w:spacing w:after="0" w:line="238" w:lineRule="auto"/>
        <w:tabs>
          <w:tab w:leader="none" w:pos="3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-- 235 -- ------- ------ ----</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Balance as of</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September 30,</w:t>
      </w:r>
    </w:p>
    <w:tbl>
      <w:tblPr>
        <w:tblLayout w:type="fixed"/>
        <w:tblInd w:w="160" w:type="dxa"/>
        <w:tblCellMar>
          <w:top w:w="0" w:type="dxa"/>
          <w:left w:w="0" w:type="dxa"/>
          <w:bottom w:w="0" w:type="dxa"/>
          <w:right w:w="0" w:type="dxa"/>
        </w:tblCellMar>
      </w:tblPr>
      <w:tr>
        <w:trPr>
          <w:trHeight w:val="171"/>
        </w:trPr>
        <w:tc>
          <w:tcPr>
            <w:tcW w:w="2380" w:type="dxa"/>
            <w:vAlign w:val="bottom"/>
          </w:tcPr>
          <w:p>
            <w:pPr>
              <w:jc w:val="right"/>
              <w:ind w:right="38"/>
              <w:spacing w:after="0" w:line="171" w:lineRule="exact"/>
              <w:rPr>
                <w:sz w:val="20"/>
                <w:szCs w:val="20"/>
                <w:color w:val="auto"/>
              </w:rPr>
            </w:pPr>
            <w:r>
              <w:rPr>
                <w:rFonts w:ascii="Courier New" w:cs="Courier New" w:eastAsia="Courier New" w:hAnsi="Courier New"/>
                <w:sz w:val="18"/>
                <w:szCs w:val="18"/>
                <w:color w:val="auto"/>
                <w:w w:val="98"/>
              </w:rPr>
              <w:t>2000.................</w:t>
            </w:r>
          </w:p>
        </w:tc>
        <w:tc>
          <w:tcPr>
            <w:tcW w:w="780" w:type="dxa"/>
            <w:vAlign w:val="bottom"/>
          </w:tcPr>
          <w:p>
            <w:pPr>
              <w:jc w:val="right"/>
              <w:spacing w:after="0" w:line="171" w:lineRule="exact"/>
              <w:rPr>
                <w:sz w:val="20"/>
                <w:szCs w:val="20"/>
                <w:color w:val="auto"/>
              </w:rPr>
            </w:pPr>
            <w:r>
              <w:rPr>
                <w:rFonts w:ascii="Courier New" w:cs="Courier New" w:eastAsia="Courier New" w:hAnsi="Courier New"/>
                <w:sz w:val="18"/>
                <w:szCs w:val="18"/>
                <w:color w:val="auto"/>
                <w:w w:val="95"/>
              </w:rPr>
              <w:t>221,165</w:t>
            </w:r>
          </w:p>
        </w:tc>
        <w:tc>
          <w:tcPr>
            <w:tcW w:w="0" w:type="dxa"/>
            <w:vAlign w:val="bottom"/>
          </w:tcPr>
          <w:p>
            <w:pPr>
              <w:spacing w:after="0"/>
              <w:rPr>
                <w:sz w:val="1"/>
                <w:szCs w:val="1"/>
                <w:color w:val="auto"/>
              </w:rPr>
            </w:pPr>
          </w:p>
        </w:tc>
      </w:tr>
      <w:tr>
        <w:trPr>
          <w:trHeight w:val="203"/>
        </w:trPr>
        <w:tc>
          <w:tcPr>
            <w:tcW w:w="3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3,539 1,784,816 -- Employee</w:t>
            </w:r>
          </w:p>
        </w:tc>
        <w:tc>
          <w:tcPr>
            <w:tcW w:w="0" w:type="dxa"/>
            <w:vAlign w:val="bottom"/>
          </w:tcPr>
          <w:p>
            <w:pPr>
              <w:spacing w:after="0"/>
              <w:rPr>
                <w:sz w:val="1"/>
                <w:szCs w:val="1"/>
                <w:color w:val="auto"/>
              </w:rPr>
            </w:pPr>
          </w:p>
        </w:tc>
      </w:tr>
      <w:tr>
        <w:trPr>
          <w:trHeight w:val="203"/>
        </w:trPr>
        <w:tc>
          <w:tcPr>
            <w:tcW w:w="2380" w:type="dxa"/>
            <w:vAlign w:val="bottom"/>
          </w:tcPr>
          <w:p>
            <w:pPr>
              <w:jc w:val="right"/>
              <w:spacing w:after="0" w:line="202" w:lineRule="exact"/>
              <w:rPr>
                <w:sz w:val="20"/>
                <w:szCs w:val="20"/>
                <w:color w:val="auto"/>
              </w:rPr>
            </w:pPr>
            <w:r>
              <w:rPr>
                <w:rFonts w:ascii="Courier New" w:cs="Courier New" w:eastAsia="Courier New" w:hAnsi="Courier New"/>
                <w:sz w:val="23"/>
                <w:szCs w:val="23"/>
                <w:color w:val="auto"/>
                <w:vertAlign w:val="superscript"/>
              </w:rPr>
              <w:t>stock</w:t>
            </w:r>
            <w:r>
              <w:rPr>
                <w:rFonts w:ascii="Courier New" w:cs="Courier New" w:eastAsia="Courier New" w:hAnsi="Courier New"/>
                <w:sz w:val="13"/>
                <w:szCs w:val="13"/>
                <w:color w:val="auto"/>
              </w:rPr>
              <w:t>...............</w:t>
            </w:r>
            <w:r>
              <w:rPr>
                <w:rFonts w:ascii="Courier New" w:cs="Courier New" w:eastAsia="Courier New" w:hAnsi="Courier New"/>
                <w:sz w:val="23"/>
                <w:szCs w:val="23"/>
                <w:color w:val="auto"/>
                <w:vertAlign w:val="superscript"/>
              </w:rPr>
              <w:t>options</w:t>
            </w:r>
          </w:p>
        </w:tc>
        <w:tc>
          <w:tcPr>
            <w:tcW w:w="7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1,463</w:t>
            </w:r>
          </w:p>
        </w:tc>
        <w:tc>
          <w:tcPr>
            <w:tcW w:w="0" w:type="dxa"/>
            <w:vAlign w:val="bottom"/>
          </w:tcPr>
          <w:p>
            <w:pPr>
              <w:spacing w:after="0"/>
              <w:rPr>
                <w:sz w:val="1"/>
                <w:szCs w:val="1"/>
                <w:color w:val="auto"/>
              </w:rPr>
            </w:pPr>
          </w:p>
        </w:tc>
      </w:tr>
      <w:tr>
        <w:trPr>
          <w:trHeight w:val="235"/>
        </w:trPr>
        <w:tc>
          <w:tcPr>
            <w:tcW w:w="2380" w:type="dxa"/>
            <w:vAlign w:val="bottom"/>
          </w:tcPr>
          <w:p>
            <w:pPr>
              <w:jc w:val="right"/>
              <w:ind w:right="1338"/>
              <w:spacing w:after="0"/>
              <w:rPr>
                <w:sz w:val="20"/>
                <w:szCs w:val="20"/>
                <w:color w:val="auto"/>
              </w:rPr>
            </w:pPr>
            <w:r>
              <w:rPr>
                <w:rFonts w:ascii="Courier New" w:cs="Courier New" w:eastAsia="Courier New" w:hAnsi="Courier New"/>
                <w:sz w:val="18"/>
                <w:szCs w:val="18"/>
                <w:color w:val="auto"/>
                <w:w w:val="96"/>
              </w:rPr>
              <w:t>exercised</w:t>
            </w:r>
          </w:p>
        </w:tc>
        <w:tc>
          <w:tcPr>
            <w:tcW w:w="7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jc w:val="center"/>
        <w:ind w:right="6739"/>
        <w:spacing w:after="0" w:line="238" w:lineRule="auto"/>
        <w:rPr>
          <w:sz w:val="20"/>
          <w:szCs w:val="20"/>
          <w:color w:val="auto"/>
        </w:rPr>
      </w:pPr>
      <w:r>
        <w:rPr>
          <w:rFonts w:ascii="Courier New" w:cs="Courier New" w:eastAsia="Courier New" w:hAnsi="Courier New"/>
          <w:sz w:val="18"/>
          <w:szCs w:val="18"/>
          <w:color w:val="auto"/>
        </w:rPr>
        <w:t>21 13,946 -- Tax benefit of</w:t>
      </w:r>
    </w:p>
    <w:p>
      <w:pPr>
        <w:ind w:left="60"/>
        <w:spacing w:after="0"/>
        <w:rPr>
          <w:sz w:val="20"/>
          <w:szCs w:val="20"/>
          <w:color w:val="auto"/>
        </w:rPr>
      </w:pPr>
      <w:r>
        <w:rPr>
          <w:rFonts w:ascii="Courier New" w:cs="Courier New" w:eastAsia="Courier New" w:hAnsi="Courier New"/>
          <w:sz w:val="18"/>
          <w:szCs w:val="18"/>
          <w:color w:val="auto"/>
        </w:rPr>
        <w:t>stock options exercised.........</w:t>
      </w:r>
    </w:p>
    <w:p>
      <w:pPr>
        <w:ind w:right="6739" w:firstLine="269"/>
        <w:spacing w:after="0" w:line="268" w:lineRule="auto"/>
        <w:tabs>
          <w:tab w:leader="none" w:pos="577"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-- 7,345 -- Stock options granted..........................</w:t>
      </w:r>
    </w:p>
    <w:p>
      <w:pPr>
        <w:ind w:left="380" w:hanging="322"/>
        <w:spacing w:after="0" w:line="238" w:lineRule="auto"/>
        <w:tabs>
          <w:tab w:leader="none" w:pos="3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-- 183 -- ------- ------ ----</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Balance as of</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September 30,</w:t>
      </w:r>
    </w:p>
    <w:tbl>
      <w:tblPr>
        <w:tblLayout w:type="fixed"/>
        <w:tblInd w:w="60" w:type="dxa"/>
        <w:tblCellMar>
          <w:top w:w="0" w:type="dxa"/>
          <w:left w:w="0" w:type="dxa"/>
          <w:bottom w:w="0" w:type="dxa"/>
          <w:right w:w="0" w:type="dxa"/>
        </w:tblCellMar>
      </w:tblPr>
      <w:tr>
        <w:trPr>
          <w:trHeight w:val="171"/>
        </w:trPr>
        <w:tc>
          <w:tcPr>
            <w:tcW w:w="900" w:type="dxa"/>
            <w:vAlign w:val="bottom"/>
          </w:tcPr>
          <w:p>
            <w:pPr>
              <w:jc w:val="center"/>
              <w:ind w:left="79"/>
              <w:spacing w:after="0"/>
              <w:rPr>
                <w:sz w:val="20"/>
                <w:szCs w:val="20"/>
                <w:color w:val="auto"/>
              </w:rPr>
            </w:pPr>
            <w:r>
              <w:rPr>
                <w:rFonts w:ascii="Courier New" w:cs="Courier New" w:eastAsia="Courier New" w:hAnsi="Courier New"/>
                <w:sz w:val="8"/>
                <w:szCs w:val="8"/>
                <w:color w:val="auto"/>
                <w:w w:val="73"/>
              </w:rPr>
              <w:t>2001.................</w:t>
            </w:r>
          </w:p>
        </w:tc>
        <w:tc>
          <w:tcPr>
            <w:tcW w:w="2460" w:type="dxa"/>
            <w:vAlign w:val="bottom"/>
            <w:gridSpan w:val="2"/>
          </w:tcPr>
          <w:p>
            <w:pPr>
              <w:jc w:val="right"/>
              <w:ind w:right="52"/>
              <w:spacing w:after="0" w:line="171" w:lineRule="exact"/>
              <w:rPr>
                <w:sz w:val="20"/>
                <w:szCs w:val="20"/>
                <w:color w:val="auto"/>
              </w:rPr>
            </w:pPr>
            <w:r>
              <w:rPr>
                <w:rFonts w:ascii="Courier New" w:cs="Courier New" w:eastAsia="Courier New" w:hAnsi="Courier New"/>
                <w:sz w:val="18"/>
                <w:szCs w:val="18"/>
                <w:color w:val="auto"/>
              </w:rPr>
              <w:t>222,628</w:t>
            </w:r>
          </w:p>
        </w:tc>
        <w:tc>
          <w:tcPr>
            <w:tcW w:w="0" w:type="dxa"/>
            <w:vAlign w:val="bottom"/>
          </w:tcPr>
          <w:p>
            <w:pPr>
              <w:spacing w:after="0"/>
              <w:rPr>
                <w:sz w:val="1"/>
                <w:szCs w:val="1"/>
                <w:color w:val="auto"/>
              </w:rPr>
            </w:pPr>
          </w:p>
        </w:tc>
      </w:tr>
      <w:tr>
        <w:trPr>
          <w:trHeight w:val="203"/>
        </w:trPr>
        <w:tc>
          <w:tcPr>
            <w:tcW w:w="900" w:type="dxa"/>
            <w:vAlign w:val="bottom"/>
          </w:tcPr>
          <w:p>
            <w:pPr>
              <w:jc w:val="center"/>
              <w:ind w:left="59"/>
              <w:spacing w:after="0" w:line="203" w:lineRule="exact"/>
              <w:rPr>
                <w:sz w:val="20"/>
                <w:szCs w:val="20"/>
                <w:color w:val="auto"/>
              </w:rPr>
            </w:pPr>
            <w:r>
              <w:rPr>
                <w:rFonts w:ascii="Courier New" w:cs="Courier New" w:eastAsia="Courier New" w:hAnsi="Courier New"/>
                <w:sz w:val="18"/>
                <w:szCs w:val="18"/>
                <w:color w:val="auto"/>
                <w:w w:val="96"/>
              </w:rPr>
              <w:t>3,560</w:t>
            </w:r>
          </w:p>
        </w:tc>
        <w:tc>
          <w:tcPr>
            <w:tcW w:w="24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1,806,290 -- Employee</w:t>
            </w: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17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stock options</w:t>
            </w:r>
          </w:p>
        </w:tc>
        <w:tc>
          <w:tcPr>
            <w:tcW w:w="6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5"/>
              </w:rPr>
              <w:t>687 12</w:t>
            </w:r>
          </w:p>
        </w:tc>
        <w:tc>
          <w:tcPr>
            <w:tcW w:w="0" w:type="dxa"/>
            <w:vAlign w:val="bottom"/>
          </w:tcPr>
          <w:p>
            <w:pPr>
              <w:spacing w:after="0"/>
              <w:rPr>
                <w:sz w:val="1"/>
                <w:szCs w:val="1"/>
                <w:color w:val="auto"/>
              </w:rPr>
            </w:pPr>
          </w:p>
        </w:tc>
      </w:tr>
      <w:tr>
        <w:trPr>
          <w:trHeight w:val="203"/>
        </w:trPr>
        <w:tc>
          <w:tcPr>
            <w:tcW w:w="26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exercised...............</w:t>
            </w:r>
          </w:p>
        </w:tc>
        <w:tc>
          <w:tcPr>
            <w:tcW w:w="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60" w:type="dxa"/>
            <w:vAlign w:val="bottom"/>
            <w:gridSpan w:val="3"/>
          </w:tcPr>
          <w:p>
            <w:pPr>
              <w:jc w:val="right"/>
              <w:ind w:right="52"/>
              <w:spacing w:after="0" w:line="203" w:lineRule="exact"/>
              <w:rPr>
                <w:sz w:val="20"/>
                <w:szCs w:val="20"/>
                <w:color w:val="auto"/>
              </w:rPr>
            </w:pPr>
            <w:r>
              <w:rPr>
                <w:rFonts w:ascii="Courier New" w:cs="Courier New" w:eastAsia="Courier New" w:hAnsi="Courier New"/>
                <w:sz w:val="18"/>
                <w:szCs w:val="18"/>
                <w:color w:val="auto"/>
              </w:rPr>
              <w:t>5,149 -- Tax benefit of stock</w:t>
            </w:r>
          </w:p>
        </w:tc>
        <w:tc>
          <w:tcPr>
            <w:tcW w:w="0" w:type="dxa"/>
            <w:vAlign w:val="bottom"/>
          </w:tcPr>
          <w:p>
            <w:pPr>
              <w:spacing w:after="0"/>
              <w:rPr>
                <w:sz w:val="1"/>
                <w:szCs w:val="1"/>
                <w:color w:val="auto"/>
              </w:rPr>
            </w:pPr>
          </w:p>
        </w:tc>
      </w:tr>
      <w:tr>
        <w:trPr>
          <w:trHeight w:val="203"/>
        </w:trPr>
        <w:tc>
          <w:tcPr>
            <w:tcW w:w="26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4"/>
              </w:rPr>
              <w:t>options exercised.........</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c>
          <w:tcPr>
            <w:tcW w:w="0" w:type="dxa"/>
            <w:vAlign w:val="bottom"/>
          </w:tcPr>
          <w:p>
            <w:pPr>
              <w:spacing w:after="0"/>
              <w:rPr>
                <w:sz w:val="1"/>
                <w:szCs w:val="1"/>
                <w:color w:val="auto"/>
              </w:rPr>
            </w:pPr>
          </w:p>
        </w:tc>
      </w:tr>
      <w:tr>
        <w:trPr>
          <w:trHeight w:val="203"/>
        </w:trPr>
        <w:tc>
          <w:tcPr>
            <w:tcW w:w="900" w:type="dxa"/>
            <w:vAlign w:val="bottom"/>
          </w:tcPr>
          <w:p>
            <w:pPr>
              <w:jc w:val="center"/>
              <w:ind w:left="59"/>
              <w:spacing w:after="0" w:line="203" w:lineRule="exact"/>
              <w:rPr>
                <w:sz w:val="20"/>
                <w:szCs w:val="20"/>
                <w:color w:val="auto"/>
              </w:rPr>
            </w:pPr>
            <w:r>
              <w:rPr>
                <w:rFonts w:ascii="Courier New" w:cs="Courier New" w:eastAsia="Courier New" w:hAnsi="Courier New"/>
                <w:sz w:val="18"/>
                <w:szCs w:val="18"/>
                <w:color w:val="auto"/>
                <w:w w:val="96"/>
              </w:rPr>
              <w:t>6,808</w:t>
            </w:r>
          </w:p>
        </w:tc>
        <w:tc>
          <w:tcPr>
            <w:tcW w:w="24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Expense related to</w:t>
            </w:r>
          </w:p>
        </w:tc>
        <w:tc>
          <w:tcPr>
            <w:tcW w:w="0" w:type="dxa"/>
            <w:vAlign w:val="bottom"/>
          </w:tcPr>
          <w:p>
            <w:pPr>
              <w:spacing w:after="0"/>
              <w:rPr>
                <w:sz w:val="1"/>
                <w:szCs w:val="1"/>
                <w:color w:val="auto"/>
              </w:rPr>
            </w:pPr>
          </w:p>
        </w:tc>
      </w:tr>
      <w:tr>
        <w:trPr>
          <w:trHeight w:val="235"/>
        </w:trPr>
        <w:tc>
          <w:tcPr>
            <w:tcW w:w="900" w:type="dxa"/>
            <w:vAlign w:val="bottom"/>
          </w:tcPr>
          <w:p>
            <w:pPr>
              <w:ind w:left="60"/>
              <w:spacing w:after="0"/>
              <w:rPr>
                <w:sz w:val="20"/>
                <w:szCs w:val="20"/>
                <w:color w:val="auto"/>
              </w:rPr>
            </w:pPr>
            <w:r>
              <w:rPr>
                <w:rFonts w:ascii="Courier New" w:cs="Courier New" w:eastAsia="Courier New" w:hAnsi="Courier New"/>
                <w:sz w:val="18"/>
                <w:szCs w:val="18"/>
                <w:color w:val="auto"/>
              </w:rPr>
              <w:t>vesting</w:t>
            </w:r>
          </w:p>
        </w:tc>
        <w:tc>
          <w:tcPr>
            <w:tcW w:w="1780" w:type="dxa"/>
            <w:vAlign w:val="bottom"/>
          </w:tcPr>
          <w:p>
            <w:pPr>
              <w:spacing w:after="0"/>
              <w:rPr>
                <w:sz w:val="20"/>
                <w:szCs w:val="20"/>
                <w:color w:val="auto"/>
              </w:rPr>
            </w:pPr>
            <w:r>
              <w:rPr>
                <w:rFonts w:ascii="Courier New" w:cs="Courier New" w:eastAsia="Courier New" w:hAnsi="Courier New"/>
                <w:sz w:val="18"/>
                <w:szCs w:val="18"/>
                <w:color w:val="auto"/>
                <w:w w:val="81"/>
              </w:rPr>
              <w:t>of stock options....</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ind w:right="6739" w:firstLine="585"/>
        <w:spacing w:after="0" w:line="268" w:lineRule="auto"/>
        <w:tabs>
          <w:tab w:leader="none" w:pos="893"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98 -- Repurchase of shares(6)........................</w:t>
      </w: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(7,732) -- -- (109,281) -------</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 ---------</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Balance as of September 30,</w:t>
      </w:r>
    </w:p>
    <w:tbl>
      <w:tblPr>
        <w:tblLayout w:type="fixed"/>
        <w:tblInd w:w="60" w:type="dxa"/>
        <w:tblCellMar>
          <w:top w:w="0" w:type="dxa"/>
          <w:left w:w="0" w:type="dxa"/>
          <w:bottom w:w="0" w:type="dxa"/>
          <w:right w:w="0" w:type="dxa"/>
        </w:tblCellMar>
      </w:tblPr>
      <w:tr>
        <w:trPr>
          <w:trHeight w:val="171"/>
        </w:trPr>
        <w:tc>
          <w:tcPr>
            <w:tcW w:w="1000" w:type="dxa"/>
            <w:vAlign w:val="bottom"/>
          </w:tcPr>
          <w:p>
            <w:pPr>
              <w:ind w:left="160"/>
              <w:spacing w:after="0"/>
              <w:rPr>
                <w:sz w:val="20"/>
                <w:szCs w:val="20"/>
                <w:color w:val="auto"/>
              </w:rPr>
            </w:pPr>
            <w:r>
              <w:rPr>
                <w:rFonts w:ascii="Courier New" w:cs="Courier New" w:eastAsia="Courier New" w:hAnsi="Courier New"/>
                <w:sz w:val="9"/>
                <w:szCs w:val="9"/>
                <w:color w:val="auto"/>
                <w:w w:val="72"/>
              </w:rPr>
              <w:t>2002.................</w:t>
            </w:r>
          </w:p>
        </w:tc>
        <w:tc>
          <w:tcPr>
            <w:tcW w:w="106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w w:val="94"/>
              </w:rPr>
              <w:t>1,818,345</w:t>
            </w:r>
          </w:p>
        </w:tc>
        <w:tc>
          <w:tcPr>
            <w:tcW w:w="1300" w:type="dxa"/>
            <w:vAlign w:val="bottom"/>
            <w:gridSpan w:val="2"/>
          </w:tcPr>
          <w:p>
            <w:pPr>
              <w:jc w:val="right"/>
              <w:ind w:right="52"/>
              <w:spacing w:after="0" w:line="171" w:lineRule="exact"/>
              <w:rPr>
                <w:sz w:val="20"/>
                <w:szCs w:val="20"/>
                <w:color w:val="auto"/>
              </w:rPr>
            </w:pPr>
            <w:r>
              <w:rPr>
                <w:rFonts w:ascii="Courier New" w:cs="Courier New" w:eastAsia="Courier New" w:hAnsi="Courier New"/>
                <w:sz w:val="18"/>
                <w:szCs w:val="18"/>
                <w:color w:val="auto"/>
              </w:rPr>
              <w:t>215,583</w:t>
            </w:r>
          </w:p>
        </w:tc>
        <w:tc>
          <w:tcPr>
            <w:tcW w:w="0" w:type="dxa"/>
            <w:vAlign w:val="bottom"/>
          </w:tcPr>
          <w:p>
            <w:pPr>
              <w:spacing w:after="0"/>
              <w:rPr>
                <w:sz w:val="1"/>
                <w:szCs w:val="1"/>
                <w:color w:val="auto"/>
              </w:rPr>
            </w:pPr>
          </w:p>
        </w:tc>
      </w:tr>
      <w:tr>
        <w:trPr>
          <w:trHeight w:val="203"/>
        </w:trPr>
        <w:tc>
          <w:tcPr>
            <w:tcW w:w="1000" w:type="dxa"/>
            <w:vAlign w:val="bottom"/>
          </w:tcPr>
          <w:p>
            <w:pPr>
              <w:jc w:val="right"/>
              <w:ind w:right="18"/>
              <w:spacing w:after="0" w:line="203" w:lineRule="exact"/>
              <w:rPr>
                <w:sz w:val="20"/>
                <w:szCs w:val="20"/>
                <w:color w:val="auto"/>
              </w:rPr>
            </w:pPr>
            <w:r>
              <w:rPr>
                <w:rFonts w:ascii="Courier New" w:cs="Courier New" w:eastAsia="Courier New" w:hAnsi="Courier New"/>
                <w:sz w:val="18"/>
                <w:szCs w:val="18"/>
                <w:color w:val="auto"/>
              </w:rPr>
              <w:t>3,572</w:t>
            </w:r>
          </w:p>
        </w:tc>
        <w:tc>
          <w:tcPr>
            <w:tcW w:w="1060" w:type="dxa"/>
            <w:vAlign w:val="bottom"/>
            <w:vMerge w:val="continue"/>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(109,281)</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60" w:type="dxa"/>
            <w:vAlign w:val="bottom"/>
            <w:gridSpan w:val="3"/>
          </w:tcPr>
          <w:p>
            <w:pPr>
              <w:jc w:val="right"/>
              <w:ind w:right="132"/>
              <w:spacing w:after="0" w:line="203" w:lineRule="exact"/>
              <w:rPr>
                <w:sz w:val="20"/>
                <w:szCs w:val="20"/>
                <w:color w:val="auto"/>
              </w:rPr>
            </w:pPr>
            <w:r>
              <w:rPr>
                <w:rFonts w:ascii="Courier New" w:cs="Courier New" w:eastAsia="Courier New" w:hAnsi="Courier New"/>
                <w:sz w:val="18"/>
                <w:szCs w:val="18"/>
                <w:color w:val="auto"/>
              </w:rPr>
              <w:t>Employee stock options</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8"/>
              </w:rPr>
              <w:t>exercised...............</w:t>
            </w:r>
          </w:p>
        </w:tc>
        <w:tc>
          <w:tcPr>
            <w:tcW w:w="13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475 8</w:t>
            </w:r>
          </w:p>
        </w:tc>
        <w:tc>
          <w:tcPr>
            <w:tcW w:w="0" w:type="dxa"/>
            <w:vAlign w:val="bottom"/>
          </w:tcPr>
          <w:p>
            <w:pPr>
              <w:spacing w:after="0"/>
              <w:rPr>
                <w:sz w:val="1"/>
                <w:szCs w:val="1"/>
                <w:color w:val="auto"/>
              </w:rPr>
            </w:pPr>
          </w:p>
        </w:tc>
      </w:tr>
      <w:tr>
        <w:trPr>
          <w:trHeight w:val="203"/>
        </w:trPr>
        <w:tc>
          <w:tcPr>
            <w:tcW w:w="3360" w:type="dxa"/>
            <w:vAlign w:val="bottom"/>
            <w:gridSpan w:val="4"/>
          </w:tcPr>
          <w:p>
            <w:pPr>
              <w:ind w:left="160"/>
              <w:spacing w:after="0" w:line="203" w:lineRule="exact"/>
              <w:rPr>
                <w:sz w:val="20"/>
                <w:szCs w:val="20"/>
                <w:color w:val="auto"/>
              </w:rPr>
            </w:pPr>
            <w:r>
              <w:rPr>
                <w:rFonts w:ascii="Courier New" w:cs="Courier New" w:eastAsia="Courier New" w:hAnsi="Courier New"/>
                <w:sz w:val="18"/>
                <w:szCs w:val="18"/>
                <w:color w:val="auto"/>
              </w:rPr>
              <w:t>2,312 -- Tax benefit of stock</w:t>
            </w:r>
          </w:p>
        </w:tc>
        <w:tc>
          <w:tcPr>
            <w:tcW w:w="0" w:type="dxa"/>
            <w:vAlign w:val="bottom"/>
          </w:tcPr>
          <w:p>
            <w:pPr>
              <w:spacing w:after="0"/>
              <w:rPr>
                <w:sz w:val="1"/>
                <w:szCs w:val="1"/>
                <w:color w:val="auto"/>
              </w:rPr>
            </w:pPr>
          </w:p>
        </w:tc>
      </w:tr>
      <w:tr>
        <w:trPr>
          <w:trHeight w:val="203"/>
        </w:trPr>
        <w:tc>
          <w:tcPr>
            <w:tcW w:w="2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2"/>
              </w:rPr>
              <w:t>options exercised.........</w:t>
            </w:r>
          </w:p>
        </w:tc>
        <w:tc>
          <w:tcPr>
            <w:tcW w:w="13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w:t>
            </w:r>
          </w:p>
        </w:tc>
        <w:tc>
          <w:tcPr>
            <w:tcW w:w="0" w:type="dxa"/>
            <w:vAlign w:val="bottom"/>
          </w:tcPr>
          <w:p>
            <w:pPr>
              <w:spacing w:after="0"/>
              <w:rPr>
                <w:sz w:val="1"/>
                <w:szCs w:val="1"/>
                <w:color w:val="auto"/>
              </w:rPr>
            </w:pPr>
          </w:p>
        </w:tc>
      </w:tr>
      <w:tr>
        <w:trPr>
          <w:trHeight w:val="203"/>
        </w:trPr>
        <w:tc>
          <w:tcPr>
            <w:tcW w:w="30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262 -- Expense related to</w:t>
            </w:r>
          </w:p>
        </w:tc>
        <w:tc>
          <w:tcPr>
            <w:tcW w:w="3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35"/>
        </w:trPr>
        <w:tc>
          <w:tcPr>
            <w:tcW w:w="306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8"/>
              </w:rPr>
              <w:t>vesting of stock options....</w:t>
            </w:r>
          </w:p>
        </w:tc>
        <w:tc>
          <w:tcPr>
            <w:tcW w:w="3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ind w:left="380" w:hanging="322"/>
        <w:spacing w:after="0" w:line="238" w:lineRule="auto"/>
        <w:tabs>
          <w:tab w:leader="none" w:pos="3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37 -- ------- ------ --------</w:t>
      </w:r>
    </w:p>
    <w:p>
      <w:pPr>
        <w:ind w:left="1060" w:right="7099" w:hanging="686"/>
        <w:spacing w:after="0" w:line="238" w:lineRule="auto"/>
        <w:tabs>
          <w:tab w:leader="none" w:pos="691"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Balance as of September 30,</w:t>
      </w:r>
    </w:p>
    <w:tbl>
      <w:tblPr>
        <w:tblLayout w:type="fixed"/>
        <w:tblInd w:w="220" w:type="dxa"/>
        <w:tblCellMar>
          <w:top w:w="0" w:type="dxa"/>
          <w:left w:w="0" w:type="dxa"/>
          <w:bottom w:w="0" w:type="dxa"/>
          <w:right w:w="0" w:type="dxa"/>
        </w:tblCellMar>
      </w:tblPr>
      <w:tr>
        <w:trPr>
          <w:trHeight w:val="171"/>
        </w:trPr>
        <w:tc>
          <w:tcPr>
            <w:tcW w:w="780" w:type="dxa"/>
            <w:vAlign w:val="bottom"/>
          </w:tcPr>
          <w:p>
            <w:pPr>
              <w:jc w:val="right"/>
              <w:spacing w:after="0"/>
              <w:rPr>
                <w:sz w:val="20"/>
                <w:szCs w:val="20"/>
                <w:color w:val="auto"/>
              </w:rPr>
            </w:pPr>
            <w:r>
              <w:rPr>
                <w:rFonts w:ascii="Courier New" w:cs="Courier New" w:eastAsia="Courier New" w:hAnsi="Courier New"/>
                <w:sz w:val="8"/>
                <w:szCs w:val="8"/>
                <w:color w:val="auto"/>
                <w:w w:val="75"/>
              </w:rPr>
              <w:t>2003.................</w:t>
            </w:r>
          </w:p>
        </w:tc>
        <w:tc>
          <w:tcPr>
            <w:tcW w:w="11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6"/>
              </w:rPr>
              <w:t>$1,820,956</w:t>
            </w:r>
          </w:p>
        </w:tc>
        <w:tc>
          <w:tcPr>
            <w:tcW w:w="1160" w:type="dxa"/>
            <w:vAlign w:val="bottom"/>
          </w:tcPr>
          <w:p>
            <w:pPr>
              <w:jc w:val="right"/>
              <w:spacing w:after="0" w:line="171" w:lineRule="exact"/>
              <w:rPr>
                <w:sz w:val="20"/>
                <w:szCs w:val="20"/>
                <w:color w:val="auto"/>
              </w:rPr>
            </w:pPr>
            <w:r>
              <w:rPr>
                <w:rFonts w:ascii="Courier New" w:cs="Courier New" w:eastAsia="Courier New" w:hAnsi="Courier New"/>
                <w:sz w:val="18"/>
                <w:szCs w:val="18"/>
                <w:color w:val="auto"/>
              </w:rPr>
              <w:t>216,058</w:t>
            </w:r>
          </w:p>
        </w:tc>
        <w:tc>
          <w:tcPr>
            <w:tcW w:w="0" w:type="dxa"/>
            <w:vAlign w:val="bottom"/>
          </w:tcPr>
          <w:p>
            <w:pPr>
              <w:spacing w:after="0"/>
              <w:rPr>
                <w:sz w:val="1"/>
                <w:szCs w:val="1"/>
                <w:color w:val="auto"/>
              </w:rPr>
            </w:pPr>
          </w:p>
        </w:tc>
      </w:tr>
      <w:tr>
        <w:trPr>
          <w:trHeight w:val="235"/>
        </w:trPr>
        <w:tc>
          <w:tcPr>
            <w:tcW w:w="780" w:type="dxa"/>
            <w:vAlign w:val="bottom"/>
          </w:tcPr>
          <w:p>
            <w:pPr>
              <w:jc w:val="right"/>
              <w:ind w:right="37"/>
              <w:spacing w:after="0"/>
              <w:rPr>
                <w:sz w:val="20"/>
                <w:szCs w:val="20"/>
                <w:color w:val="auto"/>
              </w:rPr>
            </w:pPr>
            <w:r>
              <w:rPr>
                <w:rFonts w:ascii="Courier New" w:cs="Courier New" w:eastAsia="Courier New" w:hAnsi="Courier New"/>
                <w:sz w:val="18"/>
                <w:szCs w:val="18"/>
                <w:color w:val="auto"/>
              </w:rPr>
              <w:t>$3,580</w:t>
            </w:r>
          </w:p>
        </w:tc>
        <w:tc>
          <w:tcPr>
            <w:tcW w:w="1120" w:type="dxa"/>
            <w:vAlign w:val="bottom"/>
            <w:vMerge w:val="continue"/>
          </w:tcPr>
          <w:p>
            <w:pPr>
              <w:spacing w:after="0"/>
              <w:rPr>
                <w:sz w:val="20"/>
                <w:szCs w:val="20"/>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w w:val="99"/>
              </w:rPr>
              <w:t>$(109,281)</w:t>
            </w:r>
          </w:p>
        </w:tc>
        <w:tc>
          <w:tcPr>
            <w:tcW w:w="0" w:type="dxa"/>
            <w:vAlign w:val="bottom"/>
          </w:tcPr>
          <w:p>
            <w:pPr>
              <w:spacing w:after="0"/>
              <w:rPr>
                <w:sz w:val="1"/>
                <w:szCs w:val="1"/>
                <w:color w:val="auto"/>
              </w:rPr>
            </w:pPr>
          </w:p>
        </w:tc>
      </w:tr>
    </w:tbl>
    <w:p>
      <w:pPr>
        <w:jc w:val="center"/>
        <w:ind w:right="6739"/>
        <w:spacing w:after="0" w:line="238" w:lineRule="auto"/>
        <w:rPr>
          <w:sz w:val="20"/>
          <w:szCs w:val="20"/>
          <w:color w:val="auto"/>
        </w:rPr>
      </w:pPr>
      <w:r>
        <w:rPr>
          <w:rFonts w:ascii="Courier New" w:cs="Courier New" w:eastAsia="Courier New" w:hAnsi="Courier New"/>
          <w:sz w:val="18"/>
          <w:szCs w:val="18"/>
          <w:color w:val="auto"/>
        </w:rPr>
        <w:t>======= ====== ==========</w:t>
      </w:r>
    </w:p>
    <w:p>
      <w:pPr>
        <w:jc w:val="center"/>
        <w:ind w:right="6739"/>
        <w:spacing w:after="0"/>
        <w:rPr>
          <w:sz w:val="20"/>
          <w:szCs w:val="20"/>
          <w:color w:val="auto"/>
        </w:rPr>
      </w:pPr>
      <w:r>
        <w:rPr>
          <w:rFonts w:ascii="Courier New" w:cs="Courier New" w:eastAsia="Courier New" w:hAnsi="Courier New"/>
          <w:sz w:val="18"/>
          <w:szCs w:val="18"/>
          <w:color w:val="auto"/>
        </w:rPr>
        <w:t>=========</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1" w:lineRule="exact"/>
        <w:rPr>
          <w:sz w:val="20"/>
          <w:szCs w:val="20"/>
          <w:color w:val="auto"/>
        </w:rPr>
      </w:pPr>
    </w:p>
    <w:p>
      <w:pPr>
        <w:ind w:left="420" w:right="1779" w:hanging="412"/>
        <w:spacing w:after="0" w:line="260" w:lineRule="auto"/>
        <w:tabs>
          <w:tab w:leader="none" w:pos="4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fiscal 2000, we recorded acquisition-related charges of $75,617, relating to our acquisitions of International Telecommunication Data Systems, Inc. ("ITDS") in November 1999 and Solect Technology Group Inc. ("Solect") in April 2000, in stock-for-stock transactions. These charges included write-offs of purchased in-process research and development and other indirect acquisition-related costs.</w:t>
      </w:r>
    </w:p>
    <w:p>
      <w:pPr>
        <w:spacing w:after="0" w:line="92" w:lineRule="exact"/>
        <w:rPr>
          <w:rFonts w:ascii="Courier New" w:cs="Courier New" w:eastAsia="Courier New" w:hAnsi="Courier New"/>
          <w:sz w:val="18"/>
          <w:szCs w:val="18"/>
          <w:color w:val="auto"/>
        </w:rPr>
      </w:pPr>
    </w:p>
    <w:p>
      <w:pPr>
        <w:ind w:left="420" w:right="2099" w:hanging="412"/>
        <w:spacing w:after="0" w:line="306" w:lineRule="auto"/>
        <w:tabs>
          <w:tab w:leader="none" w:pos="4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fiscal 2002, we recorded acquisition-related charges for in-process research and development of $17,400, relating to our November 2001 acquisition from Nortel Networks Corporation of substantially all of the assets of its Clarify business ("Clarify") for cash. We also recorded restructuring charges of $34,230 relating to the closure of our Stamford,</w:t>
      </w:r>
    </w:p>
    <w:p>
      <w:pPr>
        <w:sectPr>
          <w:pgSz w:w="11900" w:h="16838" w:orient="portrait"/>
          <w:cols w:equalWidth="0" w:num="1">
            <w:col w:w="10219"/>
          </w:cols>
          <w:pgMar w:left="240" w:top="691" w:right="1440" w:bottom="0" w:gutter="0" w:footer="0" w:header="0"/>
        </w:sectPr>
      </w:pPr>
    </w:p>
    <w:bookmarkStart w:id="6" w:name="page7"/>
    <w:bookmarkEnd w:id="6"/>
    <w:p>
      <w:pPr>
        <w:ind w:left="412"/>
        <w:spacing w:after="0"/>
        <w:rPr>
          <w:sz w:val="20"/>
          <w:szCs w:val="20"/>
          <w:color w:val="auto"/>
        </w:rPr>
      </w:pPr>
      <w:r>
        <w:rPr>
          <w:rFonts w:ascii="Courier New" w:cs="Courier New" w:eastAsia="Courier New" w:hAnsi="Courier New"/>
          <w:sz w:val="18"/>
          <w:szCs w:val="18"/>
          <w:color w:val="auto"/>
        </w:rPr>
        <w:t>Connecticut data center and our cost reduction program.</w:t>
      </w:r>
    </w:p>
    <w:p>
      <w:pPr>
        <w:spacing w:after="0" w:line="201" w:lineRule="exact"/>
        <w:rPr>
          <w:sz w:val="20"/>
          <w:szCs w:val="20"/>
          <w:color w:val="auto"/>
        </w:rPr>
      </w:pPr>
    </w:p>
    <w:p>
      <w:pPr>
        <w:ind w:left="412" w:right="1779" w:hanging="412"/>
        <w:spacing w:after="0" w:line="256" w:lineRule="auto"/>
        <w:tabs>
          <w:tab w:leader="none" w:pos="412"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first quarter of fiscal 2003, we recorded a restructuring charge of $9,956 related to our cost reduction program. In the fourth quarter of fiscal 2003, we recorded an acquisition-related charge of $4,133 related to our July 2003 acquisition from Bell Canada of its 90% ownership interest in Certen Inc. ("Certen") for cash. Prior to this acquisition, we had 10% ownership interest in Certen. This charge reflects our 10% share in Certen's pre-acquisition results.</w:t>
      </w:r>
    </w:p>
    <w:p>
      <w:pPr>
        <w:spacing w:after="0" w:line="98" w:lineRule="exact"/>
        <w:rPr>
          <w:rFonts w:ascii="Courier New" w:cs="Courier New" w:eastAsia="Courier New" w:hAnsi="Courier New"/>
          <w:sz w:val="18"/>
          <w:szCs w:val="18"/>
          <w:color w:val="auto"/>
        </w:rPr>
      </w:pPr>
    </w:p>
    <w:p>
      <w:pPr>
        <w:ind w:left="412" w:right="1779" w:hanging="412"/>
        <w:spacing w:after="0" w:line="281" w:lineRule="auto"/>
        <w:tabs>
          <w:tab w:leader="none" w:pos="412"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May 2001, we issued $500,000 aggregate principal amount of our 2% Convertible Notes dues June 1, 2008 (the "Notes"). On July 23, 2002, our Board of Directors authorized us to repurchase Notes in such amounts, at such prices and at such times considered appropriate. During the fourth quarter of fiscal 2003, we repurchased $44,600 aggregate principal amount of Notes, at an average price of 99% of the principal amount. During fiscal 2002, we repurchased $54,946 aggregate principal amount of Notes, at an average price of 89% of the principal amount. In fiscal 2003 and 2002, we recorded gains of $448 and $6,012, respectively, relating to the repurchases of the Notes. As of September 30, 2003, $400,454 aggregate principal amount of Notes was outstanding. As of that date, the aggregate principal amount of Notes outstanding is presented as a current liability, due to the holders' option to require us to repurchase the Notes on June 1, 2004.</w:t>
      </w:r>
    </w:p>
    <w:p>
      <w:pPr>
        <w:spacing w:after="0" w:line="290" w:lineRule="exact"/>
        <w:rPr>
          <w:sz w:val="20"/>
          <w:szCs w:val="20"/>
          <w:color w:val="auto"/>
        </w:rPr>
      </w:pPr>
    </w:p>
    <w:p>
      <w:pPr>
        <w:ind w:left="4212"/>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1"/>
          </w:cols>
          <w:pgMar w:left="248" w:top="110" w:right="1440" w:bottom="1440" w:gutter="0" w:footer="0" w:header="0"/>
        </w:sectPr>
      </w:pPr>
    </w:p>
    <w:bookmarkStart w:id="7" w:name="page8"/>
    <w:bookmarkEnd w:id="7"/>
    <w:p>
      <w:pPr>
        <w:ind w:left="412" w:right="1879" w:hanging="412"/>
        <w:spacing w:after="0" w:line="292" w:lineRule="auto"/>
        <w:tabs>
          <w:tab w:leader="none" w:pos="412"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addition, options to purchase an aggregate of 2,757 ordinary shares were issued in exchange for employee options in connection with the Solect and ITDS acquisitions.</w:t>
      </w:r>
    </w:p>
    <w:p>
      <w:pPr>
        <w:spacing w:after="0" w:line="66" w:lineRule="exact"/>
        <w:rPr>
          <w:rFonts w:ascii="Courier New" w:cs="Courier New" w:eastAsia="Courier New" w:hAnsi="Courier New"/>
          <w:sz w:val="18"/>
          <w:szCs w:val="18"/>
          <w:color w:val="auto"/>
        </w:rPr>
      </w:pPr>
    </w:p>
    <w:p>
      <w:pPr>
        <w:ind w:left="412" w:right="2099" w:hanging="412"/>
        <w:spacing w:after="0" w:line="289" w:lineRule="auto"/>
        <w:tabs>
          <w:tab w:leader="none" w:pos="412"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November 6, 2001, our Board of Directors approved a twelve-month share repurchase program and authorized us to repurchase our ordinary shares. During fiscal 2002, we repurchased 7,732 ordinary shares, at an average price of $14.13 per share. During fiscal 2003, we did not repurchase any ordinary shares. On November 5, 2003, our Board of Directors approved an additional twelve-month share repurchase program. In accordance with this program, as of December 22, 2003, we had repurchased an additional 4,990 ordinary shares, at an average price of $24.82 per share.</w:t>
      </w:r>
    </w:p>
    <w:p>
      <w:pPr>
        <w:spacing w:after="0" w:line="77" w:lineRule="exact"/>
        <w:rPr>
          <w:sz w:val="20"/>
          <w:szCs w:val="20"/>
          <w:color w:val="auto"/>
        </w:rPr>
      </w:pPr>
    </w:p>
    <w:p>
      <w:pPr>
        <w:ind w:left="4212"/>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1"/>
          </w:cols>
          <w:pgMar w:left="248" w:top="691"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8"/>
          <w:szCs w:val="18"/>
          <w:color w:val="auto"/>
        </w:rPr>
        <w:t>RISK FACTORS</w:t>
      </w:r>
    </w:p>
    <w:p>
      <w:pPr>
        <w:spacing w:after="0" w:line="201" w:lineRule="exact"/>
        <w:rPr>
          <w:sz w:val="20"/>
          <w:szCs w:val="20"/>
          <w:color w:val="auto"/>
        </w:rPr>
      </w:pPr>
    </w:p>
    <w:p>
      <w:pPr>
        <w:ind w:left="220" w:right="1879"/>
        <w:spacing w:after="0" w:line="347" w:lineRule="auto"/>
        <w:rPr>
          <w:sz w:val="20"/>
          <w:szCs w:val="20"/>
          <w:color w:val="auto"/>
        </w:rPr>
      </w:pPr>
      <w:r>
        <w:rPr>
          <w:rFonts w:ascii="Courier New" w:cs="Courier New" w:eastAsia="Courier New" w:hAnsi="Courier New"/>
          <w:sz w:val="18"/>
          <w:szCs w:val="18"/>
          <w:color w:val="auto"/>
        </w:rPr>
        <w:t>WE ARE EXPOSED TO GENERAL GLOBAL ECONOMIC AND MARKET CONDITIONS, PARTICULARLY THOSE IMPACTING THE COMMUNICATIONS INDUSTRY.</w:t>
      </w:r>
    </w:p>
    <w:p>
      <w:pPr>
        <w:spacing w:after="0" w:line="18" w:lineRule="exact"/>
        <w:rPr>
          <w:sz w:val="20"/>
          <w:szCs w:val="20"/>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Developments in the communications industry, such as the impact of general global economic conditions, continued industry consolidation, the formation of alliances among network operators and service providers, and changes in the regulatory environment have had, and could continue to have, a material adverse effect on our existing or potential customers. These conditions have reduced the high growth rates that the communications industry had previously experienced, and have caused the market value, financial results and prospects, and capital spending levels of many communications companies to decline or degrade. The need for communications providers to control operating expenses and capital investment budgets has resulted in slowed customer buying decisions, as well as price pressures. Adverse conditions in the business environment for communications companies have had, and could continue to have, a negative impact on our business by reducing the number of new contracts we are able to sign and the size of initial spending commitments, as well as decreasing the level of discretionary spending under contracts with existing customers.</w:t>
      </w:r>
    </w:p>
    <w:p>
      <w:pPr>
        <w:spacing w:after="0" w:line="291" w:lineRule="exact"/>
        <w:rPr>
          <w:sz w:val="20"/>
          <w:szCs w:val="20"/>
          <w:color w:val="auto"/>
        </w:rPr>
      </w:pPr>
    </w:p>
    <w:p>
      <w:pPr>
        <w:ind w:left="220" w:right="2519"/>
        <w:spacing w:after="0" w:line="347" w:lineRule="auto"/>
        <w:rPr>
          <w:sz w:val="20"/>
          <w:szCs w:val="20"/>
          <w:color w:val="auto"/>
        </w:rPr>
      </w:pPr>
      <w:r>
        <w:rPr>
          <w:rFonts w:ascii="Courier New" w:cs="Courier New" w:eastAsia="Courier New" w:hAnsi="Courier New"/>
          <w:sz w:val="18"/>
          <w:szCs w:val="18"/>
          <w:color w:val="auto"/>
        </w:rPr>
        <w:t>IF WE CANNOT COMPETE SUCCESSFULLY WITH EXISTING OR NEW COMPETITORS, OUR BUSINESS COULD BE HARMED.</w:t>
      </w:r>
    </w:p>
    <w:p>
      <w:pPr>
        <w:spacing w:after="0" w:line="18" w:lineRule="exact"/>
        <w:rPr>
          <w:sz w:val="20"/>
          <w:szCs w:val="20"/>
          <w:color w:val="auto"/>
        </w:rPr>
      </w:pPr>
    </w:p>
    <w:p>
      <w:pPr>
        <w:ind w:right="1879" w:firstLine="527"/>
        <w:spacing w:after="0" w:line="250" w:lineRule="auto"/>
        <w:rPr>
          <w:sz w:val="20"/>
          <w:szCs w:val="20"/>
          <w:color w:val="auto"/>
        </w:rPr>
      </w:pPr>
      <w:r>
        <w:rPr>
          <w:rFonts w:ascii="Courier New" w:cs="Courier New" w:eastAsia="Courier New" w:hAnsi="Courier New"/>
          <w:sz w:val="18"/>
          <w:szCs w:val="18"/>
          <w:color w:val="auto"/>
        </w:rPr>
        <w:t>We may be unable to compete successfully with existing or new competitors. If we fail to adapt to changing market conditions and to compete successfully with established or new competitors, it could have a material adverse effect on our results of operations and financial condition. We face intense competition for the software products and services that we sell, including competition for Managed Services we provide to customers under long-term service agreements. These Managed Services include a combination of services, such as system modernization and consolidation, management and operation of data centers, purchase and management of related hardware assets, billing operations and application support.</w:t>
      </w:r>
    </w:p>
    <w:p>
      <w:pPr>
        <w:spacing w:after="0" w:line="104" w:lineRule="exact"/>
        <w:rPr>
          <w:sz w:val="20"/>
          <w:szCs w:val="20"/>
          <w:color w:val="auto"/>
        </w:rPr>
      </w:pPr>
    </w:p>
    <w:p>
      <w:pPr>
        <w:ind w:right="1779" w:firstLine="527"/>
        <w:spacing w:after="0" w:line="250" w:lineRule="auto"/>
        <w:rPr>
          <w:sz w:val="20"/>
          <w:szCs w:val="20"/>
          <w:color w:val="auto"/>
        </w:rPr>
      </w:pPr>
      <w:r>
        <w:rPr>
          <w:rFonts w:ascii="Courier New" w:cs="Courier New" w:eastAsia="Courier New" w:hAnsi="Courier New"/>
          <w:sz w:val="18"/>
          <w:szCs w:val="18"/>
          <w:color w:val="auto"/>
        </w:rPr>
        <w:t>The market for communications information systems is highly competitive and fragmented, and we expect competition to increase. We compete with independent providers of information systems and services and with the in-house software departments of communications companies. Our competitors include firms that provide comprehensive information systems and Managed Services solutions, software vendors that sell products for particular aspects of a total information system, software vendors that specialize in systems for particular communications services such as Internet and wireless services, systems integrators, service bureaus and companies that offer software systems in combination with the sale of network equipment.</w:t>
      </w:r>
    </w:p>
    <w:p>
      <w:pPr>
        <w:spacing w:after="0" w:line="104" w:lineRule="exact"/>
        <w:rPr>
          <w:sz w:val="20"/>
          <w:szCs w:val="20"/>
          <w:color w:val="auto"/>
        </w:rPr>
      </w:pPr>
    </w:p>
    <w:p>
      <w:pPr>
        <w:ind w:right="2319" w:firstLine="527"/>
        <w:spacing w:after="0" w:line="347" w:lineRule="auto"/>
        <w:rPr>
          <w:sz w:val="20"/>
          <w:szCs w:val="20"/>
          <w:color w:val="auto"/>
        </w:rPr>
      </w:pPr>
      <w:r>
        <w:rPr>
          <w:rFonts w:ascii="Courier New" w:cs="Courier New" w:eastAsia="Courier New" w:hAnsi="Courier New"/>
          <w:sz w:val="18"/>
          <w:szCs w:val="18"/>
          <w:color w:val="auto"/>
        </w:rPr>
        <w:t>We believe that our ability to compete depends on a number of factors, including:</w:t>
      </w:r>
    </w:p>
    <w:p>
      <w:pPr>
        <w:spacing w:after="0" w:line="18" w:lineRule="exact"/>
        <w:rPr>
          <w:sz w:val="20"/>
          <w:szCs w:val="20"/>
          <w:color w:val="auto"/>
        </w:rPr>
      </w:pPr>
    </w:p>
    <w:p>
      <w:pPr>
        <w:ind w:left="860" w:right="2419" w:hanging="325"/>
        <w:spacing w:after="0" w:line="347" w:lineRule="auto"/>
        <w:tabs>
          <w:tab w:leader="none" w:pos="8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development by others of software that is competitive with our products and services,</w:t>
      </w:r>
    </w:p>
    <w:p>
      <w:pPr>
        <w:spacing w:after="0" w:line="18" w:lineRule="exact"/>
        <w:rPr>
          <w:rFonts w:ascii="Courier New" w:cs="Courier New" w:eastAsia="Courier New" w:hAnsi="Courier New"/>
          <w:sz w:val="18"/>
          <w:szCs w:val="18"/>
          <w:color w:val="auto"/>
        </w:rPr>
      </w:pPr>
    </w:p>
    <w:p>
      <w:pPr>
        <w:ind w:left="860" w:hanging="325"/>
        <w:spacing w:after="0"/>
        <w:tabs>
          <w:tab w:leader="none" w:pos="8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price at which others offer competitive software and services,</w:t>
      </w:r>
    </w:p>
    <w:p>
      <w:pPr>
        <w:spacing w:after="0" w:line="201" w:lineRule="exact"/>
        <w:rPr>
          <w:rFonts w:ascii="Courier New" w:cs="Courier New" w:eastAsia="Courier New" w:hAnsi="Courier New"/>
          <w:sz w:val="18"/>
          <w:szCs w:val="18"/>
          <w:color w:val="auto"/>
        </w:rPr>
      </w:pPr>
    </w:p>
    <w:p>
      <w:pPr>
        <w:ind w:left="860" w:hanging="325"/>
        <w:spacing w:after="0"/>
        <w:tabs>
          <w:tab w:leader="none" w:pos="8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responsiveness of our competitors to customer needs, and</w:t>
      </w:r>
    </w:p>
    <w:p>
      <w:pPr>
        <w:spacing w:after="0" w:line="201" w:lineRule="exact"/>
        <w:rPr>
          <w:rFonts w:ascii="Courier New" w:cs="Courier New" w:eastAsia="Courier New" w:hAnsi="Courier New"/>
          <w:sz w:val="18"/>
          <w:szCs w:val="18"/>
          <w:color w:val="auto"/>
        </w:rPr>
      </w:pPr>
    </w:p>
    <w:p>
      <w:pPr>
        <w:ind w:left="860" w:right="2739" w:hanging="325"/>
        <w:spacing w:after="0" w:line="347" w:lineRule="auto"/>
        <w:tabs>
          <w:tab w:leader="none" w:pos="8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ability of our competitors to hire, retain and motivate key personnel.</w:t>
      </w:r>
    </w:p>
    <w:p>
      <w:pPr>
        <w:spacing w:after="0" w:line="18" w:lineRule="exact"/>
        <w:rPr>
          <w:sz w:val="20"/>
          <w:szCs w:val="20"/>
          <w:color w:val="auto"/>
        </w:rPr>
      </w:pPr>
    </w:p>
    <w:p>
      <w:pPr>
        <w:ind w:right="1779" w:firstLine="527"/>
        <w:spacing w:after="0" w:line="278" w:lineRule="auto"/>
        <w:rPr>
          <w:sz w:val="20"/>
          <w:szCs w:val="20"/>
          <w:color w:val="auto"/>
        </w:rPr>
      </w:pPr>
      <w:r>
        <w:rPr>
          <w:rFonts w:ascii="Courier New" w:cs="Courier New" w:eastAsia="Courier New" w:hAnsi="Courier New"/>
          <w:sz w:val="16"/>
          <w:szCs w:val="16"/>
          <w:color w:val="auto"/>
        </w:rPr>
        <w:t>We compete with a number of companies that have long operating histories, large customer bases, substantial financial, technical, sales, marketing and other resources, and strong name recognition. Current and potential competitors have established, and may establish in the future, cooperative relationships among themselves or with third parties to increase their ability to address the needs of our prospective customers. In addition, our competitors have acquired, and may continue to acquire in the future, companies that may enhance their market offerings. Accordingly, new competitors or alliances among competitors may emerge and rapidly acquire significant market share. As a result, our competitors may be able to adapt more quickly than us to new or emerging technologies and changes in customer requirements, and may be able to devote greater resources to the promotion and sale of their products. We cannot assure you that we will be able to compete successfully with existing or new competitors. Failure by us to adapt to changing market conditions and to compete successfully with established or new competitors may have a material adverse effect on our results of operations and financial condition.</w:t>
      </w:r>
    </w:p>
    <w:p>
      <w:pPr>
        <w:spacing w:after="0" w:line="29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691" w:right="1440" w:bottom="0" w:gutter="0" w:footer="0" w:header="0"/>
        </w:sectPr>
      </w:pPr>
    </w:p>
    <w:bookmarkStart w:id="9" w:name="page10"/>
    <w:bookmarkEnd w:id="9"/>
    <w:p>
      <w:pPr>
        <w:ind w:left="220"/>
        <w:spacing w:after="0"/>
        <w:rPr>
          <w:sz w:val="20"/>
          <w:szCs w:val="20"/>
          <w:color w:val="auto"/>
        </w:rPr>
      </w:pPr>
      <w:r>
        <w:rPr>
          <w:rFonts w:ascii="Courier New" w:cs="Courier New" w:eastAsia="Courier New" w:hAnsi="Courier New"/>
          <w:sz w:val="18"/>
          <w:szCs w:val="18"/>
          <w:color w:val="auto"/>
        </w:rPr>
        <w:t>WE MUST CONTINUALLY ENHANCE OUR PRODUCTS TO REMAIN COMPETITIVE.</w:t>
      </w:r>
    </w:p>
    <w:p>
      <w:pPr>
        <w:spacing w:after="0" w:line="201" w:lineRule="exact"/>
        <w:rPr>
          <w:sz w:val="20"/>
          <w:szCs w:val="20"/>
          <w:color w:val="auto"/>
        </w:rPr>
      </w:pPr>
    </w:p>
    <w:p>
      <w:pPr>
        <w:ind w:right="1779" w:firstLine="527"/>
        <w:spacing w:after="0" w:line="250" w:lineRule="auto"/>
        <w:rPr>
          <w:sz w:val="20"/>
          <w:szCs w:val="20"/>
          <w:color w:val="auto"/>
        </w:rPr>
      </w:pPr>
      <w:r>
        <w:rPr>
          <w:rFonts w:ascii="Courier New" w:cs="Courier New" w:eastAsia="Courier New" w:hAnsi="Courier New"/>
          <w:sz w:val="18"/>
          <w:szCs w:val="18"/>
          <w:color w:val="auto"/>
        </w:rPr>
        <w:t>We believe that our future success will depend, to a significant extent, upon our ability to enhance our existing products and to introduce new products and features to meet the requirements of our customers in a rapidly developing and evolving market. We are currently devoting significant resources to refining and expanding our base software modules and to developing Integrated Customer Management products that operate in state-of-the-art computing environments. Our present or future products may not satisfy the evolving needs of the communications industry. If we are unable to anticipate or respond adequately to such needs, due to resource, technological or other constraints, our business and results of operations could be harmed.</w:t>
      </w:r>
    </w:p>
    <w:p>
      <w:pPr>
        <w:spacing w:after="0" w:line="104" w:lineRule="exact"/>
        <w:rPr>
          <w:sz w:val="20"/>
          <w:szCs w:val="20"/>
          <w:color w:val="auto"/>
        </w:rPr>
      </w:pPr>
    </w:p>
    <w:p>
      <w:pPr>
        <w:ind w:left="220" w:right="1999"/>
        <w:spacing w:after="0" w:line="292" w:lineRule="auto"/>
        <w:rPr>
          <w:sz w:val="20"/>
          <w:szCs w:val="20"/>
          <w:color w:val="auto"/>
        </w:rPr>
      </w:pPr>
      <w:r>
        <w:rPr>
          <w:rFonts w:ascii="Courier New" w:cs="Courier New" w:eastAsia="Courier New" w:hAnsi="Courier New"/>
          <w:sz w:val="18"/>
          <w:szCs w:val="18"/>
          <w:color w:val="auto"/>
        </w:rPr>
        <w:t>WE MAY SEEK TO ACQUIRE COMPANIES OR TECHNOLOGIES, WHICH COULD DISRUPT OUR ONGOING BUSINESS, DISTRACT OUR MANAGEMENT AND EMPLOYEES AND ADVERSELY AFFECT OUR RESULTS OF OPERATIONS.</w:t>
      </w:r>
    </w:p>
    <w:p>
      <w:pPr>
        <w:spacing w:after="0" w:line="66" w:lineRule="exact"/>
        <w:rPr>
          <w:sz w:val="20"/>
          <w:szCs w:val="20"/>
          <w:color w:val="auto"/>
        </w:rPr>
      </w:pPr>
    </w:p>
    <w:p>
      <w:pPr>
        <w:ind w:right="1879" w:firstLine="527"/>
        <w:spacing w:after="0" w:line="247" w:lineRule="auto"/>
        <w:rPr>
          <w:sz w:val="20"/>
          <w:szCs w:val="20"/>
          <w:color w:val="auto"/>
        </w:rPr>
      </w:pPr>
      <w:r>
        <w:rPr>
          <w:rFonts w:ascii="Courier New" w:cs="Courier New" w:eastAsia="Courier New" w:hAnsi="Courier New"/>
          <w:sz w:val="18"/>
          <w:szCs w:val="18"/>
          <w:color w:val="auto"/>
        </w:rPr>
        <w:t>We may acquire companies where we believe we can acquire new products or services or otherwise enhance our market position or strategic strengths. We cannot assure you that suitable acquisition candidates can be found, that acquisitions can be consummated on favorable terms or that we will be able to complete otherwise favorable acquisitions because of antitrust or other regulatory concerns. If we do complete acquisitions, we cannot assure you that they will ultimately enhance our products or strengthen our competitive position. In addition, any acquisitions that we make could lead to difficulties in integrating personnel and operations from the acquired businesses and in retaining and motivating key personnel from these businesses. Acquisitions may disrupt our ongoing operations, divert management from day-to-day responsibilities, increase our expenses and harm our results of operations or financial condition.</w:t>
      </w:r>
    </w:p>
    <w:p>
      <w:pPr>
        <w:spacing w:after="0" w:line="108"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OUR BUSINESS IS HIGHLY DEPENDENT ON A LIMITED NUMBER OF SIGNIFICANT CUSTOMERS.</w:t>
      </w:r>
    </w:p>
    <w:p>
      <w:pPr>
        <w:spacing w:after="0" w:line="224" w:lineRule="exact"/>
        <w:rPr>
          <w:sz w:val="20"/>
          <w:szCs w:val="20"/>
          <w:color w:val="auto"/>
        </w:rPr>
      </w:pPr>
    </w:p>
    <w:p>
      <w:pPr>
        <w:ind w:right="1779" w:firstLine="527"/>
        <w:spacing w:after="0" w:line="281" w:lineRule="auto"/>
        <w:rPr>
          <w:sz w:val="20"/>
          <w:szCs w:val="20"/>
          <w:color w:val="auto"/>
        </w:rPr>
      </w:pPr>
      <w:r>
        <w:rPr>
          <w:rFonts w:ascii="Courier New" w:cs="Courier New" w:eastAsia="Courier New" w:hAnsi="Courier New"/>
          <w:sz w:val="16"/>
          <w:szCs w:val="16"/>
          <w:color w:val="auto"/>
        </w:rPr>
        <w:t>Our business is highly dependent on a limited number of significant customers. Our three largest groups of customers are comprised of Nextel Communications, Inc. ("Nextel"), SBC Communications Inc. ("SBC") and Bell Canada and certain of their subsidiaries. In fiscal 2003, Nextel and its subsidiaries accounted for approximately 15% of our revenue, and each of SBC and Bell Canada and their subsidiaries accounted for approximately 11%. Aggregate revenue derived from the multiple business arrangements we have with each of our five largest customer groups, including Nextel, SBC and Bell Canada, accounted for approximately 55% of our revenue in fiscal 2003. SBC has historically been one of our largest shareholders, and, as of November 28, 2003, it beneficially owned approximately 9.4% of our outstanding ordinary shares. The loss of any significant customer or a significant decrease in business from any such customer could harm our results of operations and financial condition.</w:t>
      </w:r>
    </w:p>
    <w:p>
      <w:pPr>
        <w:spacing w:after="0" w:line="290" w:lineRule="exact"/>
        <w:rPr>
          <w:sz w:val="20"/>
          <w:szCs w:val="20"/>
          <w:color w:val="auto"/>
        </w:rPr>
      </w:pPr>
    </w:p>
    <w:p>
      <w:pPr>
        <w:ind w:right="1879" w:firstLine="527"/>
        <w:spacing w:after="0" w:line="256" w:lineRule="auto"/>
        <w:rPr>
          <w:sz w:val="20"/>
          <w:szCs w:val="20"/>
          <w:color w:val="auto"/>
        </w:rPr>
      </w:pPr>
      <w:r>
        <w:rPr>
          <w:rFonts w:ascii="Courier New" w:cs="Courier New" w:eastAsia="Courier New" w:hAnsi="Courier New"/>
          <w:sz w:val="18"/>
          <w:szCs w:val="18"/>
          <w:color w:val="auto"/>
        </w:rPr>
        <w:t>Although we have received a substantial portion of our revenue from recurring business with established customers, most of our major customers do not have any obligation to purchase additional products or services from us and generally have already acquired fully paid licenses to their installed systems. Therefore, our customers may not continue to purchase new systems, system enhancements or services in amounts similar to previous years or may delay implementation of committed projects.</w:t>
      </w:r>
    </w:p>
    <w:p>
      <w:pPr>
        <w:spacing w:after="0" w:line="98" w:lineRule="exact"/>
        <w:rPr>
          <w:sz w:val="20"/>
          <w:szCs w:val="20"/>
          <w:color w:val="auto"/>
        </w:rPr>
      </w:pPr>
    </w:p>
    <w:p>
      <w:pPr>
        <w:ind w:left="220" w:right="3039"/>
        <w:spacing w:after="0" w:line="347" w:lineRule="auto"/>
        <w:rPr>
          <w:sz w:val="20"/>
          <w:szCs w:val="20"/>
          <w:color w:val="auto"/>
        </w:rPr>
      </w:pPr>
      <w:r>
        <w:rPr>
          <w:rFonts w:ascii="Courier New" w:cs="Courier New" w:eastAsia="Courier New" w:hAnsi="Courier New"/>
          <w:sz w:val="18"/>
          <w:szCs w:val="18"/>
          <w:color w:val="auto"/>
        </w:rPr>
        <w:t>OUR FUTURE SUCCESS WILL DEPEND ON OUR ABILITY TO DEVELOP LONG-TERM RELATIONSHIPS WITH OUR CUSTOMERS.</w:t>
      </w:r>
    </w:p>
    <w:p>
      <w:pPr>
        <w:spacing w:after="0" w:line="18" w:lineRule="exact"/>
        <w:rPr>
          <w:sz w:val="20"/>
          <w:szCs w:val="20"/>
          <w:color w:val="auto"/>
        </w:rPr>
      </w:pPr>
    </w:p>
    <w:p>
      <w:pPr>
        <w:ind w:right="1779" w:firstLine="527"/>
        <w:spacing w:after="0" w:line="287" w:lineRule="auto"/>
        <w:rPr>
          <w:sz w:val="20"/>
          <w:szCs w:val="20"/>
          <w:color w:val="auto"/>
        </w:rPr>
      </w:pPr>
      <w:r>
        <w:rPr>
          <w:rFonts w:ascii="Courier New" w:cs="Courier New" w:eastAsia="Courier New" w:hAnsi="Courier New"/>
          <w:sz w:val="16"/>
          <w:szCs w:val="16"/>
          <w:color w:val="auto"/>
        </w:rPr>
        <w:t>We believe that our future success will depend to a significant extent on our ability to develop long-term relationships with successful network operators and service providers with the financial and other resources required to invest in significant ongoing Integrated Customer Management systems. If we are unable to develop new customer relationships, our business will be harmed. In addition, our business and results of operations depend in part on our ability to provide high quality services to customers that have already implemented our products. If we are unable to meet customers' expectations in providing products or performing services, our business and results of operations could be harmed.</w:t>
      </w:r>
    </w:p>
    <w:p>
      <w:pPr>
        <w:spacing w:after="0" w:line="7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691" w:right="1440" w:bottom="1440" w:gutter="0" w:footer="0" w:header="0"/>
        </w:sectPr>
      </w:pPr>
    </w:p>
    <w:bookmarkStart w:id="10" w:name="page11"/>
    <w:bookmarkEnd w:id="10"/>
    <w:p>
      <w:pPr>
        <w:ind w:left="220" w:right="2199"/>
        <w:spacing w:after="0" w:line="347" w:lineRule="auto"/>
        <w:rPr>
          <w:sz w:val="20"/>
          <w:szCs w:val="20"/>
          <w:color w:val="auto"/>
        </w:rPr>
      </w:pPr>
      <w:r>
        <w:rPr>
          <w:rFonts w:ascii="Courier New" w:cs="Courier New" w:eastAsia="Courier New" w:hAnsi="Courier New"/>
          <w:sz w:val="18"/>
          <w:szCs w:val="18"/>
          <w:color w:val="auto"/>
        </w:rPr>
        <w:t>WE MAY BE EXPOSED TO THE CREDIT RISK OF CUSTOMERS THAT HAVE BEEN ADVERSELY AFFECTED BY WEAKENED MARKETS.</w:t>
      </w:r>
    </w:p>
    <w:p>
      <w:pPr>
        <w:spacing w:after="0" w:line="18" w:lineRule="exact"/>
        <w:rPr>
          <w:sz w:val="20"/>
          <w:szCs w:val="20"/>
          <w:color w:val="auto"/>
        </w:rPr>
      </w:pPr>
    </w:p>
    <w:p>
      <w:pPr>
        <w:ind w:right="1999" w:firstLine="527"/>
        <w:spacing w:after="0" w:line="260" w:lineRule="auto"/>
        <w:rPr>
          <w:sz w:val="20"/>
          <w:szCs w:val="20"/>
          <w:color w:val="auto"/>
        </w:rPr>
      </w:pPr>
      <w:r>
        <w:rPr>
          <w:rFonts w:ascii="Courier New" w:cs="Courier New" w:eastAsia="Courier New" w:hAnsi="Courier New"/>
          <w:sz w:val="18"/>
          <w:szCs w:val="18"/>
          <w:color w:val="auto"/>
        </w:rPr>
        <w:t>We typically sell our software and related services as part of long-term projects. During the life of a project, a customer's budgeting constraints can impact the scope of a project and the customer's ability to make required payments. In addition, the creditworthiness of our customers may deteriorate over time, and we can be adversely affected by bankruptcies or other business failures.</w:t>
      </w:r>
    </w:p>
    <w:p>
      <w:pPr>
        <w:spacing w:after="0" w:line="93" w:lineRule="exact"/>
        <w:rPr>
          <w:sz w:val="20"/>
          <w:szCs w:val="20"/>
          <w:color w:val="auto"/>
        </w:rPr>
      </w:pPr>
    </w:p>
    <w:p>
      <w:pPr>
        <w:ind w:left="220" w:right="1779"/>
        <w:spacing w:after="0" w:line="292" w:lineRule="auto"/>
        <w:rPr>
          <w:sz w:val="20"/>
          <w:szCs w:val="20"/>
          <w:color w:val="auto"/>
        </w:rPr>
      </w:pPr>
      <w:r>
        <w:rPr>
          <w:rFonts w:ascii="Courier New" w:cs="Courier New" w:eastAsia="Courier New" w:hAnsi="Courier New"/>
          <w:sz w:val="18"/>
          <w:szCs w:val="18"/>
          <w:color w:val="auto"/>
        </w:rPr>
        <w:t>WE MAY NEED TO USE A SIGNIFICANT AMOUNT OF OUR CASH AND/OR ISSUE A SIGNIFICANT NUMBER OF OUR ORDINARY SHARES IF WE ARE REQUIRED TO REPURCHASE OUR 2% CONVERTIBLE NOTES DUE 2008.</w:t>
      </w:r>
    </w:p>
    <w:p>
      <w:pPr>
        <w:spacing w:after="0" w:line="66" w:lineRule="exact"/>
        <w:rPr>
          <w:sz w:val="20"/>
          <w:szCs w:val="20"/>
          <w:color w:val="auto"/>
        </w:rPr>
      </w:pPr>
    </w:p>
    <w:p>
      <w:pPr>
        <w:ind w:right="1779" w:firstLine="527"/>
        <w:spacing w:after="0" w:line="250" w:lineRule="auto"/>
        <w:rPr>
          <w:sz w:val="20"/>
          <w:szCs w:val="20"/>
          <w:color w:val="auto"/>
        </w:rPr>
      </w:pPr>
      <w:r>
        <w:rPr>
          <w:rFonts w:ascii="Courier New" w:cs="Courier New" w:eastAsia="Courier New" w:hAnsi="Courier New"/>
          <w:sz w:val="18"/>
          <w:szCs w:val="18"/>
          <w:color w:val="auto"/>
        </w:rPr>
        <w:t>Holders of our 2% Convertible Notes due 2008 (the "Notes") may require us to repurchase all or any of their Notes as early as June 1, 2004 at a repurchase price equal to 100% of the principal amount plus accrued and unpaid interest, if any. The Notes are convertible into our ordinary shares at a conversion rate of 10.8587 shares per $1,000 principal amount, representing a conversion price of approximately $92.09 per share. As of December 1, 2003, the closing price of our stock on the New York Stock Exchange ("NYSE") was $26.04. Because the conversion price of the Notes is significantly higher than the current market price of the ordinary shares, it is likely that the holders of the Notes will require us to repurchase their Notes on June 1, 2004.</w:t>
      </w:r>
    </w:p>
    <w:p>
      <w:pPr>
        <w:spacing w:after="0" w:line="104" w:lineRule="exact"/>
        <w:rPr>
          <w:sz w:val="20"/>
          <w:szCs w:val="20"/>
          <w:color w:val="auto"/>
        </w:rPr>
      </w:pPr>
    </w:p>
    <w:p>
      <w:pPr>
        <w:ind w:right="1779" w:firstLine="527"/>
        <w:spacing w:after="0" w:line="249" w:lineRule="auto"/>
        <w:rPr>
          <w:sz w:val="20"/>
          <w:szCs w:val="20"/>
          <w:color w:val="auto"/>
        </w:rPr>
      </w:pPr>
      <w:r>
        <w:rPr>
          <w:rFonts w:ascii="Courier New" w:cs="Courier New" w:eastAsia="Courier New" w:hAnsi="Courier New"/>
          <w:sz w:val="18"/>
          <w:szCs w:val="18"/>
          <w:color w:val="auto"/>
        </w:rPr>
        <w:t>We may choose to pay the repurchase price for the Notes in cash, ordinary shares or a combination of cash and ordinary shares. As of September 30, 2003, $400.5 million aggregate principal amount of the Notes was outstanding. If we repurchase the Notes using cash, it would significantly reduce the amount of cash and cash equivalents on our consolidated balance sheet. If we repurchase the Notes using shares, it could involve the issuance of a significant number of our ordinary shares. If we repurchased all of the Notes using only ordinary shares, we could be required to issue over 15.3 million ordinary shares, based on the closing price of the ordinary shares on the NYSE on December 1, 2003. If we repurchased all or part of the Notes using ordinary shares, it could cause the trading price of the ordinary shares to decline.</w:t>
      </w:r>
    </w:p>
    <w:p>
      <w:pPr>
        <w:spacing w:after="0" w:line="104" w:lineRule="exact"/>
        <w:rPr>
          <w:sz w:val="20"/>
          <w:szCs w:val="20"/>
          <w:color w:val="auto"/>
        </w:rPr>
      </w:pPr>
    </w:p>
    <w:p>
      <w:pPr>
        <w:ind w:left="220" w:right="2099"/>
        <w:spacing w:after="0" w:line="347" w:lineRule="auto"/>
        <w:rPr>
          <w:sz w:val="20"/>
          <w:szCs w:val="20"/>
          <w:color w:val="auto"/>
        </w:rPr>
      </w:pPr>
      <w:r>
        <w:rPr>
          <w:rFonts w:ascii="Courier New" w:cs="Courier New" w:eastAsia="Courier New" w:hAnsi="Courier New"/>
          <w:sz w:val="18"/>
          <w:szCs w:val="18"/>
          <w:color w:val="auto"/>
        </w:rPr>
        <w:t>THE SKILLED AND HIGHLY QUALIFIED EMPLOYEES THAT WE NEED MAY BE DIFFICULT TO HIRE AND RETAIN.</w:t>
      </w:r>
    </w:p>
    <w:p>
      <w:pPr>
        <w:spacing w:after="0" w:line="18" w:lineRule="exact"/>
        <w:rPr>
          <w:sz w:val="20"/>
          <w:szCs w:val="20"/>
          <w:color w:val="auto"/>
        </w:rPr>
      </w:pPr>
    </w:p>
    <w:p>
      <w:pPr>
        <w:ind w:right="1779" w:firstLine="527"/>
        <w:spacing w:after="0" w:line="250" w:lineRule="auto"/>
        <w:rPr>
          <w:sz w:val="20"/>
          <w:szCs w:val="20"/>
          <w:color w:val="auto"/>
        </w:rPr>
      </w:pPr>
      <w:r>
        <w:rPr>
          <w:rFonts w:ascii="Courier New" w:cs="Courier New" w:eastAsia="Courier New" w:hAnsi="Courier New"/>
          <w:sz w:val="18"/>
          <w:szCs w:val="18"/>
          <w:color w:val="auto"/>
        </w:rPr>
        <w:t>Our business operations depend in large part on our ability to attract, train, motivate and retain highly skilled information technology professionals, software programmers and communications engineers. In addition, our competitive success will depend on our ability to attract and retain other outstanding, highly qualified employees. We continually need to hire sales, support, technical and other personnel. We may face difficulties identifying and hiring qualified personnel and may be unable to retain employees with the skills and experience that we require. Our inability to hire and retain the appropriate personnel could make it difficult for us to manage our operations and to compete for new customer contracts.</w:t>
      </w:r>
    </w:p>
    <w:p>
      <w:pPr>
        <w:spacing w:after="0" w:line="104" w:lineRule="exact"/>
        <w:rPr>
          <w:sz w:val="20"/>
          <w:szCs w:val="20"/>
          <w:color w:val="auto"/>
        </w:rPr>
      </w:pPr>
    </w:p>
    <w:p>
      <w:pPr>
        <w:ind w:right="1779" w:firstLine="527"/>
        <w:spacing w:after="0" w:line="274" w:lineRule="auto"/>
        <w:rPr>
          <w:sz w:val="20"/>
          <w:szCs w:val="20"/>
          <w:color w:val="auto"/>
        </w:rPr>
      </w:pPr>
      <w:r>
        <w:rPr>
          <w:rFonts w:ascii="Courier New" w:cs="Courier New" w:eastAsia="Courier New" w:hAnsi="Courier New"/>
          <w:sz w:val="18"/>
          <w:szCs w:val="18"/>
          <w:color w:val="auto"/>
        </w:rPr>
        <w:t>Our success will also depend, to a certain extent, upon the continued active participation of a relatively small group of senior management personnel. The loss of the services of all or some of these executives could harm our business.</w:t>
      </w:r>
    </w:p>
    <w:p>
      <w:pPr>
        <w:spacing w:after="0" w:line="8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OUR QUARTERLY OPERATING RESULTS MAY FLUCTUATE.</w:t>
      </w:r>
    </w:p>
    <w:p>
      <w:pPr>
        <w:spacing w:after="0" w:line="201" w:lineRule="exact"/>
        <w:rPr>
          <w:sz w:val="20"/>
          <w:szCs w:val="20"/>
          <w:color w:val="auto"/>
        </w:rPr>
      </w:pPr>
    </w:p>
    <w:p>
      <w:pPr>
        <w:ind w:right="1779" w:firstLine="527"/>
        <w:spacing w:after="0" w:line="292" w:lineRule="auto"/>
        <w:rPr>
          <w:sz w:val="20"/>
          <w:szCs w:val="20"/>
          <w:color w:val="auto"/>
        </w:rPr>
      </w:pPr>
      <w:r>
        <w:rPr>
          <w:rFonts w:ascii="Courier New" w:cs="Courier New" w:eastAsia="Courier New" w:hAnsi="Courier New"/>
          <w:sz w:val="18"/>
          <w:szCs w:val="18"/>
          <w:color w:val="auto"/>
        </w:rPr>
        <w:t>We have experienced fluctuations in our quarterly operating results and anticipate that such movement may continue and could intensify. Fluctuations may result from many factors, including:</w:t>
      </w:r>
    </w:p>
    <w:p>
      <w:pPr>
        <w:spacing w:after="0" w:line="66" w:lineRule="exact"/>
        <w:rPr>
          <w:sz w:val="20"/>
          <w:szCs w:val="20"/>
          <w:color w:val="auto"/>
        </w:rPr>
      </w:pPr>
    </w:p>
    <w:p>
      <w:pPr>
        <w:ind w:left="740" w:hanging="205"/>
        <w:spacing w:after="0"/>
        <w:tabs>
          <w:tab w:leader="none" w:pos="7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size and timing of significant customer projects and license fees,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delays in or cancellations of significant projects by customers,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operating expenses,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increased competition,</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our strategy,</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personnel changes,</w:t>
      </w:r>
    </w:p>
    <w:p>
      <w:pPr>
        <w:spacing w:after="0" w:line="3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691" w:right="1440" w:bottom="559" w:gutter="0" w:footer="0" w:header="0"/>
        </w:sectPr>
      </w:pPr>
    </w:p>
    <w:bookmarkStart w:id="11" w:name="page12"/>
    <w:bookmarkEnd w:id="11"/>
    <w:p>
      <w:pPr>
        <w:ind w:left="740" w:hanging="205"/>
        <w:spacing w:after="0"/>
        <w:tabs>
          <w:tab w:leader="none" w:pos="7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foreign currency exchange rate fluctuations, and</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economic and political conditions.</w:t>
      </w:r>
    </w:p>
    <w:p>
      <w:pPr>
        <w:spacing w:after="0" w:line="201" w:lineRule="exact"/>
        <w:rPr>
          <w:sz w:val="20"/>
          <w:szCs w:val="20"/>
          <w:color w:val="auto"/>
        </w:rPr>
      </w:pPr>
    </w:p>
    <w:p>
      <w:pPr>
        <w:ind w:right="1879" w:firstLine="527"/>
        <w:spacing w:after="0" w:line="260" w:lineRule="auto"/>
        <w:rPr>
          <w:sz w:val="20"/>
          <w:szCs w:val="20"/>
          <w:color w:val="auto"/>
        </w:rPr>
      </w:pPr>
      <w:r>
        <w:rPr>
          <w:rFonts w:ascii="Courier New" w:cs="Courier New" w:eastAsia="Courier New" w:hAnsi="Courier New"/>
          <w:sz w:val="18"/>
          <w:szCs w:val="18"/>
          <w:color w:val="auto"/>
        </w:rPr>
        <w:t>Generally, our license fee revenue and our service fee revenue relating to customization and modification are recognized as work is performed, using percentage of completion accounting. Given our reliance on a limited number of significant customers, our quarterly results may be significantly affected by the size and timing of customer projects and our progress in completing such projects.</w:t>
      </w:r>
    </w:p>
    <w:p>
      <w:pPr>
        <w:spacing w:after="0" w:line="93" w:lineRule="exact"/>
        <w:rPr>
          <w:sz w:val="20"/>
          <w:szCs w:val="20"/>
          <w:color w:val="auto"/>
        </w:rPr>
      </w:pPr>
    </w:p>
    <w:p>
      <w:pPr>
        <w:ind w:right="1879" w:firstLine="527"/>
        <w:spacing w:after="0" w:line="253" w:lineRule="auto"/>
        <w:rPr>
          <w:sz w:val="20"/>
          <w:szCs w:val="20"/>
          <w:color w:val="auto"/>
        </w:rPr>
      </w:pPr>
      <w:r>
        <w:rPr>
          <w:rFonts w:ascii="Courier New" w:cs="Courier New" w:eastAsia="Courier New" w:hAnsi="Courier New"/>
          <w:sz w:val="18"/>
          <w:szCs w:val="18"/>
          <w:color w:val="auto"/>
        </w:rPr>
        <w:t>We believe that the placement of customer orders may be concentrated in specific quarterly periods due to the time requirements and budgetary constraints of our customers. Although we recognize revenue as projects progress, progress may vary significantly from project to project, and we believe that variations in quarterly revenue are sometimes attributable to the timing of initial order placements. Due to the relatively fixed nature of certain of our costs, a decline of revenue in any quarter would result in lower profitability for that quarter.</w:t>
      </w:r>
    </w:p>
    <w:p>
      <w:pPr>
        <w:spacing w:after="0" w:line="1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OUR BUSINESS IS IMPACTED BY THE LENGTH OF OUR SALES CYCLE.</w:t>
      </w:r>
    </w:p>
    <w:p>
      <w:pPr>
        <w:spacing w:after="0" w:line="201" w:lineRule="exact"/>
        <w:rPr>
          <w:sz w:val="20"/>
          <w:szCs w:val="20"/>
          <w:color w:val="auto"/>
        </w:rPr>
      </w:pPr>
    </w:p>
    <w:p>
      <w:pPr>
        <w:ind w:right="1779" w:firstLine="527"/>
        <w:spacing w:after="0" w:line="246" w:lineRule="auto"/>
        <w:rPr>
          <w:sz w:val="20"/>
          <w:szCs w:val="20"/>
          <w:color w:val="auto"/>
        </w:rPr>
      </w:pPr>
      <w:r>
        <w:rPr>
          <w:rFonts w:ascii="Courier New" w:cs="Courier New" w:eastAsia="Courier New" w:hAnsi="Courier New"/>
          <w:sz w:val="18"/>
          <w:szCs w:val="18"/>
          <w:color w:val="auto"/>
        </w:rPr>
        <w:t>Our business is directly affected by the length of our sales cycle. Information systems for communications companies are relatively complex and their purchase generally involves a significant commitment of capital, with attendant delays frequently associated with large capital expenditures and procurement procedures within an organization. The purchase of these types of products typically also requires coordination and agreement across many departments within a potential customer's organization. Delays associated with such timing factors could have a material adverse effect on our results of operations and financial condition. In periods of economic slowdown in the communications industry, our typical sales cycle lengthens, which means that the average time between our initial contact with a prospective customer and the signing of a sales contract increases. The lengthening of our sales cycle could reduce growth in our revenue in the future. In addition, the lengthening of our sales cycle contributes to an increased cost of sales, thereby reducing our profitability.</w:t>
      </w:r>
    </w:p>
    <w:p>
      <w:pPr>
        <w:spacing w:after="0" w:line="106" w:lineRule="exact"/>
        <w:rPr>
          <w:sz w:val="20"/>
          <w:szCs w:val="20"/>
          <w:color w:val="auto"/>
        </w:rPr>
      </w:pPr>
    </w:p>
    <w:p>
      <w:pPr>
        <w:ind w:left="220" w:right="2839"/>
        <w:spacing w:after="0" w:line="347" w:lineRule="auto"/>
        <w:rPr>
          <w:sz w:val="20"/>
          <w:szCs w:val="20"/>
          <w:color w:val="auto"/>
        </w:rPr>
      </w:pPr>
      <w:r>
        <w:rPr>
          <w:rFonts w:ascii="Courier New" w:cs="Courier New" w:eastAsia="Courier New" w:hAnsi="Courier New"/>
          <w:sz w:val="18"/>
          <w:szCs w:val="18"/>
          <w:color w:val="auto"/>
        </w:rPr>
        <w:t>IF THE MARKET FOR OUR PRODUCTS DETERIORATES, WE MAY INCUR ADDITIONAL RESTRUCTURING CHARGES.</w:t>
      </w:r>
    </w:p>
    <w:p>
      <w:pPr>
        <w:spacing w:after="0" w:line="18" w:lineRule="exact"/>
        <w:rPr>
          <w:sz w:val="20"/>
          <w:szCs w:val="20"/>
          <w:color w:val="auto"/>
        </w:rPr>
      </w:pPr>
    </w:p>
    <w:p>
      <w:pPr>
        <w:ind w:right="1779" w:firstLine="527"/>
        <w:spacing w:after="0" w:line="249" w:lineRule="auto"/>
        <w:rPr>
          <w:sz w:val="20"/>
          <w:szCs w:val="20"/>
          <w:color w:val="auto"/>
        </w:rPr>
      </w:pPr>
      <w:r>
        <w:rPr>
          <w:rFonts w:ascii="Courier New" w:cs="Courier New" w:eastAsia="Courier New" w:hAnsi="Courier New"/>
          <w:sz w:val="18"/>
          <w:szCs w:val="18"/>
          <w:color w:val="auto"/>
        </w:rPr>
        <w:t>In an effort to implement long-term cost reduction measures, we reduced our workforce in the fourth quarter of fiscal 2002 and in the first quarter of fiscal 2003 and reallocated certain personnel among different areas of our operations. A reduction in personnel can result in significant severance, administrative and legal expenses and may also adversely affect or delay various sales, marketing and product development programs and activities. Depending on market conditions in the communications industry and our business and financial needs, we may be forced to implement additional restructuring plans to further reduce our costs, which could result in additional restructuring charges. Additional restructuring charges could have a material adverse effect on our financial results.</w:t>
      </w:r>
    </w:p>
    <w:p>
      <w:pPr>
        <w:spacing w:after="0" w:line="104" w:lineRule="exact"/>
        <w:rPr>
          <w:sz w:val="20"/>
          <w:szCs w:val="20"/>
          <w:color w:val="auto"/>
        </w:rPr>
      </w:pPr>
    </w:p>
    <w:p>
      <w:pPr>
        <w:ind w:left="220" w:right="2739"/>
        <w:spacing w:after="0" w:line="347" w:lineRule="auto"/>
        <w:rPr>
          <w:sz w:val="20"/>
          <w:szCs w:val="20"/>
          <w:color w:val="auto"/>
        </w:rPr>
      </w:pPr>
      <w:r>
        <w:rPr>
          <w:rFonts w:ascii="Courier New" w:cs="Courier New" w:eastAsia="Courier New" w:hAnsi="Courier New"/>
          <w:sz w:val="18"/>
          <w:szCs w:val="18"/>
          <w:color w:val="auto"/>
        </w:rPr>
        <w:t>IF WE FAIL TO SUCCESSFULLY PLAN AND MANAGE CHANGES IN THE SIZE OF OUR OPERATIONS OUR BUSINESS WILL SUFFER.</w:t>
      </w:r>
    </w:p>
    <w:p>
      <w:pPr>
        <w:spacing w:after="0" w:line="18" w:lineRule="exact"/>
        <w:rPr>
          <w:sz w:val="20"/>
          <w:szCs w:val="20"/>
          <w:color w:val="auto"/>
        </w:rPr>
      </w:pPr>
    </w:p>
    <w:p>
      <w:pPr>
        <w:ind w:right="1999" w:firstLine="527"/>
        <w:spacing w:after="0" w:line="265" w:lineRule="auto"/>
        <w:rPr>
          <w:sz w:val="20"/>
          <w:szCs w:val="20"/>
          <w:color w:val="auto"/>
        </w:rPr>
      </w:pPr>
      <w:r>
        <w:rPr>
          <w:rFonts w:ascii="Courier New" w:cs="Courier New" w:eastAsia="Courier New" w:hAnsi="Courier New"/>
          <w:sz w:val="18"/>
          <w:szCs w:val="18"/>
          <w:color w:val="auto"/>
        </w:rPr>
        <w:t>Over the last several years, we have both grown and contracted our operations in order to profitably offer our products and services in a rapidly changing market. If we are unable to manage these changes and plan and manage any future changes in the size and scope of our operations, our business will suffer.</w:t>
      </w:r>
    </w:p>
    <w:p>
      <w:pPr>
        <w:spacing w:after="0" w:line="90" w:lineRule="exact"/>
        <w:rPr>
          <w:sz w:val="20"/>
          <w:szCs w:val="20"/>
          <w:color w:val="auto"/>
        </w:rPr>
      </w:pPr>
    </w:p>
    <w:p>
      <w:pPr>
        <w:ind w:right="1879" w:firstLine="527"/>
        <w:spacing w:after="0" w:line="247" w:lineRule="auto"/>
        <w:rPr>
          <w:sz w:val="20"/>
          <w:szCs w:val="20"/>
          <w:color w:val="auto"/>
        </w:rPr>
      </w:pPr>
      <w:r>
        <w:rPr>
          <w:rFonts w:ascii="Courier New" w:cs="Courier New" w:eastAsia="Courier New" w:hAnsi="Courier New"/>
          <w:sz w:val="18"/>
          <w:szCs w:val="18"/>
          <w:color w:val="auto"/>
        </w:rPr>
        <w:t>Our restructurings and cost reduction measures reduced the size of our operations. On January 31, 2003, we employed approximately 7,800 individuals in software and information technology positions, compared to approximately 9,100 on November 30, 2001. Our software and information technology workforce increased to 9,000 positions as of November 30, 2003, primarily as a result of the Certen acquisition in July 2003 and a Managed Services agreement signed in January 2003. During periods of contraction, we disposed of office space and related obligations in an effort to keep pace with the changing size of our operations. Our recent cost reduction measures included consolidating and/or relocating certain of our operations to different geographic locations. These activities could lead to difficulties and significant expenses related to subleasing or assigning any surplus space. We have accrued the estimated expenses</w:t>
      </w:r>
    </w:p>
    <w:p>
      <w:pPr>
        <w:spacing w:after="0" w:line="10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691" w:right="1440" w:bottom="0" w:gutter="0" w:footer="0" w:header="0"/>
        </w:sectPr>
      </w:pPr>
    </w:p>
    <w:bookmarkStart w:id="12" w:name="page13"/>
    <w:bookmarkEnd w:id="12"/>
    <w:p>
      <w:pPr>
        <w:ind w:right="1999"/>
        <w:spacing w:after="0" w:line="274" w:lineRule="auto"/>
        <w:rPr>
          <w:sz w:val="20"/>
          <w:szCs w:val="20"/>
          <w:color w:val="auto"/>
        </w:rPr>
      </w:pPr>
      <w:r>
        <w:rPr>
          <w:rFonts w:ascii="Courier New" w:cs="Courier New" w:eastAsia="Courier New" w:hAnsi="Courier New"/>
          <w:sz w:val="18"/>
          <w:szCs w:val="18"/>
          <w:color w:val="auto"/>
        </w:rPr>
        <w:t>that will result from our restructuring efforts. However, if it is determined that the amount accrued is insufficient, an additional charge could have an unfavorable impact on our consolidated financial statements in the period this was determined.</w:t>
      </w:r>
    </w:p>
    <w:p>
      <w:pPr>
        <w:spacing w:after="0" w:line="8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OUR INTERNATIONAL PRESENCE CREATES SPECIAL RISKS.</w:t>
      </w:r>
    </w:p>
    <w:p>
      <w:pPr>
        <w:spacing w:after="0" w:line="201" w:lineRule="exact"/>
        <w:rPr>
          <w:sz w:val="20"/>
          <w:szCs w:val="20"/>
          <w:color w:val="auto"/>
        </w:rPr>
      </w:pPr>
    </w:p>
    <w:p>
      <w:pPr>
        <w:ind w:right="1879" w:firstLine="527"/>
        <w:spacing w:after="0" w:line="250" w:lineRule="auto"/>
        <w:rPr>
          <w:sz w:val="20"/>
          <w:szCs w:val="20"/>
          <w:color w:val="auto"/>
        </w:rPr>
      </w:pPr>
      <w:r>
        <w:rPr>
          <w:rFonts w:ascii="Courier New" w:cs="Courier New" w:eastAsia="Courier New" w:hAnsi="Courier New"/>
          <w:sz w:val="18"/>
          <w:szCs w:val="18"/>
          <w:color w:val="auto"/>
        </w:rPr>
        <w:t>We are affected by risks associated with conducting business internationally. We maintain development facilities in Israel, the United States, Cyprus, Ireland and Canada, operate a support center in Brazil and have operations in North America, Europe, Latin America and the Asia-Pacific region. Although a majority of our revenue is derived from customers in North America and Europe, we obtain significant revenue from customers in the Asia-Pacific region and Latin America. Our strategy is to continue to broaden our North American and European customer base and to expand into new international markets. Conducting business internationally exposes us to certain risks inherent in doing business in international markets, including:</w:t>
      </w:r>
    </w:p>
    <w:p>
      <w:pPr>
        <w:spacing w:after="0" w:line="104" w:lineRule="exact"/>
        <w:rPr>
          <w:sz w:val="20"/>
          <w:szCs w:val="20"/>
          <w:color w:val="auto"/>
        </w:rPr>
      </w:pPr>
    </w:p>
    <w:p>
      <w:pPr>
        <w:ind w:left="740" w:hanging="205"/>
        <w:spacing w:after="0"/>
        <w:tabs>
          <w:tab w:leader="none" w:pos="7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lack of acceptance of non-localized products,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legal and cultural differences in the conduct of business,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difficulties in staffing and managing foreign operations,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longer payment cycles,</w:t>
      </w:r>
    </w:p>
    <w:p>
      <w:pPr>
        <w:spacing w:after="0" w:line="201" w:lineRule="exact"/>
        <w:rPr>
          <w:rFonts w:ascii="Courier New" w:cs="Courier New" w:eastAsia="Courier New" w:hAnsi="Courier New"/>
          <w:sz w:val="18"/>
          <w:szCs w:val="18"/>
          <w:color w:val="auto"/>
        </w:rPr>
      </w:pPr>
    </w:p>
    <w:p>
      <w:pPr>
        <w:ind w:left="740" w:right="1779" w:hanging="205"/>
        <w:spacing w:after="0" w:line="347" w:lineRule="auto"/>
        <w:tabs>
          <w:tab w:leader="none" w:pos="7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difficulties in collecting accounts receivable and withholding taxes that limit the repatriation of earnings,</w:t>
      </w:r>
    </w:p>
    <w:p>
      <w:pPr>
        <w:spacing w:after="0" w:line="18"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trade barriers,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immigration regulations that limit our ability to deploy our employees,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political instability, and</w:t>
      </w:r>
    </w:p>
    <w:p>
      <w:pPr>
        <w:spacing w:after="0" w:line="201" w:lineRule="exact"/>
        <w:rPr>
          <w:rFonts w:ascii="Courier New" w:cs="Courier New" w:eastAsia="Courier New" w:hAnsi="Courier New"/>
          <w:sz w:val="18"/>
          <w:szCs w:val="18"/>
          <w:color w:val="auto"/>
        </w:rPr>
      </w:pPr>
    </w:p>
    <w:p>
      <w:pPr>
        <w:ind w:left="740" w:right="1779" w:hanging="205"/>
        <w:spacing w:after="0" w:line="347" w:lineRule="auto"/>
        <w:tabs>
          <w:tab w:leader="none" w:pos="7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variations in effective income tax rates among countries where we conduct business.</w:t>
      </w:r>
    </w:p>
    <w:p>
      <w:pPr>
        <w:spacing w:after="0" w:line="18" w:lineRule="exact"/>
        <w:rPr>
          <w:sz w:val="20"/>
          <w:szCs w:val="20"/>
          <w:color w:val="auto"/>
        </w:rPr>
      </w:pPr>
    </w:p>
    <w:p>
      <w:pPr>
        <w:ind w:right="2099" w:firstLine="527"/>
        <w:spacing w:after="0" w:line="292" w:lineRule="auto"/>
        <w:rPr>
          <w:sz w:val="20"/>
          <w:szCs w:val="20"/>
          <w:color w:val="auto"/>
        </w:rPr>
      </w:pPr>
      <w:r>
        <w:rPr>
          <w:rFonts w:ascii="Courier New" w:cs="Courier New" w:eastAsia="Courier New" w:hAnsi="Courier New"/>
          <w:sz w:val="18"/>
          <w:szCs w:val="18"/>
          <w:color w:val="auto"/>
        </w:rPr>
        <w:t>One or more of these factors could have a material adverse effect on our international operations, which could harm our results of operations and financial condition.</w:t>
      </w:r>
    </w:p>
    <w:p>
      <w:pPr>
        <w:spacing w:after="0" w:line="66" w:lineRule="exact"/>
        <w:rPr>
          <w:sz w:val="20"/>
          <w:szCs w:val="20"/>
          <w:color w:val="auto"/>
        </w:rPr>
      </w:pPr>
    </w:p>
    <w:p>
      <w:pPr>
        <w:ind w:left="220" w:right="1879"/>
        <w:spacing w:after="0" w:line="347" w:lineRule="auto"/>
        <w:rPr>
          <w:sz w:val="20"/>
          <w:szCs w:val="20"/>
          <w:color w:val="auto"/>
        </w:rPr>
      </w:pPr>
      <w:r>
        <w:rPr>
          <w:rFonts w:ascii="Courier New" w:cs="Courier New" w:eastAsia="Courier New" w:hAnsi="Courier New"/>
          <w:sz w:val="18"/>
          <w:szCs w:val="18"/>
          <w:color w:val="auto"/>
        </w:rPr>
        <w:t>POLITICAL AND ECONOMIC CONDITIONS IN THE MIDDLE EAST MAY ADVERSELY AFFECT OUR BUSINESS.</w:t>
      </w:r>
    </w:p>
    <w:p>
      <w:pPr>
        <w:spacing w:after="0" w:line="18" w:lineRule="exact"/>
        <w:rPr>
          <w:sz w:val="20"/>
          <w:szCs w:val="20"/>
          <w:color w:val="auto"/>
        </w:rPr>
      </w:pPr>
    </w:p>
    <w:p>
      <w:pPr>
        <w:ind w:right="1779" w:firstLine="527"/>
        <w:spacing w:after="0" w:line="247" w:lineRule="auto"/>
        <w:rPr>
          <w:sz w:val="20"/>
          <w:szCs w:val="20"/>
          <w:color w:val="auto"/>
        </w:rPr>
      </w:pPr>
      <w:r>
        <w:rPr>
          <w:rFonts w:ascii="Courier New" w:cs="Courier New" w:eastAsia="Courier New" w:hAnsi="Courier New"/>
          <w:sz w:val="18"/>
          <w:szCs w:val="18"/>
          <w:color w:val="auto"/>
        </w:rPr>
        <w:t>Of the five development centers we maintain worldwide, our largest development center is located in five different sites throughout Israel. Approximately half of our employees are located in Israel. As a result, we are directly influenced by the political, economic and military conditions affecting Israel and its neighboring region. Any major hostilities involving Israel could have a material adverse effect on our business. We have developed contingency plans to provide ongoing services to our customers in the event political or military conditions disrupt our normal operations. These plans include the transfer of some development operations within Israel to various of our other sites both within and outside of Israel. If we have to implement these plans, our operations would be disrupted and we would incur significant additional expenditures, which would adversely affect our business and results of operations.</w:t>
      </w:r>
    </w:p>
    <w:p>
      <w:pPr>
        <w:spacing w:after="0" w:line="108" w:lineRule="exact"/>
        <w:rPr>
          <w:sz w:val="20"/>
          <w:szCs w:val="20"/>
          <w:color w:val="auto"/>
        </w:rPr>
      </w:pPr>
    </w:p>
    <w:p>
      <w:pPr>
        <w:ind w:right="1779" w:firstLine="527"/>
        <w:spacing w:after="0" w:line="250" w:lineRule="auto"/>
        <w:rPr>
          <w:sz w:val="20"/>
          <w:szCs w:val="20"/>
          <w:color w:val="auto"/>
        </w:rPr>
      </w:pPr>
      <w:r>
        <w:rPr>
          <w:rFonts w:ascii="Courier New" w:cs="Courier New" w:eastAsia="Courier New" w:hAnsi="Courier New"/>
          <w:sz w:val="18"/>
          <w:szCs w:val="18"/>
          <w:color w:val="auto"/>
        </w:rPr>
        <w:t>While Israel has entered into peace agreements with both Egypt and Jordan, Israel has not entered into peace arrangements with any other neighboring countries. Over the past three years there has been a significant deterioration in Israel's relationship with the Palestinian Authority and a related increase in violence. Efforts to resolve the problem have failed to result in an agreeable solution. Continued violence between the Palestinian community and Israel may have a material adverse effect on our business. Further deterioration of relations with the Palestinian Authority might require more military reserve service by some of our employees, which may have a material adverse effect on our business.</w:t>
      </w:r>
    </w:p>
    <w:p>
      <w:pPr>
        <w:spacing w:after="0" w:line="104" w:lineRule="exact"/>
        <w:rPr>
          <w:sz w:val="20"/>
          <w:szCs w:val="20"/>
          <w:color w:val="auto"/>
        </w:rPr>
      </w:pPr>
    </w:p>
    <w:p>
      <w:pPr>
        <w:ind w:right="1779" w:firstLine="527"/>
        <w:spacing w:after="0" w:line="278" w:lineRule="auto"/>
        <w:rPr>
          <w:sz w:val="20"/>
          <w:szCs w:val="20"/>
          <w:color w:val="auto"/>
        </w:rPr>
      </w:pPr>
      <w:r>
        <w:rPr>
          <w:rFonts w:ascii="Courier New" w:cs="Courier New" w:eastAsia="Courier New" w:hAnsi="Courier New"/>
          <w:sz w:val="16"/>
          <w:szCs w:val="16"/>
          <w:color w:val="auto"/>
        </w:rPr>
        <w:t>In addition, our development facility in Cyprus may be adversely affected by political conditions in that country. As a result of intercommunal strife between the Greek and Turkish communities, Turkish troops invaded Cyprus in 1974 and continue to occupy approximately 40% of the island. Efforts to resolve</w:t>
      </w:r>
    </w:p>
    <w:p>
      <w:pPr>
        <w:spacing w:after="0" w:line="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691" w:right="1440" w:bottom="356" w:gutter="0" w:footer="0" w:header="0"/>
        </w:sectPr>
      </w:pPr>
    </w:p>
    <w:bookmarkStart w:id="13" w:name="page14"/>
    <w:bookmarkEnd w:id="13"/>
    <w:p>
      <w:pPr>
        <w:ind w:right="1779"/>
        <w:spacing w:after="0" w:line="253" w:lineRule="auto"/>
        <w:rPr>
          <w:sz w:val="20"/>
          <w:szCs w:val="20"/>
          <w:color w:val="auto"/>
        </w:rPr>
      </w:pPr>
      <w:r>
        <w:rPr>
          <w:rFonts w:ascii="Courier New" w:cs="Courier New" w:eastAsia="Courier New" w:hAnsi="Courier New"/>
          <w:sz w:val="18"/>
          <w:szCs w:val="18"/>
          <w:color w:val="auto"/>
        </w:rPr>
        <w:t>the problem have not yet resulted in an agreement. Cyprus is scheduled to join the European Union ("E.U.") on May 1, 2004. The Greek and Turkish communities recently undertook a series of intensive discussions facilitated by the United Nations ("U.N."), the E.U. and the United States, in an effort to reach an agreement before the entry of Cyprus to the E.U. The Turkish community rejected the resulting U.N.-brokered peace plan. Any major hostilities between Cyprus and Turkey or the failure of the parties to reach a peaceful resolution may have a material adverse effect on our development facility in Cyprus.</w:t>
      </w:r>
    </w:p>
    <w:p>
      <w:pPr>
        <w:spacing w:after="0" w:line="104" w:lineRule="exact"/>
        <w:rPr>
          <w:sz w:val="20"/>
          <w:szCs w:val="20"/>
          <w:color w:val="auto"/>
        </w:rPr>
      </w:pPr>
    </w:p>
    <w:p>
      <w:pPr>
        <w:ind w:left="220" w:right="2199"/>
        <w:spacing w:after="0" w:line="347" w:lineRule="auto"/>
        <w:rPr>
          <w:sz w:val="20"/>
          <w:szCs w:val="20"/>
          <w:color w:val="auto"/>
        </w:rPr>
      </w:pPr>
      <w:r>
        <w:rPr>
          <w:rFonts w:ascii="Courier New" w:cs="Courier New" w:eastAsia="Courier New" w:hAnsi="Courier New"/>
          <w:sz w:val="18"/>
          <w:szCs w:val="18"/>
          <w:color w:val="auto"/>
        </w:rPr>
        <w:t>FLUCTUATIONS IN FOREIGN CURRENCY EXCHANGE RATES COULD ADVERSELY AFFECT OUR BUSINESS.</w:t>
      </w:r>
    </w:p>
    <w:p>
      <w:pPr>
        <w:spacing w:after="0" w:line="18" w:lineRule="exact"/>
        <w:rPr>
          <w:sz w:val="20"/>
          <w:szCs w:val="20"/>
          <w:color w:val="auto"/>
        </w:rPr>
      </w:pPr>
    </w:p>
    <w:p>
      <w:pPr>
        <w:ind w:right="1779" w:firstLine="527"/>
        <w:spacing w:after="0" w:line="283" w:lineRule="auto"/>
        <w:rPr>
          <w:sz w:val="20"/>
          <w:szCs w:val="20"/>
          <w:color w:val="auto"/>
        </w:rPr>
      </w:pPr>
      <w:r>
        <w:rPr>
          <w:rFonts w:ascii="Courier New" w:cs="Courier New" w:eastAsia="Courier New" w:hAnsi="Courier New"/>
          <w:sz w:val="16"/>
          <w:szCs w:val="16"/>
          <w:color w:val="auto"/>
        </w:rPr>
        <w:t>A significant portion of our operating costs is incurred outside the United States. Therefore, fluctuations in exchange rates between the currencies in which such costs are incurred and the dollar may have a material adverse effect on our results of operations and financial condition. The cost of our operations outside of the United States, as expressed in dollars, could be adversely affected by the extent to which any increase in the rate of inflation in a particular country is not offset (or is offset with a time delay) by a devaluation of the local currency in relation to the dollar. As a result of this differential, from time to time we may experience increases in the costs of our operations outside the United States, as expressed in dollars, which could have a material adverse effect on our results of operations and financial condition.</w:t>
      </w:r>
    </w:p>
    <w:p>
      <w:pPr>
        <w:spacing w:after="0" w:line="294" w:lineRule="exact"/>
        <w:rPr>
          <w:sz w:val="20"/>
          <w:szCs w:val="20"/>
          <w:color w:val="auto"/>
        </w:rPr>
      </w:pPr>
    </w:p>
    <w:p>
      <w:pPr>
        <w:ind w:right="1779" w:firstLine="527"/>
        <w:spacing w:after="0" w:line="256" w:lineRule="auto"/>
        <w:rPr>
          <w:sz w:val="20"/>
          <w:szCs w:val="20"/>
          <w:color w:val="auto"/>
        </w:rPr>
      </w:pPr>
      <w:r>
        <w:rPr>
          <w:rFonts w:ascii="Courier New" w:cs="Courier New" w:eastAsia="Courier New" w:hAnsi="Courier New"/>
          <w:sz w:val="18"/>
          <w:szCs w:val="18"/>
          <w:color w:val="auto"/>
        </w:rPr>
        <w:t>In addition, a portion of our revenue (approximately 20% in fiscal 2003) is not incurred in dollars or linked to the dollar, and, therefore, fluctuations in exchange rates between the currencies in which such revenue is incurred and the dollar may have a material effect on our results of operations and financial condition. If more of our customers seek contracts that are denominated in currencies such as the euro and not the dollar, our exposure to fluctuations in currency exchange rates could increase.</w:t>
      </w:r>
    </w:p>
    <w:p>
      <w:pPr>
        <w:spacing w:after="0" w:line="98" w:lineRule="exact"/>
        <w:rPr>
          <w:sz w:val="20"/>
          <w:szCs w:val="20"/>
          <w:color w:val="auto"/>
        </w:rPr>
      </w:pPr>
    </w:p>
    <w:p>
      <w:pPr>
        <w:ind w:right="1779" w:firstLine="527"/>
        <w:spacing w:after="0" w:line="298" w:lineRule="auto"/>
        <w:rPr>
          <w:sz w:val="20"/>
          <w:szCs w:val="20"/>
          <w:color w:val="auto"/>
        </w:rPr>
      </w:pPr>
      <w:r>
        <w:rPr>
          <w:rFonts w:ascii="Courier New" w:cs="Courier New" w:eastAsia="Courier New" w:hAnsi="Courier New"/>
          <w:sz w:val="16"/>
          <w:szCs w:val="16"/>
          <w:color w:val="auto"/>
        </w:rPr>
        <w:t>Generally, the effects of fluctuations in foreign currency exchange rates are mitigated by the fact that the majority of our revenue and operating costs is in dollars or linked to the dollar and we generally hedge our currency exposure on both a short-term and long-term basis with respect to expected revenue and operating costs. However, we cannot assure you that we will be able to effectively limit all of our exposure to currency exchange rate fluctuations.</w:t>
      </w:r>
    </w:p>
    <w:p>
      <w:pPr>
        <w:spacing w:after="0" w:line="68" w:lineRule="exact"/>
        <w:rPr>
          <w:sz w:val="20"/>
          <w:szCs w:val="20"/>
          <w:color w:val="auto"/>
        </w:rPr>
      </w:pPr>
    </w:p>
    <w:p>
      <w:pPr>
        <w:ind w:right="1999" w:firstLine="527"/>
        <w:spacing w:after="0" w:line="292" w:lineRule="auto"/>
        <w:rPr>
          <w:sz w:val="20"/>
          <w:szCs w:val="20"/>
          <w:color w:val="auto"/>
        </w:rPr>
      </w:pPr>
      <w:r>
        <w:rPr>
          <w:rFonts w:ascii="Courier New" w:cs="Courier New" w:eastAsia="Courier New" w:hAnsi="Courier New"/>
          <w:sz w:val="18"/>
          <w:szCs w:val="18"/>
          <w:color w:val="auto"/>
        </w:rPr>
        <w:t>The imposition of exchange or price controls or other restrictions on the conversion of foreign currencies could also have a material adverse effect on our business, results of operations and financial condition.</w:t>
      </w:r>
    </w:p>
    <w:p>
      <w:pPr>
        <w:spacing w:after="0" w:line="6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WE MAY BE UNABLE TO PROTECT OUR PROPRIETARY TECHNOLOGY.</w:t>
      </w:r>
    </w:p>
    <w:p>
      <w:pPr>
        <w:spacing w:after="0" w:line="201" w:lineRule="exact"/>
        <w:rPr>
          <w:sz w:val="20"/>
          <w:szCs w:val="20"/>
          <w:color w:val="auto"/>
        </w:rPr>
      </w:pPr>
    </w:p>
    <w:p>
      <w:pPr>
        <w:ind w:right="1779" w:firstLine="527"/>
        <w:spacing w:after="0" w:line="250" w:lineRule="auto"/>
        <w:rPr>
          <w:sz w:val="20"/>
          <w:szCs w:val="20"/>
          <w:color w:val="auto"/>
        </w:rPr>
      </w:pPr>
      <w:r>
        <w:rPr>
          <w:rFonts w:ascii="Courier New" w:cs="Courier New" w:eastAsia="Courier New" w:hAnsi="Courier New"/>
          <w:sz w:val="18"/>
          <w:szCs w:val="18"/>
          <w:color w:val="auto"/>
        </w:rPr>
        <w:t>Any misappropriation of our technology or the development of competitive technology could seriously harm our business. We regard a substantial portion of our software products and systems as proprietary and rely on a combination of statutory and common law copyright, trademark, trade secret laws, customer licensing agreements, employee and third party non-disclosure agreements and other methods to protect our proprietary rights. We do not include in our software any mechanisms to prevent or inhibit unauthorized use, but we generally enter into confidentiality agreements with our employees, consultants, subcontractors, customers and potential customers and limit access to, and distribution of, our proprietary information.</w:t>
      </w:r>
    </w:p>
    <w:p>
      <w:pPr>
        <w:spacing w:after="0" w:line="104" w:lineRule="exact"/>
        <w:rPr>
          <w:sz w:val="20"/>
          <w:szCs w:val="20"/>
          <w:color w:val="auto"/>
        </w:rPr>
      </w:pPr>
    </w:p>
    <w:p>
      <w:pPr>
        <w:ind w:right="1779" w:firstLine="527"/>
        <w:spacing w:after="0" w:line="289" w:lineRule="auto"/>
        <w:rPr>
          <w:sz w:val="20"/>
          <w:szCs w:val="20"/>
          <w:color w:val="auto"/>
        </w:rPr>
      </w:pPr>
      <w:r>
        <w:rPr>
          <w:rFonts w:ascii="Courier New" w:cs="Courier New" w:eastAsia="Courier New" w:hAnsi="Courier New"/>
          <w:sz w:val="16"/>
          <w:szCs w:val="16"/>
          <w:color w:val="auto"/>
        </w:rPr>
        <w:t>The steps we have taken to protect our proprietary rights may be inadequate. If so, we might not be able to prevent others from using what we regard as our technology to compete with us. Existing trade secret, copyright and trademark laws offer only limited protection. In addition, the laws of some foreign countries do not protect our proprietary technology or allow enforcement of confidentiality covenants to the same extent as the laws of the United States. There is also the risk that other companies could independently develop similar or superior technology without violating our proprietary rights.</w:t>
      </w:r>
    </w:p>
    <w:p>
      <w:pPr>
        <w:spacing w:after="0" w:line="77" w:lineRule="exact"/>
        <w:rPr>
          <w:sz w:val="20"/>
          <w:szCs w:val="20"/>
          <w:color w:val="auto"/>
        </w:rPr>
      </w:pPr>
    </w:p>
    <w:p>
      <w:pPr>
        <w:ind w:right="1999" w:firstLine="527"/>
        <w:spacing w:after="0" w:line="292" w:lineRule="auto"/>
        <w:rPr>
          <w:sz w:val="20"/>
          <w:szCs w:val="20"/>
          <w:color w:val="auto"/>
        </w:rPr>
      </w:pPr>
      <w:r>
        <w:rPr>
          <w:rFonts w:ascii="Courier New" w:cs="Courier New" w:eastAsia="Courier New" w:hAnsi="Courier New"/>
          <w:sz w:val="18"/>
          <w:szCs w:val="18"/>
          <w:color w:val="auto"/>
        </w:rPr>
        <w:t>If we have to resort to legal proceedings to enforce our intellectual property rights, the proceedings could be burdensome, protracted and expensive and could involve a high degree of risk.</w:t>
      </w:r>
    </w:p>
    <w:p>
      <w:pPr>
        <w:spacing w:after="0" w:line="6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691" w:right="1440" w:bottom="1440" w:gutter="0" w:footer="0" w:header="0"/>
        </w:sectPr>
      </w:pPr>
    </w:p>
    <w:bookmarkStart w:id="14" w:name="page15"/>
    <w:bookmarkEnd w:id="14"/>
    <w:p>
      <w:pPr>
        <w:ind w:left="220" w:right="1879"/>
        <w:spacing w:after="0" w:line="347" w:lineRule="auto"/>
        <w:rPr>
          <w:sz w:val="20"/>
          <w:szCs w:val="20"/>
          <w:color w:val="auto"/>
        </w:rPr>
      </w:pPr>
      <w:r>
        <w:rPr>
          <w:rFonts w:ascii="Courier New" w:cs="Courier New" w:eastAsia="Courier New" w:hAnsi="Courier New"/>
          <w:sz w:val="18"/>
          <w:szCs w:val="18"/>
          <w:color w:val="auto"/>
        </w:rPr>
        <w:t>CLAIMS BY OTHERS THAT WE INFRINGE THEIR PROPRIETARY TECHNOLOGY COULD HARM OUR BUSINESS.</w:t>
      </w:r>
    </w:p>
    <w:p>
      <w:pPr>
        <w:spacing w:after="0" w:line="18" w:lineRule="exact"/>
        <w:rPr>
          <w:sz w:val="20"/>
          <w:szCs w:val="20"/>
          <w:color w:val="auto"/>
        </w:rPr>
      </w:pPr>
    </w:p>
    <w:p>
      <w:pPr>
        <w:ind w:right="1779" w:firstLine="527"/>
        <w:spacing w:after="0" w:line="281" w:lineRule="auto"/>
        <w:rPr>
          <w:sz w:val="20"/>
          <w:szCs w:val="20"/>
          <w:color w:val="auto"/>
        </w:rPr>
      </w:pPr>
      <w:r>
        <w:rPr>
          <w:rFonts w:ascii="Courier New" w:cs="Courier New" w:eastAsia="Courier New" w:hAnsi="Courier New"/>
          <w:sz w:val="16"/>
          <w:szCs w:val="16"/>
          <w:color w:val="auto"/>
        </w:rPr>
        <w:t>Although we have not received any complaints from third parties alleging infringement claims, third parties could claim that our current or future products or technology infringe their proprietary rights. We expect that software developers will increasingly be subject to infringement claims as the number of products and competitors providing software and services to the communications industry increases and overlaps occur. Any claim of infringement by a third party could cause us to incur substantial costs defending against the claim, and could distract our management from our business. Furthermore, a party making such a claim, if successful, could secure a judgment that requires us to pay substantial damages. A judgment could also include an injunction or other court order that could prevent us from selling our products or offering our services, or prevent a customer from continuing to use our products. Any of these events could seriously harm our business.</w:t>
      </w:r>
    </w:p>
    <w:p>
      <w:pPr>
        <w:spacing w:after="0" w:line="290" w:lineRule="exact"/>
        <w:rPr>
          <w:sz w:val="20"/>
          <w:szCs w:val="20"/>
          <w:color w:val="auto"/>
        </w:rPr>
      </w:pPr>
    </w:p>
    <w:p>
      <w:pPr>
        <w:ind w:right="1779" w:firstLine="527"/>
        <w:spacing w:after="0" w:line="256" w:lineRule="auto"/>
        <w:rPr>
          <w:sz w:val="20"/>
          <w:szCs w:val="20"/>
          <w:color w:val="auto"/>
        </w:rPr>
      </w:pPr>
      <w:r>
        <w:rPr>
          <w:rFonts w:ascii="Courier New" w:cs="Courier New" w:eastAsia="Courier New" w:hAnsi="Courier New"/>
          <w:sz w:val="18"/>
          <w:szCs w:val="18"/>
          <w:color w:val="auto"/>
        </w:rPr>
        <w:t>If anyone asserts a claim against us relating to proprietary technology or information, while we might seek to license their intellectual property, we might not be able to obtain a license on commercially reasonable terms or on any terms. In addition, any efforts to develop non-infringing technology could be unsuccessful. Our failure to obtain the necessary licenses or other rights or to develop non-infringing technology could prevent us from selling our products and could therefore seriously harm our business.</w:t>
      </w:r>
    </w:p>
    <w:p>
      <w:pPr>
        <w:spacing w:after="0" w:line="9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PRODUCT DEFECTS OR SOFTWARE ERRORS COULD ADVERSELY AFFECT OUR BUSINESS.</w:t>
      </w:r>
    </w:p>
    <w:p>
      <w:pPr>
        <w:spacing w:after="0" w:line="201" w:lineRule="exact"/>
        <w:rPr>
          <w:sz w:val="20"/>
          <w:szCs w:val="20"/>
          <w:color w:val="auto"/>
        </w:rPr>
      </w:pPr>
    </w:p>
    <w:p>
      <w:pPr>
        <w:ind w:right="1779" w:firstLine="527"/>
        <w:spacing w:after="0" w:line="265" w:lineRule="auto"/>
        <w:rPr>
          <w:sz w:val="20"/>
          <w:szCs w:val="20"/>
          <w:color w:val="auto"/>
        </w:rPr>
      </w:pPr>
      <w:r>
        <w:rPr>
          <w:rFonts w:ascii="Courier New" w:cs="Courier New" w:eastAsia="Courier New" w:hAnsi="Courier New"/>
          <w:sz w:val="18"/>
          <w:szCs w:val="18"/>
          <w:color w:val="auto"/>
        </w:rPr>
        <w:t>Design defects or software errors may cause delays in product introductions or damage customer satisfaction and may have a material adverse effect on our business, results of operations and financial condition. Our software products are highly complex and may, from time to time, contain design defects or software errors that may be difficult to detect and correct.</w:t>
      </w:r>
    </w:p>
    <w:p>
      <w:pPr>
        <w:spacing w:after="0" w:line="90" w:lineRule="exact"/>
        <w:rPr>
          <w:sz w:val="20"/>
          <w:szCs w:val="20"/>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Because our products are generally used by our customers to perform critical business functions, design defects, software errors, misuse of our products, incorrect data from external sources or other potential problems within or out of our control may arise from the use of our products, and may result in financial or other damages to our customers, for which we may be held responsible. Although we have license agreements with our customers that contain provisions designed to limit our exposure to potential claims and liabilities arising from customer problems, these provisions may not effectively protect us against such claims in all cases and in all jurisdictions. In addition, as a result of business and other considerations, we may undertake to compensate our customers for damages caused to them arising from the use of our products, even if our liability is limited by a license or other agreement. Claims and liabilities arising from customer problems could also damage our reputation, adversely affecting our business, results of operations and financial condition and the ability to obtain "Errors and Omissions" insurance.</w:t>
      </w:r>
    </w:p>
    <w:p>
      <w:pPr>
        <w:spacing w:after="0" w:line="291" w:lineRule="exact"/>
        <w:rPr>
          <w:sz w:val="20"/>
          <w:szCs w:val="20"/>
          <w:color w:val="auto"/>
        </w:rPr>
      </w:pPr>
    </w:p>
    <w:p>
      <w:pPr>
        <w:ind w:left="120" w:right="2619"/>
        <w:spacing w:after="0" w:line="292" w:lineRule="auto"/>
        <w:rPr>
          <w:sz w:val="20"/>
          <w:szCs w:val="20"/>
          <w:color w:val="auto"/>
        </w:rPr>
      </w:pPr>
      <w:r>
        <w:rPr>
          <w:rFonts w:ascii="Courier New" w:cs="Courier New" w:eastAsia="Courier New" w:hAnsi="Courier New"/>
          <w:sz w:val="18"/>
          <w:szCs w:val="18"/>
          <w:color w:val="auto"/>
        </w:rPr>
        <w:t>SYSTEM DISRUPTIONS AND FAILURES MAY RESULT IN CUSTOMER DISSATISFACTION, CUSTOMER LOSS OR BOTH, WHICH COULD MATERIALLY AND ADVERSELY AFFECT OUR REPUTATION AND BUSINESS.</w:t>
      </w:r>
    </w:p>
    <w:p>
      <w:pPr>
        <w:spacing w:after="0" w:line="66" w:lineRule="exact"/>
        <w:rPr>
          <w:sz w:val="20"/>
          <w:szCs w:val="20"/>
          <w:color w:val="auto"/>
        </w:rPr>
      </w:pPr>
    </w:p>
    <w:p>
      <w:pPr>
        <w:ind w:right="1879" w:firstLine="527"/>
        <w:spacing w:after="0" w:line="256" w:lineRule="auto"/>
        <w:rPr>
          <w:sz w:val="20"/>
          <w:szCs w:val="20"/>
          <w:color w:val="auto"/>
        </w:rPr>
      </w:pPr>
      <w:r>
        <w:rPr>
          <w:rFonts w:ascii="Courier New" w:cs="Courier New" w:eastAsia="Courier New" w:hAnsi="Courier New"/>
          <w:sz w:val="18"/>
          <w:szCs w:val="18"/>
          <w:color w:val="auto"/>
        </w:rPr>
        <w:t>Our Integrated Customer Management systems are an integral part of our customers' business operations. The continued and uninterrupted performance of these systems by our customers is critical to our success. Customers may become dissatisfied by any system failure that interrupts our ability to provide services to them. Sustained or repeated system failures would reduce the attractiveness of our services significantly, and could result in decreased demand for our products and services.</w:t>
      </w:r>
    </w:p>
    <w:p>
      <w:pPr>
        <w:spacing w:after="0" w:line="98" w:lineRule="exact"/>
        <w:rPr>
          <w:sz w:val="20"/>
          <w:szCs w:val="20"/>
          <w:color w:val="auto"/>
        </w:rPr>
      </w:pPr>
    </w:p>
    <w:p>
      <w:pPr>
        <w:ind w:right="1779" w:firstLine="527"/>
        <w:spacing w:after="0" w:line="250" w:lineRule="auto"/>
        <w:rPr>
          <w:sz w:val="20"/>
          <w:szCs w:val="20"/>
          <w:color w:val="auto"/>
        </w:rPr>
      </w:pPr>
      <w:r>
        <w:rPr>
          <w:rFonts w:ascii="Courier New" w:cs="Courier New" w:eastAsia="Courier New" w:hAnsi="Courier New"/>
          <w:sz w:val="18"/>
          <w:szCs w:val="18"/>
          <w:color w:val="auto"/>
        </w:rPr>
        <w:t>Our Managed Services include a combination of services, such as system modernization and consolidation, management and operation of data centers, purchase and management of related hardware assets, billing operations and application support. Our ability to perform Managed Services depends on our ability to protect our computer systems against damage from fire, power loss, water damage, telecommunications failures, earthquake, terrorism attack, vandalism and similar unexpected adverse events. Despite our efforts to implement network security measures, our systems are also vulnerable to computer viruses, break-ins and similar disruptions from unauthorized tampering. We do not carry enough</w:t>
      </w:r>
    </w:p>
    <w:p>
      <w:pPr>
        <w:spacing w:after="0" w:line="1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691" w:right="1440" w:bottom="793" w:gutter="0" w:footer="0" w:header="0"/>
        </w:sectPr>
      </w:pPr>
    </w:p>
    <w:bookmarkStart w:id="15" w:name="page16"/>
    <w:bookmarkEnd w:id="15"/>
    <w:p>
      <w:pPr>
        <w:ind w:right="2099"/>
        <w:spacing w:after="0" w:line="347" w:lineRule="auto"/>
        <w:rPr>
          <w:sz w:val="20"/>
          <w:szCs w:val="20"/>
          <w:color w:val="auto"/>
        </w:rPr>
      </w:pPr>
      <w:r>
        <w:rPr>
          <w:rFonts w:ascii="Courier New" w:cs="Courier New" w:eastAsia="Courier New" w:hAnsi="Courier New"/>
          <w:sz w:val="18"/>
          <w:szCs w:val="18"/>
          <w:color w:val="auto"/>
        </w:rPr>
        <w:t>business interruption insurance to compensate for any significant losses that may occur as a result of any of these events.</w:t>
      </w:r>
    </w:p>
    <w:p>
      <w:pPr>
        <w:spacing w:after="0" w:line="18" w:lineRule="exact"/>
        <w:rPr>
          <w:sz w:val="20"/>
          <w:szCs w:val="20"/>
          <w:color w:val="auto"/>
        </w:rPr>
      </w:pPr>
    </w:p>
    <w:p>
      <w:pPr>
        <w:ind w:right="1779" w:firstLine="527"/>
        <w:spacing w:after="0" w:line="253" w:lineRule="auto"/>
        <w:rPr>
          <w:sz w:val="20"/>
          <w:szCs w:val="20"/>
          <w:color w:val="auto"/>
        </w:rPr>
      </w:pPr>
      <w:r>
        <w:rPr>
          <w:rFonts w:ascii="Courier New" w:cs="Courier New" w:eastAsia="Courier New" w:hAnsi="Courier New"/>
          <w:sz w:val="18"/>
          <w:szCs w:val="18"/>
          <w:color w:val="auto"/>
        </w:rPr>
        <w:t>We have experienced systems outages and service interruptions in the past. We expect to experience additional outages in the future. To date, these outages have not had a material adverse effect on us. However, in the future, a prolonged system-wide outage or frequent outages could cause harm to our reputation and could cause our customers to make claims against us for damages allegedly resulting from an outage or interruption. Any damage or failure that interrupts or delays our operations could result in material harm to our business and expose us to material liabilities.</w:t>
      </w:r>
    </w:p>
    <w:p>
      <w:pPr>
        <w:spacing w:after="0" w:line="104" w:lineRule="exact"/>
        <w:rPr>
          <w:sz w:val="20"/>
          <w:szCs w:val="20"/>
          <w:color w:val="auto"/>
        </w:rPr>
      </w:pPr>
    </w:p>
    <w:p>
      <w:pPr>
        <w:ind w:left="120" w:right="2099"/>
        <w:spacing w:after="0" w:line="347" w:lineRule="auto"/>
        <w:rPr>
          <w:sz w:val="20"/>
          <w:szCs w:val="20"/>
          <w:color w:val="auto"/>
        </w:rPr>
      </w:pPr>
      <w:r>
        <w:rPr>
          <w:rFonts w:ascii="Courier New" w:cs="Courier New" w:eastAsia="Courier New" w:hAnsi="Courier New"/>
          <w:sz w:val="18"/>
          <w:szCs w:val="18"/>
          <w:color w:val="auto"/>
        </w:rPr>
        <w:t>THE TERMINATION OR REDUCTION OF CERTAIN GOVERNMENT PROGRAMS AND TAX BENEFITS COULD ADVERSELY AFFECT OUR OVERALL EFFECTIVE TAX RATE.</w:t>
      </w:r>
    </w:p>
    <w:p>
      <w:pPr>
        <w:spacing w:after="0" w:line="18" w:lineRule="exact"/>
        <w:rPr>
          <w:sz w:val="20"/>
          <w:szCs w:val="20"/>
          <w:color w:val="auto"/>
        </w:rPr>
      </w:pPr>
    </w:p>
    <w:p>
      <w:pPr>
        <w:ind w:right="1779" w:firstLine="527"/>
        <w:spacing w:after="0" w:line="293" w:lineRule="auto"/>
        <w:rPr>
          <w:sz w:val="20"/>
          <w:szCs w:val="20"/>
          <w:color w:val="auto"/>
        </w:rPr>
      </w:pPr>
      <w:r>
        <w:rPr>
          <w:rFonts w:ascii="Courier New" w:cs="Courier New" w:eastAsia="Courier New" w:hAnsi="Courier New"/>
          <w:sz w:val="16"/>
          <w:szCs w:val="16"/>
          <w:color w:val="auto"/>
        </w:rPr>
        <w:t>We have benefited or currently benefit from a variety of government programs and tax benefits, including programs and benefits in Israel, Cyprus and Ireland. Generally, these programs contain conditions that we must meet in order to be eligible to obtain any benefit. If we fail to meet these conditions we could be required to refund tax benefits already received. Additionally, some of these programs and the related tax benefits are available to us for a limited number of years, and these benefits expire from time to time.</w:t>
      </w:r>
    </w:p>
    <w:p>
      <w:pPr>
        <w:spacing w:after="0" w:line="72" w:lineRule="exact"/>
        <w:rPr>
          <w:sz w:val="20"/>
          <w:szCs w:val="20"/>
          <w:color w:val="auto"/>
        </w:rPr>
      </w:pPr>
    </w:p>
    <w:p>
      <w:pPr>
        <w:ind w:right="1879" w:firstLine="527"/>
        <w:spacing w:after="0" w:line="347" w:lineRule="auto"/>
        <w:rPr>
          <w:sz w:val="20"/>
          <w:szCs w:val="20"/>
          <w:color w:val="auto"/>
        </w:rPr>
      </w:pPr>
      <w:r>
        <w:rPr>
          <w:rFonts w:ascii="Courier New" w:cs="Courier New" w:eastAsia="Courier New" w:hAnsi="Courier New"/>
          <w:sz w:val="18"/>
          <w:szCs w:val="18"/>
          <w:color w:val="auto"/>
        </w:rPr>
        <w:t>Any of the following could have a material effect on our overall effective tax rate:</w:t>
      </w:r>
    </w:p>
    <w:p>
      <w:pPr>
        <w:spacing w:after="0" w:line="18" w:lineRule="exact"/>
        <w:rPr>
          <w:sz w:val="20"/>
          <w:szCs w:val="20"/>
          <w:color w:val="auto"/>
        </w:rPr>
      </w:pPr>
    </w:p>
    <w:p>
      <w:pPr>
        <w:ind w:left="740" w:hanging="205"/>
        <w:spacing w:after="0"/>
        <w:tabs>
          <w:tab w:leader="none" w:pos="7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some programs may be discontinued,</w:t>
      </w:r>
    </w:p>
    <w:p>
      <w:pPr>
        <w:spacing w:after="0" w:line="201" w:lineRule="exact"/>
        <w:rPr>
          <w:rFonts w:ascii="Courier New" w:cs="Courier New" w:eastAsia="Courier New" w:hAnsi="Courier New"/>
          <w:sz w:val="18"/>
          <w:szCs w:val="18"/>
          <w:color w:val="auto"/>
        </w:rPr>
      </w:pPr>
    </w:p>
    <w:p>
      <w:pPr>
        <w:ind w:left="740" w:right="1999" w:hanging="205"/>
        <w:spacing w:after="0" w:line="347" w:lineRule="auto"/>
        <w:tabs>
          <w:tab w:leader="none" w:pos="7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may be unable to meet the requirements for continuing to qualify for some programs,</w:t>
      </w:r>
    </w:p>
    <w:p>
      <w:pPr>
        <w:spacing w:after="0" w:line="18" w:lineRule="exact"/>
        <w:rPr>
          <w:rFonts w:ascii="Courier New" w:cs="Courier New" w:eastAsia="Courier New" w:hAnsi="Courier New"/>
          <w:sz w:val="18"/>
          <w:szCs w:val="18"/>
          <w:color w:val="auto"/>
        </w:rPr>
      </w:pPr>
    </w:p>
    <w:p>
      <w:pPr>
        <w:ind w:left="740" w:right="2419" w:hanging="205"/>
        <w:spacing w:after="0" w:line="347" w:lineRule="auto"/>
        <w:tabs>
          <w:tab w:leader="none" w:pos="7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these programs and tax benefits may be unavailable at their current levels,</w:t>
      </w:r>
    </w:p>
    <w:p>
      <w:pPr>
        <w:spacing w:after="0" w:line="18" w:lineRule="exact"/>
        <w:rPr>
          <w:rFonts w:ascii="Courier New" w:cs="Courier New" w:eastAsia="Courier New" w:hAnsi="Courier New"/>
          <w:sz w:val="18"/>
          <w:szCs w:val="18"/>
          <w:color w:val="auto"/>
        </w:rPr>
      </w:pPr>
    </w:p>
    <w:p>
      <w:pPr>
        <w:ind w:left="740" w:right="1879" w:hanging="205"/>
        <w:spacing w:after="0" w:line="292" w:lineRule="auto"/>
        <w:tabs>
          <w:tab w:leader="none" w:pos="7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expiration of a particular benefit, we may not be eligible to participate in a new program or qualify for a new tax benefit that would offset the loss of the expiring tax benefit, or</w:t>
      </w:r>
    </w:p>
    <w:p>
      <w:pPr>
        <w:spacing w:after="0" w:line="66" w:lineRule="exact"/>
        <w:rPr>
          <w:rFonts w:ascii="Courier New" w:cs="Courier New" w:eastAsia="Courier New" w:hAnsi="Courier New"/>
          <w:sz w:val="18"/>
          <w:szCs w:val="18"/>
          <w:color w:val="auto"/>
        </w:rPr>
      </w:pPr>
    </w:p>
    <w:p>
      <w:pPr>
        <w:ind w:left="740" w:right="1779" w:hanging="205"/>
        <w:spacing w:after="0" w:line="347" w:lineRule="auto"/>
        <w:tabs>
          <w:tab w:leader="none" w:pos="7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may be required to refund previously recognized tax benefits if we are found to be in violation of the stipulated conditions.</w:t>
      </w:r>
    </w:p>
    <w:p>
      <w:pPr>
        <w:spacing w:after="0" w:line="18" w:lineRule="exact"/>
        <w:rPr>
          <w:sz w:val="20"/>
          <w:szCs w:val="20"/>
          <w:color w:val="auto"/>
        </w:rPr>
      </w:pPr>
    </w:p>
    <w:p>
      <w:pPr>
        <w:ind w:left="220" w:right="1879"/>
        <w:spacing w:after="0" w:line="292" w:lineRule="auto"/>
        <w:rPr>
          <w:sz w:val="20"/>
          <w:szCs w:val="20"/>
          <w:color w:val="auto"/>
        </w:rPr>
      </w:pPr>
      <w:r>
        <w:rPr>
          <w:rFonts w:ascii="Courier New" w:cs="Courier New" w:eastAsia="Courier New" w:hAnsi="Courier New"/>
          <w:sz w:val="18"/>
          <w:szCs w:val="18"/>
          <w:color w:val="auto"/>
        </w:rPr>
        <w:t>WE ARE CURRENTLY A PARTY TO SECURITIES LITIGATION CLASS ACTION LAWSUITS AND A SECURITIES EXCHANGE COMMISSION INVESTIGATION, WHICH COULD NEGATIVELY AFFECT OUR BUSINESS AND RESULTS OF OPERATIONS.</w:t>
      </w:r>
    </w:p>
    <w:p>
      <w:pPr>
        <w:spacing w:after="0" w:line="66" w:lineRule="exact"/>
        <w:rPr>
          <w:sz w:val="20"/>
          <w:szCs w:val="20"/>
          <w:color w:val="auto"/>
        </w:rPr>
      </w:pPr>
    </w:p>
    <w:p>
      <w:pPr>
        <w:ind w:right="1779" w:firstLine="527"/>
        <w:spacing w:after="0" w:line="245" w:lineRule="auto"/>
        <w:rPr>
          <w:sz w:val="20"/>
          <w:szCs w:val="20"/>
          <w:color w:val="auto"/>
        </w:rPr>
      </w:pPr>
      <w:r>
        <w:rPr>
          <w:rFonts w:ascii="Courier New" w:cs="Courier New" w:eastAsia="Courier New" w:hAnsi="Courier New"/>
          <w:sz w:val="18"/>
          <w:szCs w:val="18"/>
          <w:color w:val="auto"/>
        </w:rPr>
        <w:t>Beginning in June 2002, a number of complaints were filed by holders of the Company's ordinary shares against the Company and certain of its officers and directors in the United States District Court for the Eastern District of Missouri and the Southern District of New York. The cases were transferred to and consolidated in the Eastern District of Missouri. The consolidated amended complaint filed in the action alleged that the Company and the individual defendants had made false or misleading statements about the Company's business and future prospects during a putative class period between July 18, 2000 and June 20, 2002. On December 1, 2003, the court issued an order granting the Company's motion to dismiss the securities class action lawsuits and directing that judgment be entered in favor of the defendants. Under the Federal rules the plaintiffs have a period of 30 days in which to appeal the court's decision. The litigation has been, and, if the plaintiffs pursue an appeal, may continue to be, time-consuming and costly and could divert the attention of our management personnel. These lawsuits or any future lawsuits filed against us could harm our business.</w:t>
      </w:r>
    </w:p>
    <w:p>
      <w:pPr>
        <w:spacing w:after="0" w:line="113" w:lineRule="exact"/>
        <w:rPr>
          <w:sz w:val="20"/>
          <w:szCs w:val="20"/>
          <w:color w:val="auto"/>
        </w:rPr>
      </w:pPr>
    </w:p>
    <w:p>
      <w:pPr>
        <w:ind w:right="1779" w:firstLine="527"/>
        <w:spacing w:after="0" w:line="250" w:lineRule="auto"/>
        <w:rPr>
          <w:sz w:val="20"/>
          <w:szCs w:val="20"/>
          <w:color w:val="auto"/>
        </w:rPr>
      </w:pPr>
      <w:r>
        <w:rPr>
          <w:rFonts w:ascii="Courier New" w:cs="Courier New" w:eastAsia="Courier New" w:hAnsi="Courier New"/>
          <w:sz w:val="18"/>
          <w:szCs w:val="18"/>
          <w:color w:val="auto"/>
        </w:rPr>
        <w:t>In addition, the Company has been informed that the Midwest Regional Office of the United States Securities and Exchange Commission (the "SEC") is conducting a private investigation into the events leading up to the Company's announcement in June 2002 of revised projected revenue for the third and fourth quarters of fiscal 2002. The investigation appears to be focused on, but is not explicitly limited to, the Company's forecasting beginning with its April 23, 2002 press release. Although the Company believes that it will be able to satisfy any concerns the SEC staff may have in this regard, the Company is unable to predict the duration, scope or outcome of the investigation. The Company is cooperating fully with the</w:t>
      </w:r>
    </w:p>
    <w:p>
      <w:pPr>
        <w:spacing w:after="0" w:line="1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691" w:right="1440" w:bottom="591" w:gutter="0" w:footer="0" w:header="0"/>
        </w:sectPr>
      </w:pPr>
    </w:p>
    <w:bookmarkStart w:id="16" w:name="page17"/>
    <w:bookmarkEnd w:id="16"/>
    <w:p>
      <w:pPr>
        <w:ind w:right="1879"/>
        <w:spacing w:after="0" w:line="292" w:lineRule="auto"/>
        <w:rPr>
          <w:sz w:val="20"/>
          <w:szCs w:val="20"/>
          <w:color w:val="auto"/>
        </w:rPr>
      </w:pPr>
      <w:r>
        <w:rPr>
          <w:rFonts w:ascii="Courier New" w:cs="Courier New" w:eastAsia="Courier New" w:hAnsi="Courier New"/>
          <w:sz w:val="18"/>
          <w:szCs w:val="18"/>
          <w:color w:val="auto"/>
        </w:rPr>
        <w:t>SEC staff. At a minimum, this investigation may divert the attention of our management and other resources that would otherwise be engaged in operating our business.</w:t>
      </w:r>
    </w:p>
    <w:p>
      <w:pPr>
        <w:spacing w:after="0" w:line="66" w:lineRule="exact"/>
        <w:rPr>
          <w:sz w:val="20"/>
          <w:szCs w:val="20"/>
          <w:color w:val="auto"/>
        </w:rPr>
      </w:pPr>
    </w:p>
    <w:p>
      <w:pPr>
        <w:ind w:left="220" w:right="2319"/>
        <w:spacing w:after="0" w:line="347" w:lineRule="auto"/>
        <w:rPr>
          <w:sz w:val="20"/>
          <w:szCs w:val="20"/>
          <w:color w:val="auto"/>
        </w:rPr>
      </w:pPr>
      <w:r>
        <w:rPr>
          <w:rFonts w:ascii="Courier New" w:cs="Courier New" w:eastAsia="Courier New" w:hAnsi="Courier New"/>
          <w:sz w:val="18"/>
          <w:szCs w:val="18"/>
          <w:color w:val="auto"/>
        </w:rPr>
        <w:t>THE MARKET PRICE OF OUR ORDINARY SHARES HAS AND MAY CONTINUE TO FLUCTUATE WIDELY.</w:t>
      </w:r>
    </w:p>
    <w:p>
      <w:pPr>
        <w:spacing w:after="0" w:line="18" w:lineRule="exact"/>
        <w:rPr>
          <w:sz w:val="20"/>
          <w:szCs w:val="20"/>
          <w:color w:val="auto"/>
        </w:rPr>
      </w:pPr>
    </w:p>
    <w:p>
      <w:pPr>
        <w:ind w:right="1779" w:firstLine="527"/>
        <w:spacing w:after="0" w:line="253" w:lineRule="auto"/>
        <w:rPr>
          <w:sz w:val="20"/>
          <w:szCs w:val="20"/>
          <w:color w:val="auto"/>
        </w:rPr>
      </w:pPr>
      <w:r>
        <w:rPr>
          <w:rFonts w:ascii="Courier New" w:cs="Courier New" w:eastAsia="Courier New" w:hAnsi="Courier New"/>
          <w:sz w:val="18"/>
          <w:szCs w:val="18"/>
          <w:color w:val="auto"/>
        </w:rPr>
        <w:t>The market price of our ordinary shares has fluctuated widely and may continue to do so. During fiscal year 2003, our ordinary shares traded as high as $27.25 per share and as low as $5.85 per share. Our ordinary shares traded as high as $39.25 per share and as low as $6.10 per share in fiscal 2002 and as high as $80.50 per share and as low as $25.85 per share in fiscal 2001. As of December 1, 2003, the closing price of our ordinary shares was $26.04 per share. Many factors could cause the market price of our ordinary shares to rise and fall, including:</w:t>
      </w:r>
    </w:p>
    <w:p>
      <w:pPr>
        <w:spacing w:after="0" w:line="104" w:lineRule="exact"/>
        <w:rPr>
          <w:sz w:val="20"/>
          <w:szCs w:val="20"/>
          <w:color w:val="auto"/>
        </w:rPr>
      </w:pPr>
    </w:p>
    <w:p>
      <w:pPr>
        <w:ind w:left="740" w:hanging="205"/>
        <w:spacing w:after="0"/>
        <w:tabs>
          <w:tab w:leader="none" w:pos="7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market conditions in the industry and the economy as a whole,</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variations in our quarterly operating results,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announcements of technological innovations by us or our competitors,</w:t>
      </w:r>
    </w:p>
    <w:p>
      <w:pPr>
        <w:spacing w:after="0" w:line="201" w:lineRule="exact"/>
        <w:rPr>
          <w:rFonts w:ascii="Courier New" w:cs="Courier New" w:eastAsia="Courier New" w:hAnsi="Courier New"/>
          <w:sz w:val="18"/>
          <w:szCs w:val="18"/>
          <w:color w:val="auto"/>
        </w:rPr>
      </w:pPr>
    </w:p>
    <w:p>
      <w:pPr>
        <w:ind w:left="740" w:right="2519" w:hanging="205"/>
        <w:spacing w:after="0" w:line="347" w:lineRule="auto"/>
        <w:tabs>
          <w:tab w:leader="none" w:pos="7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introductions of new products or new pricing policies by us or our competitors,</w:t>
      </w:r>
    </w:p>
    <w:p>
      <w:pPr>
        <w:spacing w:after="0" w:line="18"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trends in the communications or software industries,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acquisitions or strategic alliances by us or others in our industry,</w:t>
      </w:r>
    </w:p>
    <w:p>
      <w:pPr>
        <w:spacing w:after="0" w:line="201" w:lineRule="exact"/>
        <w:rPr>
          <w:rFonts w:ascii="Courier New" w:cs="Courier New" w:eastAsia="Courier New" w:hAnsi="Courier New"/>
          <w:sz w:val="18"/>
          <w:szCs w:val="18"/>
          <w:color w:val="auto"/>
        </w:rPr>
      </w:pPr>
    </w:p>
    <w:p>
      <w:pPr>
        <w:ind w:left="740" w:right="1999" w:hanging="205"/>
        <w:spacing w:after="0" w:line="347" w:lineRule="auto"/>
        <w:tabs>
          <w:tab w:leader="none" w:pos="7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estimates of our performance or recommendations by financial analysts, and</w:t>
      </w:r>
    </w:p>
    <w:p>
      <w:pPr>
        <w:spacing w:after="0" w:line="18"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political developments in the Middle East.</w:t>
      </w:r>
    </w:p>
    <w:p>
      <w:pPr>
        <w:spacing w:after="0" w:line="201" w:lineRule="exact"/>
        <w:rPr>
          <w:sz w:val="20"/>
          <w:szCs w:val="20"/>
          <w:color w:val="auto"/>
        </w:rPr>
      </w:pPr>
    </w:p>
    <w:p>
      <w:pPr>
        <w:ind w:right="1779" w:firstLine="527"/>
        <w:spacing w:after="0" w:line="274" w:lineRule="auto"/>
        <w:rPr>
          <w:sz w:val="20"/>
          <w:szCs w:val="20"/>
          <w:color w:val="auto"/>
        </w:rPr>
      </w:pPr>
      <w:r>
        <w:rPr>
          <w:rFonts w:ascii="Courier New" w:cs="Courier New" w:eastAsia="Courier New" w:hAnsi="Courier New"/>
          <w:sz w:val="18"/>
          <w:szCs w:val="18"/>
          <w:color w:val="auto"/>
        </w:rPr>
        <w:t>In addition, the stock market often experiences significant price and volume fluctuations. These fluctuations particularly affect the market prices of the securities of many high technology companies. These broad market fluctuations could adversely affect the market price of our ordinary shares.</w:t>
      </w:r>
    </w:p>
    <w:p>
      <w:pPr>
        <w:spacing w:after="0" w:line="8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INFORMATION ON THE COMPANY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HISTORY, DEVELOPMENT AND ORGANIZATIONAL STRUCTURE OF AMDOCS</w:t>
      </w:r>
    </w:p>
    <w:p>
      <w:pPr>
        <w:spacing w:after="0" w:line="201" w:lineRule="exact"/>
        <w:rPr>
          <w:sz w:val="20"/>
          <w:szCs w:val="20"/>
          <w:color w:val="auto"/>
        </w:rPr>
      </w:pPr>
    </w:p>
    <w:p>
      <w:pPr>
        <w:ind w:right="1779" w:firstLine="527"/>
        <w:spacing w:after="0" w:line="289" w:lineRule="auto"/>
        <w:rPr>
          <w:sz w:val="20"/>
          <w:szCs w:val="20"/>
          <w:color w:val="auto"/>
        </w:rPr>
      </w:pPr>
      <w:r>
        <w:rPr>
          <w:rFonts w:ascii="Courier New" w:cs="Courier New" w:eastAsia="Courier New" w:hAnsi="Courier New"/>
          <w:sz w:val="16"/>
          <w:szCs w:val="16"/>
          <w:color w:val="auto"/>
        </w:rPr>
        <w:t>Amdocs Limited was organized under the laws of the Island of Guernsey in 1988. Since 1995, Amdocs Limited has been a holding company for the various subsidiaries that conduct our business on a worldwide basis. Our global business is providing Integrated Customer Management systems, including software and services, to major communications companies in North America, Europe and the rest of the world. Our registered office is located in Suite 5, Tower Hill House Le Bordage, St. Peter Port, Island of Guernsey, GY1 3QT Channel Islands, and the telephone number at that location is 011-44-1481-728444.</w:t>
      </w:r>
    </w:p>
    <w:p>
      <w:pPr>
        <w:spacing w:after="0" w:line="77" w:lineRule="exact"/>
        <w:rPr>
          <w:sz w:val="20"/>
          <w:szCs w:val="20"/>
          <w:color w:val="auto"/>
        </w:rPr>
      </w:pPr>
    </w:p>
    <w:p>
      <w:pPr>
        <w:ind w:right="1999" w:firstLine="527"/>
        <w:spacing w:after="0" w:line="318" w:lineRule="auto"/>
        <w:rPr>
          <w:sz w:val="20"/>
          <w:szCs w:val="20"/>
          <w:color w:val="auto"/>
        </w:rPr>
      </w:pPr>
      <w:r>
        <w:rPr>
          <w:rFonts w:ascii="Courier New" w:cs="Courier New" w:eastAsia="Courier New" w:hAnsi="Courier New"/>
          <w:sz w:val="16"/>
          <w:szCs w:val="16"/>
          <w:color w:val="auto"/>
        </w:rPr>
        <w:t>In the United States, our main sales and development center is located in St. Louis, Missouri. The executive offices of our principal subsidiary in the United States are located at 1390 Timberlake Manor Parkway, Chesterfield, Missouri 63017, and the telephone number at that location is (314) 212-8328.</w:t>
      </w:r>
    </w:p>
    <w:p>
      <w:pPr>
        <w:spacing w:after="0" w:line="52" w:lineRule="exact"/>
        <w:rPr>
          <w:sz w:val="20"/>
          <w:szCs w:val="20"/>
          <w:color w:val="auto"/>
        </w:rPr>
      </w:pPr>
    </w:p>
    <w:p>
      <w:pPr>
        <w:ind w:right="1999" w:firstLine="527"/>
        <w:spacing w:after="0" w:line="292" w:lineRule="auto"/>
        <w:rPr>
          <w:sz w:val="20"/>
          <w:szCs w:val="20"/>
          <w:color w:val="auto"/>
        </w:rPr>
      </w:pPr>
      <w:r>
        <w:rPr>
          <w:rFonts w:ascii="Courier New" w:cs="Courier New" w:eastAsia="Courier New" w:hAnsi="Courier New"/>
          <w:sz w:val="18"/>
          <w:szCs w:val="18"/>
          <w:color w:val="auto"/>
        </w:rPr>
        <w:t>Our subsidiaries are organized under and subject to the laws of several countries. Our principal operating subsidiaries are located in Canada, Cyprus, Ireland, Israel, the United Kingdom and the United States.</w:t>
      </w:r>
    </w:p>
    <w:p>
      <w:pPr>
        <w:spacing w:after="0" w:line="66" w:lineRule="exact"/>
        <w:rPr>
          <w:sz w:val="20"/>
          <w:szCs w:val="20"/>
          <w:color w:val="auto"/>
        </w:rPr>
      </w:pPr>
    </w:p>
    <w:p>
      <w:pPr>
        <w:ind w:right="1779" w:firstLine="527"/>
        <w:spacing w:after="0" w:line="282" w:lineRule="auto"/>
        <w:rPr>
          <w:sz w:val="20"/>
          <w:szCs w:val="20"/>
          <w:color w:val="auto"/>
        </w:rPr>
      </w:pPr>
      <w:r>
        <w:rPr>
          <w:rFonts w:ascii="Courier New" w:cs="Courier New" w:eastAsia="Courier New" w:hAnsi="Courier New"/>
          <w:sz w:val="16"/>
          <w:szCs w:val="16"/>
          <w:color w:val="auto"/>
        </w:rPr>
        <w:t>We have pursued acquisitions in order to offer new products or services or otherwise enhance our market position or strategic strengths. Our acquisition of ITDS in November 1999 enabled us to expand our service offerings and enhanced our ability to provide Managed Services solutions to our customers. In April 2000, we acquired Solect, which enhanced our ability to serve the growing Internet Protocol ("IP") needs of our customers. The acquisition in November 2001 from Nortel Networks Corporation of substantially all of the assets of its Clarify business, which provided Customer Relationship Management ("CRM") software to communications companies and other enterprise sectors, has positioned us as a leading provider of CRM to the communications industry and, through our addition of Clarify's CRM software to our product offerings, reinforced our leadership in delivering a comprehensive portfolio of</w:t>
      </w:r>
    </w:p>
    <w:p>
      <w:pPr>
        <w:spacing w:after="0" w:line="29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691" w:right="1440" w:bottom="388" w:gutter="0" w:footer="0" w:header="0"/>
        </w:sectPr>
      </w:pPr>
    </w:p>
    <w:bookmarkStart w:id="17" w:name="page18"/>
    <w:bookmarkEnd w:id="17"/>
    <w:p>
      <w:pPr>
        <w:ind w:right="1779"/>
        <w:spacing w:after="0" w:line="265" w:lineRule="auto"/>
        <w:rPr>
          <w:sz w:val="20"/>
          <w:szCs w:val="20"/>
          <w:color w:val="auto"/>
        </w:rPr>
      </w:pPr>
      <w:r>
        <w:rPr>
          <w:rFonts w:ascii="Courier New" w:cs="Courier New" w:eastAsia="Courier New" w:hAnsi="Courier New"/>
          <w:sz w:val="18"/>
          <w:szCs w:val="18"/>
          <w:color w:val="auto"/>
        </w:rPr>
        <w:t>business software applications. In July 2003, we purchased Bell Canada's 90% ownership interest in Certen, which we formed with Bell Canada in January 2001. This acquisition expanded our Managed Services offerings and positioned us as a leading provider of Managed Services to the communications industry. As a result of the acquisition, Certen is now our wholly owned subsidiary.</w:t>
      </w:r>
    </w:p>
    <w:p>
      <w:pPr>
        <w:spacing w:after="0" w:line="90" w:lineRule="exact"/>
        <w:rPr>
          <w:sz w:val="20"/>
          <w:szCs w:val="20"/>
          <w:color w:val="auto"/>
        </w:rPr>
      </w:pPr>
    </w:p>
    <w:p>
      <w:pPr>
        <w:ind w:right="1779" w:firstLine="527"/>
        <w:spacing w:after="0" w:line="292" w:lineRule="auto"/>
        <w:rPr>
          <w:sz w:val="20"/>
          <w:szCs w:val="20"/>
          <w:color w:val="auto"/>
        </w:rPr>
      </w:pPr>
      <w:r>
        <w:rPr>
          <w:rFonts w:ascii="Courier New" w:cs="Courier New" w:eastAsia="Courier New" w:hAnsi="Courier New"/>
          <w:sz w:val="18"/>
          <w:szCs w:val="18"/>
          <w:color w:val="auto"/>
        </w:rPr>
        <w:t>In the future, we may consider, as part of our strategy, additional acquisitions and other initiatives in order to offer new products or services or otherwise enhance our market position or strategic strengths.</w:t>
      </w:r>
    </w:p>
    <w:p>
      <w:pPr>
        <w:spacing w:after="0" w:line="66"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During fiscal 2003 and 2002, we took steps to reduce our costs and achieve increased operational efficiency. In fiscal 2002, we implemented a cost reduction program to reduce costs in response to a decline in our revenue for the third and fourth quarters of fiscal 2002. As part of this cost reduction program, we reduced our workforce by approximately 1,000 software and information technology specialists and administrative professionals and vacated facilities in different centers around the world. In an effort to achieve increased operational efficiency and to more closely monitor and reduce costs, in fiscal 2002 we also consolidated our Stamford, Connecticut data center into our Champaign, Illinois facility, and closed the Stamford facility. In November 2002, we announced a series of additional measures designed to reduce costs and improve productivity. As part of this plan, we reduced our workforce by approximately 400 software and information technology specialists and administrative professionals and vacated facilities in different centers around the world. In addition, we implemented other cost reduction measures, including travel cuts and reductions in other discretionary costs. As a result of these cost reduction programs, our software and information technology workforce consisted of approximately 7,800 employees as of January 31, 2003. Primarily as a result of the Certen acquisition in July 2003 and a Managed Services agreement signed with an affiliate of SBC in January 2003, we increased our software and information technology workforce by approximately 1,200 employees. Our total software and information technology workforce subsequently increased to approximately 9,000 employees as of November 30, 2003.</w:t>
      </w:r>
    </w:p>
    <w:p>
      <w:pPr>
        <w:spacing w:after="0" w:line="200" w:lineRule="exact"/>
        <w:rPr>
          <w:sz w:val="20"/>
          <w:szCs w:val="20"/>
          <w:color w:val="auto"/>
        </w:rPr>
      </w:pPr>
    </w:p>
    <w:p>
      <w:pPr>
        <w:spacing w:after="0" w:line="301" w:lineRule="exact"/>
        <w:rPr>
          <w:sz w:val="20"/>
          <w:szCs w:val="20"/>
          <w:color w:val="auto"/>
        </w:rPr>
      </w:pPr>
    </w:p>
    <w:p>
      <w:pPr>
        <w:ind w:right="1779" w:firstLine="527"/>
        <w:spacing w:after="0" w:line="260" w:lineRule="auto"/>
        <w:rPr>
          <w:sz w:val="20"/>
          <w:szCs w:val="20"/>
          <w:color w:val="auto"/>
        </w:rPr>
      </w:pPr>
      <w:r>
        <w:rPr>
          <w:rFonts w:ascii="Courier New" w:cs="Courier New" w:eastAsia="Courier New" w:hAnsi="Courier New"/>
          <w:sz w:val="18"/>
          <w:szCs w:val="18"/>
          <w:color w:val="auto"/>
        </w:rPr>
        <w:t>Our principal capital expenditures for fiscal 2003, 2002 and 2001 have been for computer equipment, for which we spent approximately $50.5 million, $42.8 million and $62.0 million, respectively. Principal capital expenditures currently in progress consist of approximately $6.5 million for additional computer equipment, with the bulk of these expenditures for computer equipment to be located at our facilities in North America and Israel.</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BUSINESS OVERVIEW</w:t>
      </w:r>
    </w:p>
    <w:p>
      <w:pPr>
        <w:spacing w:after="0" w:line="201" w:lineRule="exact"/>
        <w:rPr>
          <w:sz w:val="20"/>
          <w:szCs w:val="20"/>
          <w:color w:val="auto"/>
        </w:rPr>
      </w:pPr>
    </w:p>
    <w:p>
      <w:pPr>
        <w:ind w:right="1879" w:firstLine="527"/>
        <w:spacing w:after="0" w:line="247" w:lineRule="auto"/>
        <w:rPr>
          <w:sz w:val="20"/>
          <w:szCs w:val="20"/>
          <w:color w:val="auto"/>
        </w:rPr>
      </w:pPr>
      <w:r>
        <w:rPr>
          <w:rFonts w:ascii="Courier New" w:cs="Courier New" w:eastAsia="Courier New" w:hAnsi="Courier New"/>
          <w:sz w:val="18"/>
          <w:szCs w:val="18"/>
          <w:color w:val="auto"/>
        </w:rPr>
        <w:t>Our market focus is primarily the communications industry, and we are a leading provider of software products and services to major communications companies in North America, Europe and the rest of the world. Our products and services provide an integrated approach to customer management, which we refer to as "Integrated Customer Management". Our Integrated Customer Management product offerings consist primarily of billing and customer relationship management systems, which we refer to, collectively, as "Customer Care and Billing Systems", or "CC&amp;B Systems". We refer to customer relationship management products included within CC&amp;B Systems as "CRM" products. Our portfolio also includes a full range of directory sales and publishing systems, which we refer to as "Directory Systems", for publishers of both traditional printed yellow page and white page directories and electronic Internet directories.</w:t>
      </w:r>
    </w:p>
    <w:p>
      <w:pPr>
        <w:spacing w:after="0" w:line="108" w:lineRule="exact"/>
        <w:rPr>
          <w:sz w:val="20"/>
          <w:szCs w:val="20"/>
          <w:color w:val="auto"/>
        </w:rPr>
      </w:pPr>
    </w:p>
    <w:p>
      <w:pPr>
        <w:ind w:right="1779" w:firstLine="527"/>
        <w:spacing w:after="0" w:line="246" w:lineRule="auto"/>
        <w:rPr>
          <w:sz w:val="20"/>
          <w:szCs w:val="20"/>
          <w:color w:val="auto"/>
        </w:rPr>
      </w:pPr>
      <w:r>
        <w:rPr>
          <w:rFonts w:ascii="Courier New" w:cs="Courier New" w:eastAsia="Courier New" w:hAnsi="Courier New"/>
          <w:sz w:val="18"/>
          <w:szCs w:val="18"/>
          <w:color w:val="auto"/>
        </w:rPr>
        <w:t>Our Integrated Customer Management systems are designed to meet the mission-critical needs of leading communications service providers, which include CRM, order management, call rating, invoice calculation and preparation, bill formatting, collections, partner relationship management and directory publishing services. We support a wide range of communications services, including wireline, wireless, voice, data, broadband, content, electronic and mobile commerce and IP based services. We also support companies that offer multiple service packages, commonly referred to as bundled or convergent services. Due to the complexity of our customers' projects and the expertise required for system support, we also provide extensive system implementation, integration, modification, ongoing support, enhancement and maintenance services. In addition, we offer Managed Services, which include a combination of services, such as system modernization and consolidation, management and operation of data centers, purchase and</w:t>
      </w:r>
    </w:p>
    <w:p>
      <w:pPr>
        <w:spacing w:after="0" w:line="11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691" w:right="1440" w:bottom="793" w:gutter="0" w:footer="0" w:header="0"/>
        </w:sectPr>
      </w:pPr>
    </w:p>
    <w:bookmarkStart w:id="18" w:name="page19"/>
    <w:bookmarkEnd w:id="18"/>
    <w:p>
      <w:pPr>
        <w:ind w:right="1779"/>
        <w:spacing w:after="0" w:line="292" w:lineRule="auto"/>
        <w:rPr>
          <w:sz w:val="20"/>
          <w:szCs w:val="20"/>
          <w:color w:val="auto"/>
        </w:rPr>
      </w:pPr>
      <w:r>
        <w:rPr>
          <w:rFonts w:ascii="Courier New" w:cs="Courier New" w:eastAsia="Courier New" w:hAnsi="Courier New"/>
          <w:sz w:val="18"/>
          <w:szCs w:val="18"/>
          <w:color w:val="auto"/>
        </w:rPr>
        <w:t>management of related hardware assets, billing operations and application support, in all cases on either or a combination of a fixed or unit charge basis to our customers.</w:t>
      </w:r>
    </w:p>
    <w:p>
      <w:pPr>
        <w:spacing w:after="0" w:line="66" w:lineRule="exact"/>
        <w:rPr>
          <w:sz w:val="20"/>
          <w:szCs w:val="20"/>
          <w:color w:val="auto"/>
        </w:rPr>
      </w:pPr>
    </w:p>
    <w:p>
      <w:pPr>
        <w:ind w:right="1999" w:firstLine="527"/>
        <w:spacing w:after="0" w:line="250" w:lineRule="auto"/>
        <w:rPr>
          <w:sz w:val="20"/>
          <w:szCs w:val="20"/>
          <w:color w:val="auto"/>
        </w:rPr>
      </w:pPr>
      <w:r>
        <w:rPr>
          <w:rFonts w:ascii="Courier New" w:cs="Courier New" w:eastAsia="Courier New" w:hAnsi="Courier New"/>
          <w:sz w:val="18"/>
          <w:szCs w:val="18"/>
          <w:color w:val="auto"/>
        </w:rPr>
        <w:t>Since the inception of our business in 1982, we have concentrated on providing software products and services to major communications companies. By focusing on this market, we believe that we have been able to develop the innovative products and the industry expertise, project management skills and technological competencies required for the advanced, large-scale, specifications-intensive system projects typical of leading communications providers. Our customer base includes major North American, European and other communications companies, including major wireline companies (such as Bell Canada, SBC, Telefonica and Deutsche Telekom) and wireless companies (such as Nextel, Cingular Wireless, Vodafone Group and T-Mobile).</w:t>
      </w:r>
    </w:p>
    <w:p>
      <w:pPr>
        <w:spacing w:after="0" w:line="1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INDUSTRY BACKGROUND</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Communications Industry</w:t>
      </w:r>
    </w:p>
    <w:p>
      <w:pPr>
        <w:spacing w:after="0" w:line="201" w:lineRule="exact"/>
        <w:rPr>
          <w:sz w:val="20"/>
          <w:szCs w:val="20"/>
          <w:color w:val="auto"/>
        </w:rPr>
      </w:pPr>
    </w:p>
    <w:p>
      <w:pPr>
        <w:ind w:right="1779" w:firstLine="527"/>
        <w:spacing w:after="0" w:line="243" w:lineRule="auto"/>
        <w:rPr>
          <w:sz w:val="20"/>
          <w:szCs w:val="20"/>
          <w:color w:val="auto"/>
        </w:rPr>
      </w:pPr>
      <w:r>
        <w:rPr>
          <w:rFonts w:ascii="Courier New" w:cs="Courier New" w:eastAsia="Courier New" w:hAnsi="Courier New"/>
          <w:sz w:val="18"/>
          <w:szCs w:val="18"/>
          <w:color w:val="auto"/>
        </w:rPr>
        <w:t>For close to 20 years, competition in the global communications industry has increased as a result of deregulation and the development of new service technologies. Competition in the U.S. market began to increase in 1984 when AT&amp;T was required to divest its local telephone operations and many new operators began to enter the long distance market. The Telecommunications Act of 1996 increased competition in the United States even further by allowing new and existing local, long distance and cable companies to offer competing services. Many companies now compete by providing bundled or convergent services, offering combinations of local exchange, long distance, wireless, broadband access, content and electronic and mobile commerce services. Deregulation is also creating opportunities for new ways of doing business, such as wholesaling and reselling communications services. Privatization and deregulation continue to encourage increased competition worldwide. As markets are opened to competition, new competitors within these markets typically compete for market share with more established carriers by offering competitive prices, introducing new features and services and being more responsive to customer needs. In parallel, the communications industry has undergone consolidation as companies seek to broaden their global reach and expand service offerings. In addition, global expansion by multinational companies and concurrent technological advances are opening markets in less developed countries to enhanced communications services and competition.</w:t>
      </w:r>
    </w:p>
    <w:p>
      <w:pPr>
        <w:spacing w:after="0" w:line="121" w:lineRule="exact"/>
        <w:rPr>
          <w:sz w:val="20"/>
          <w:szCs w:val="20"/>
          <w:color w:val="auto"/>
        </w:rPr>
      </w:pPr>
    </w:p>
    <w:p>
      <w:pPr>
        <w:ind w:right="1779" w:firstLine="527"/>
        <w:spacing w:after="0" w:line="250" w:lineRule="auto"/>
        <w:rPr>
          <w:sz w:val="20"/>
          <w:szCs w:val="20"/>
          <w:color w:val="auto"/>
        </w:rPr>
      </w:pPr>
      <w:r>
        <w:rPr>
          <w:rFonts w:ascii="Courier New" w:cs="Courier New" w:eastAsia="Courier New" w:hAnsi="Courier New"/>
          <w:sz w:val="18"/>
          <w:szCs w:val="18"/>
          <w:color w:val="auto"/>
        </w:rPr>
        <w:t>In recent years, there has also been a large increase of new communications technologies, including ATM, IP, xDSL, WiFi, utilization of cable television infrastructure to provide Internet services, GPRS (General Packet Radio Services), UMTS (Universal Mobile Telecommunications System), WAP (Wireless Application Protocol) for wireless Internet, and intelligent networks. Additionally, the directory publishing industry, which is currently dominated by communications companies that are owned by or affiliated with the public telecommunications carriers, is experiencing significant changes due to the introduction of new technologies and distribution platforms, especially Internet directories.</w:t>
      </w:r>
    </w:p>
    <w:p>
      <w:pPr>
        <w:spacing w:after="0" w:line="104" w:lineRule="exact"/>
        <w:rPr>
          <w:sz w:val="20"/>
          <w:szCs w:val="20"/>
          <w:color w:val="auto"/>
        </w:rPr>
      </w:pPr>
    </w:p>
    <w:p>
      <w:pPr>
        <w:ind w:right="1999" w:firstLine="527"/>
        <w:spacing w:after="0" w:line="260" w:lineRule="auto"/>
        <w:rPr>
          <w:sz w:val="20"/>
          <w:szCs w:val="20"/>
          <w:color w:val="auto"/>
        </w:rPr>
      </w:pPr>
      <w:r>
        <w:rPr>
          <w:rFonts w:ascii="Courier New" w:cs="Courier New" w:eastAsia="Courier New" w:hAnsi="Courier New"/>
          <w:sz w:val="18"/>
          <w:szCs w:val="18"/>
          <w:color w:val="auto"/>
        </w:rPr>
        <w:t>Recent market conditions in the communications industry have reduced the high growth that the communications industry had experienced earlier in its history. As a result, the market value, financial results and prospects and capital spending levels of many communications companies have declined or degraded. If these market conditions deteriorate further, we and other vendors to the communications industry could be adversely affected.</w:t>
      </w:r>
    </w:p>
    <w:p>
      <w:pPr>
        <w:spacing w:after="0" w:line="9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Information Systems</w:t>
      </w:r>
    </w:p>
    <w:p>
      <w:pPr>
        <w:spacing w:after="0" w:line="201" w:lineRule="exact"/>
        <w:rPr>
          <w:sz w:val="20"/>
          <w:szCs w:val="20"/>
          <w:color w:val="auto"/>
        </w:rPr>
      </w:pPr>
    </w:p>
    <w:p>
      <w:pPr>
        <w:ind w:right="1779" w:firstLine="527"/>
        <w:spacing w:after="0" w:line="289" w:lineRule="auto"/>
        <w:rPr>
          <w:sz w:val="20"/>
          <w:szCs w:val="20"/>
          <w:color w:val="auto"/>
        </w:rPr>
      </w:pPr>
      <w:r>
        <w:rPr>
          <w:rFonts w:ascii="Courier New" w:cs="Courier New" w:eastAsia="Courier New" w:hAnsi="Courier New"/>
          <w:sz w:val="16"/>
          <w:szCs w:val="16"/>
          <w:color w:val="auto"/>
        </w:rPr>
        <w:t>While the demand for Integrated Customer Management systems has decreased as a result of the downturn in the communications industry, many communications companies, even in the current business environment, are seeking to improve their systems. These communications companies are looking for systems that reduce IT and operational costs, enhance customer management to support customer retention, and support rapid rollout of new marketing packages and advanced data services, as well as the ability to provide customers with single-contact, single-invoice solutions for convergent or bundled services.</w:t>
      </w:r>
    </w:p>
    <w:p>
      <w:pPr>
        <w:spacing w:after="0" w:line="7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691" w:right="1440" w:bottom="1440" w:gutter="0" w:footer="0" w:header="0"/>
        </w:sectPr>
      </w:pPr>
    </w:p>
    <w:bookmarkStart w:id="19" w:name="page20"/>
    <w:bookmarkEnd w:id="19"/>
    <w:p>
      <w:pPr>
        <w:ind w:right="1999" w:firstLine="527"/>
        <w:spacing w:after="0" w:line="256" w:lineRule="auto"/>
        <w:rPr>
          <w:sz w:val="20"/>
          <w:szCs w:val="20"/>
          <w:color w:val="auto"/>
        </w:rPr>
      </w:pPr>
      <w:r>
        <w:rPr>
          <w:rFonts w:ascii="Courier New" w:cs="Courier New" w:eastAsia="Courier New" w:hAnsi="Courier New"/>
          <w:sz w:val="18"/>
          <w:szCs w:val="18"/>
          <w:color w:val="auto"/>
        </w:rPr>
        <w:t>As a result, communications companies require information systems that provide the level of integration, flexibility and scalability they need to improve operational efficiency and to differentiate themselves from their competitors in an increasingly competitive marketplace. To save scarce capital and operating expenditure resources, some carriers are investing in pre-configured open-architecture software products, which require limited customization, rather than highly customized solutions.</w:t>
      </w:r>
    </w:p>
    <w:p>
      <w:pPr>
        <w:spacing w:after="0" w:line="98" w:lineRule="exact"/>
        <w:rPr>
          <w:sz w:val="20"/>
          <w:szCs w:val="20"/>
          <w:color w:val="auto"/>
        </w:rPr>
      </w:pPr>
    </w:p>
    <w:p>
      <w:pPr>
        <w:ind w:right="2099" w:firstLine="527"/>
        <w:spacing w:after="0" w:line="287" w:lineRule="auto"/>
        <w:rPr>
          <w:sz w:val="20"/>
          <w:szCs w:val="20"/>
          <w:color w:val="auto"/>
        </w:rPr>
      </w:pPr>
      <w:r>
        <w:rPr>
          <w:rFonts w:ascii="Courier New" w:cs="Courier New" w:eastAsia="Courier New" w:hAnsi="Courier New"/>
          <w:sz w:val="16"/>
          <w:szCs w:val="16"/>
          <w:color w:val="auto"/>
        </w:rPr>
        <w:t>In order to implement efficient, flexible, cost-effective information systems on a timely basis, many new and existing communications companies are looking to buy CC&amp;B Systems from external vendors, rather than developing new systems with internal resources. Moreover, as many communications companies strive to become more consumer-oriented, they are concentrating their efforts and internal resources on servicing customers and expanding their service offerings, and many are turning to third-party vendors for their information systems. These factors create significant opportunities for vendors of CC&amp;B Systems and providers of Managed Services, such as Amdocs.</w:t>
      </w:r>
    </w:p>
    <w:p>
      <w:pPr>
        <w:spacing w:after="0" w:line="75"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THE AMDOCS SOLUTION</w:t>
      </w:r>
    </w:p>
    <w:p>
      <w:pPr>
        <w:spacing w:after="0" w:line="201" w:lineRule="exact"/>
        <w:rPr>
          <w:sz w:val="20"/>
          <w:szCs w:val="20"/>
          <w:color w:val="auto"/>
        </w:rPr>
      </w:pPr>
    </w:p>
    <w:p>
      <w:pPr>
        <w:ind w:right="2099" w:firstLine="527"/>
        <w:spacing w:after="0" w:line="306" w:lineRule="auto"/>
        <w:rPr>
          <w:sz w:val="20"/>
          <w:szCs w:val="20"/>
          <w:color w:val="auto"/>
        </w:rPr>
      </w:pPr>
      <w:r>
        <w:rPr>
          <w:rFonts w:ascii="Courier New" w:cs="Courier New" w:eastAsia="Courier New" w:hAnsi="Courier New"/>
          <w:sz w:val="16"/>
          <w:szCs w:val="16"/>
          <w:color w:val="auto"/>
        </w:rPr>
        <w:t>We believe that our total solutions orientation, product-driven approach and commitment to and support of quality personnel permit us to offer our customers effective products and services that are both highly innovative and reliable. We believe that our success derives from a combination of the following factors that differentiate us from most of our competitors.</w:t>
      </w:r>
    </w:p>
    <w:p>
      <w:pPr>
        <w:spacing w:after="0" w:line="60" w:lineRule="exact"/>
        <w:rPr>
          <w:sz w:val="20"/>
          <w:szCs w:val="20"/>
          <w:color w:val="auto"/>
        </w:rPr>
      </w:pPr>
    </w:p>
    <w:p>
      <w:pPr>
        <w:ind w:left="740" w:right="1999" w:hanging="205"/>
        <w:spacing w:after="0" w:line="253" w:lineRule="auto"/>
        <w:tabs>
          <w:tab w:leader="none" w:pos="7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Integrated Portfolio of Products. We offer our customers Integrated Customer Management by providing a portfolio of pre-integrated billing and CRM products. This approach is designed to help communications service providers link customer-facing business processes and touch points across back-office and front-office systems. We believe that our Integrated Customer Management portfolio of products helps providers to profitably and effectively manage their customers, while also reducing project risk and cost.</w:t>
      </w:r>
    </w:p>
    <w:p>
      <w:pPr>
        <w:spacing w:after="0" w:line="103" w:lineRule="exact"/>
        <w:rPr>
          <w:rFonts w:ascii="Courier New" w:cs="Courier New" w:eastAsia="Courier New" w:hAnsi="Courier New"/>
          <w:sz w:val="18"/>
          <w:szCs w:val="18"/>
          <w:color w:val="auto"/>
        </w:rPr>
      </w:pPr>
    </w:p>
    <w:p>
      <w:pPr>
        <w:ind w:left="740" w:right="1779" w:hanging="205"/>
        <w:spacing w:after="0" w:line="247" w:lineRule="auto"/>
        <w:tabs>
          <w:tab w:leader="none" w:pos="7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Integrated Products and Services Solution. We offer our customers total solutions that combine products with a broad range of services, including customization, implementation, integration, maintenance, ongoing support and Managed Services. By providing services directly to the customer, we are able to effectively utilize our intricate technical knowledge of our Integrated Customer Management products in the overall execution of a project, helping to ensure delivery and significantly reducing project risk. Our total solutions approach differs from the multi-party approach commonly used in the market, in which products developed by a software vendor are implemented by a third-party system integrator. We believe that our approach enhances our ability to provide our customers with timely, cost-effective, low-risk solutions at a consistent level of quality.</w:t>
      </w:r>
    </w:p>
    <w:p>
      <w:pPr>
        <w:spacing w:after="0" w:line="107" w:lineRule="exact"/>
        <w:rPr>
          <w:rFonts w:ascii="Courier New" w:cs="Courier New" w:eastAsia="Courier New" w:hAnsi="Courier New"/>
          <w:sz w:val="18"/>
          <w:szCs w:val="18"/>
          <w:color w:val="auto"/>
        </w:rPr>
      </w:pPr>
    </w:p>
    <w:p>
      <w:pPr>
        <w:ind w:left="740" w:right="1779" w:hanging="205"/>
        <w:spacing w:after="0" w:line="253" w:lineRule="auto"/>
        <w:tabs>
          <w:tab w:leader="none" w:pos="7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Functional and Flexible Integrated Customer Management Products. Our Integrated Customer Management products are based on an open, multi-tier, client-server, rule and table-based architecture that provides the functionality, scalability, modularity and adaptability required by communications companies in today's highly competitive market. The flexibility of our Integrated Customer Management products enables our customers to achieve significant time-to-market advantages and reduce their dependence on technical and other staff.</w:t>
      </w:r>
    </w:p>
    <w:p>
      <w:pPr>
        <w:spacing w:after="0" w:line="103" w:lineRule="exact"/>
        <w:rPr>
          <w:rFonts w:ascii="Courier New" w:cs="Courier New" w:eastAsia="Courier New" w:hAnsi="Courier New"/>
          <w:sz w:val="18"/>
          <w:szCs w:val="18"/>
          <w:color w:val="auto"/>
        </w:rPr>
      </w:pPr>
    </w:p>
    <w:p>
      <w:pPr>
        <w:ind w:left="740" w:right="1879" w:hanging="205"/>
        <w:spacing w:after="0" w:line="285" w:lineRule="auto"/>
        <w:tabs>
          <w:tab w:leader="none" w:pos="74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Highly Skilled Personnel. We are able to offer our customers superior products and services on a worldwide basis in large part because of our highly qualified and trained technical, sales, marketing and managerial personnel. We invest significantly in the ongoing training of our personnel in key areas such as industry knowledge, software technologies and management capabilities. Primarily based on the skills and knowledge of our employees, we believe that we have developed a reputation for reliably delivering quality solutions within agreed time frames and budgets. We have global recruitment capabilities and have development centers in Israel, the United States, Cyprus, Ireland and Canada.</w:t>
      </w:r>
    </w:p>
    <w:p>
      <w:pPr>
        <w:spacing w:after="0" w:line="7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691" w:right="1440" w:bottom="1440" w:gutter="0" w:footer="0" w:header="0"/>
        </w:sectPr>
      </w:pPr>
    </w:p>
    <w:bookmarkStart w:id="20" w:name="page21"/>
    <w:bookmarkEnd w:id="20"/>
    <w:p>
      <w:pPr>
        <w:ind w:left="220"/>
        <w:spacing w:after="0"/>
        <w:rPr>
          <w:sz w:val="20"/>
          <w:szCs w:val="20"/>
          <w:color w:val="auto"/>
        </w:rPr>
      </w:pPr>
      <w:r>
        <w:rPr>
          <w:rFonts w:ascii="Courier New" w:cs="Courier New" w:eastAsia="Courier New" w:hAnsi="Courier New"/>
          <w:sz w:val="18"/>
          <w:szCs w:val="18"/>
          <w:color w:val="auto"/>
        </w:rPr>
        <w:t>BUSINESS STRATEGY</w:t>
      </w:r>
    </w:p>
    <w:p>
      <w:pPr>
        <w:spacing w:after="0" w:line="201" w:lineRule="exact"/>
        <w:rPr>
          <w:sz w:val="20"/>
          <w:szCs w:val="20"/>
          <w:color w:val="auto"/>
        </w:rPr>
      </w:pPr>
    </w:p>
    <w:p>
      <w:pPr>
        <w:ind w:right="1999" w:firstLine="527"/>
        <w:spacing w:after="0" w:line="274" w:lineRule="auto"/>
        <w:rPr>
          <w:sz w:val="20"/>
          <w:szCs w:val="20"/>
          <w:color w:val="auto"/>
        </w:rPr>
      </w:pPr>
      <w:r>
        <w:rPr>
          <w:rFonts w:ascii="Courier New" w:cs="Courier New" w:eastAsia="Courier New" w:hAnsi="Courier New"/>
          <w:sz w:val="18"/>
          <w:szCs w:val="18"/>
          <w:color w:val="auto"/>
        </w:rPr>
        <w:t>Our goal is to provide advanced information technology software products and related customer service and support to the world's leading communications companies. We seek to accomplish our goal by pursuing the strategies described below.</w:t>
      </w:r>
    </w:p>
    <w:p>
      <w:pPr>
        <w:spacing w:after="0" w:line="82" w:lineRule="exact"/>
        <w:rPr>
          <w:sz w:val="20"/>
          <w:szCs w:val="20"/>
          <w:color w:val="auto"/>
        </w:rPr>
      </w:pPr>
    </w:p>
    <w:p>
      <w:pPr>
        <w:ind w:left="740" w:right="1779" w:hanging="205"/>
        <w:spacing w:after="0" w:line="253" w:lineRule="auto"/>
        <w:tabs>
          <w:tab w:leader="none" w:pos="7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Continued Focus on the Communications Industry. We intend to continue to concentrate our main resources and efforts on providing strategic information systems to the communications industry. This strategy has enabled us to develop the specialized industry know-how and capability necessary to deliver the technologically advanced, large-scale, specifications-intensive information systems solutions required by the leading communications companies in the wireless, wireline and convergent service sectors.</w:t>
      </w:r>
    </w:p>
    <w:p>
      <w:pPr>
        <w:spacing w:after="0" w:line="103" w:lineRule="exact"/>
        <w:rPr>
          <w:rFonts w:ascii="Courier New" w:cs="Courier New" w:eastAsia="Courier New" w:hAnsi="Courier New"/>
          <w:sz w:val="18"/>
          <w:szCs w:val="18"/>
          <w:color w:val="auto"/>
        </w:rPr>
      </w:pPr>
    </w:p>
    <w:p>
      <w:pPr>
        <w:ind w:left="740" w:right="1779" w:hanging="205"/>
        <w:spacing w:after="0" w:line="249" w:lineRule="auto"/>
        <w:tabs>
          <w:tab w:leader="none" w:pos="7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Target Industry Leaders. We intend to continue to direct our marketing efforts principally towards the major communications companies. Our customer base includes major communications companies in North America (including SBC, Verizon and Nextel), Europe (including Deutsche Telekom (Germany), BT (UK), Vodafone Group (UK) and Telefonica (Spain)) and the Asia-Pacific region (Telstra (Australia)). We believe that the development of this premier customer base has helped position us as a market leader, while contributing to the core strength of our business. By targeting industry leaders that require the most sophisticated information systems solutions, we believe that we are best able to ensure that we remain at the forefront of developments in the industry.</w:t>
      </w:r>
    </w:p>
    <w:p>
      <w:pPr>
        <w:spacing w:after="0" w:line="103" w:lineRule="exact"/>
        <w:rPr>
          <w:rFonts w:ascii="Courier New" w:cs="Courier New" w:eastAsia="Courier New" w:hAnsi="Courier New"/>
          <w:sz w:val="18"/>
          <w:szCs w:val="18"/>
          <w:color w:val="auto"/>
        </w:rPr>
      </w:pPr>
    </w:p>
    <w:p>
      <w:pPr>
        <w:ind w:left="740" w:right="1879" w:hanging="205"/>
        <w:spacing w:after="0" w:line="260" w:lineRule="auto"/>
        <w:tabs>
          <w:tab w:leader="none" w:pos="7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Deliver Integrated Products and Services Solutions. Our strategy is to provide customers with total systems solutions consisting of our Integrated Customer Management products and our specialized services. By leveraging our product and industry knowledge, we believe that we can provide more effective system integration and implementation services as well as Managed Services to our customers.</w:t>
      </w:r>
    </w:p>
    <w:p>
      <w:pPr>
        <w:spacing w:after="0" w:line="92" w:lineRule="exact"/>
        <w:rPr>
          <w:rFonts w:ascii="Courier New" w:cs="Courier New" w:eastAsia="Courier New" w:hAnsi="Courier New"/>
          <w:sz w:val="18"/>
          <w:szCs w:val="18"/>
          <w:color w:val="auto"/>
        </w:rPr>
      </w:pPr>
    </w:p>
    <w:p>
      <w:pPr>
        <w:ind w:left="740" w:right="1779" w:hanging="205"/>
        <w:spacing w:after="0" w:line="250" w:lineRule="auto"/>
        <w:tabs>
          <w:tab w:leader="none" w:pos="7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Provide Customers with a Broad, Integrated Suite of Products. We seek to provide our customers with a broad suite of products to meet all their Integrated Customer Management needs. For communications service providers, we seek to provide CC&amp;B Systems across all lines of their business, such as wireline, mobile and data. This approach also means that we can support global communications service providers throughout their various international operations. We believe that our ability to provide a broad suite of products helps establish us as a strategic partner for our customers, and also provides us with multiple avenues for strengthening and expanding our ongoing customer relationships.</w:t>
      </w:r>
    </w:p>
    <w:p>
      <w:pPr>
        <w:spacing w:after="0" w:line="104" w:lineRule="exact"/>
        <w:rPr>
          <w:rFonts w:ascii="Courier New" w:cs="Courier New" w:eastAsia="Courier New" w:hAnsi="Courier New"/>
          <w:sz w:val="18"/>
          <w:szCs w:val="18"/>
          <w:color w:val="auto"/>
        </w:rPr>
      </w:pPr>
    </w:p>
    <w:p>
      <w:pPr>
        <w:ind w:left="740" w:right="1779" w:hanging="205"/>
        <w:spacing w:after="0" w:line="287" w:lineRule="auto"/>
        <w:tabs>
          <w:tab w:leader="none" w:pos="74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Maintain and Develop Long-Term Customer Relationships. We seek to maintain and develop long-term, mutually beneficial relationships with our customers. These relationships generally involve additional product sales, as well as ongoing support, system enhancement and maintenance services. We believe that such relationships are facilitated in many cases by the mission-critical strategic nature of the systems provided by us and by the added value we provide through our specialized skills and knowledge. In addition, our strategy is to solidify our existing customer relationships by means of long-term support and maintenance contracts.</w:t>
      </w:r>
    </w:p>
    <w:p>
      <w:pPr>
        <w:spacing w:after="0" w:line="75"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TECHNOLOGY</w:t>
      </w:r>
    </w:p>
    <w:p>
      <w:pPr>
        <w:spacing w:after="0" w:line="201" w:lineRule="exact"/>
        <w:rPr>
          <w:sz w:val="20"/>
          <w:szCs w:val="20"/>
          <w:color w:val="auto"/>
        </w:rPr>
      </w:pPr>
    </w:p>
    <w:p>
      <w:pPr>
        <w:ind w:right="1879" w:firstLine="527"/>
        <w:spacing w:after="0" w:line="249" w:lineRule="auto"/>
        <w:rPr>
          <w:sz w:val="20"/>
          <w:szCs w:val="20"/>
          <w:color w:val="auto"/>
        </w:rPr>
      </w:pPr>
      <w:r>
        <w:rPr>
          <w:rFonts w:ascii="Courier New" w:cs="Courier New" w:eastAsia="Courier New" w:hAnsi="Courier New"/>
          <w:sz w:val="18"/>
          <w:szCs w:val="18"/>
          <w:color w:val="auto"/>
        </w:rPr>
        <w:t>We have developed core competencies in various advanced technologies that are used in our Integrated Customer Management products. By utilizing technologies such as rule and table-based design, multi-tier architecture, object-oriented techniques, data mining, web-enabling and open application program interfaces, we are able to provide communications companies with the flexibility required in a highly competitive, dynamic environment. For example, the use of rule and table-based technologies allows communications companies to rapidly implement changes to their marketing and customer service activities, such as new services, price plans, discount schemes and bill formats, without the need to modify system code. Similarly, by drawing on web-enabled, Internet technologies, we have been able to improve</w:t>
      </w:r>
    </w:p>
    <w:p>
      <w:pPr>
        <w:spacing w:after="0" w:line="1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691" w:right="1440" w:bottom="1440" w:gutter="0" w:footer="0" w:header="0"/>
        </w:sectPr>
      </w:pPr>
    </w:p>
    <w:bookmarkStart w:id="21" w:name="page22"/>
    <w:bookmarkEnd w:id="21"/>
    <w:p>
      <w:pPr>
        <w:ind w:right="1999"/>
        <w:spacing w:after="0" w:line="265" w:lineRule="auto"/>
        <w:rPr>
          <w:sz w:val="20"/>
          <w:szCs w:val="20"/>
          <w:color w:val="auto"/>
        </w:rPr>
      </w:pPr>
      <w:r>
        <w:rPr>
          <w:rFonts w:ascii="Courier New" w:cs="Courier New" w:eastAsia="Courier New" w:hAnsi="Courier New"/>
          <w:sz w:val="18"/>
          <w:szCs w:val="18"/>
          <w:color w:val="auto"/>
        </w:rPr>
        <w:t>access to information by remote users, both internally within a communications company's organization and between the organization and its subscribers. These technologies are integrated in an open, multi-tier, service-oriented architecture. The architecture of our Integrated Customer Management products includes the key characteristics described below.</w:t>
      </w:r>
    </w:p>
    <w:p>
      <w:pPr>
        <w:spacing w:after="0" w:line="90" w:lineRule="exact"/>
        <w:rPr>
          <w:sz w:val="20"/>
          <w:szCs w:val="20"/>
          <w:color w:val="auto"/>
        </w:rPr>
      </w:pPr>
    </w:p>
    <w:p>
      <w:pPr>
        <w:ind w:left="740" w:right="1779" w:hanging="205"/>
        <w:spacing w:after="0" w:line="260" w:lineRule="auto"/>
        <w:tabs>
          <w:tab w:leader="none" w:pos="7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Scalability. Our Integrated Customer Management products are designed to take full advantage of the proven scalability of the UNIX platform, allowing progressive system expansion, proportional with the customer's growth in business volumes. Using the same software, our Integrated Customer Management products can support operations for small as well as very large service providers.</w:t>
      </w:r>
    </w:p>
    <w:p>
      <w:pPr>
        <w:spacing w:after="0" w:line="92" w:lineRule="exact"/>
        <w:rPr>
          <w:rFonts w:ascii="Courier New" w:cs="Courier New" w:eastAsia="Courier New" w:hAnsi="Courier New"/>
          <w:sz w:val="18"/>
          <w:szCs w:val="18"/>
          <w:color w:val="auto"/>
        </w:rPr>
      </w:pPr>
    </w:p>
    <w:p>
      <w:pPr>
        <w:ind w:left="740" w:right="1779" w:hanging="205"/>
        <w:spacing w:after="0" w:line="250" w:lineRule="auto"/>
        <w:tabs>
          <w:tab w:leader="none" w:pos="7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Modularity. Our Integrated Customer Management products are comprised of sets of functional modules. Each module can be installed on an individual stand-alone basis, interfacing with the customer's existing systems, or as part of an integrated Amdocs system environment. This modularity provides our customers with a highly flexible and cost-effective solution that is able to incrementally expand with the customer's growing needs and capabilities. The modular approach also preserves the customer's initial investment in Integrated Customer Management products, while minimizing future disruptions and the overall cost of system implementation.</w:t>
      </w:r>
    </w:p>
    <w:p>
      <w:pPr>
        <w:spacing w:after="0" w:line="104" w:lineRule="exact"/>
        <w:rPr>
          <w:rFonts w:ascii="Courier New" w:cs="Courier New" w:eastAsia="Courier New" w:hAnsi="Courier New"/>
          <w:sz w:val="18"/>
          <w:szCs w:val="18"/>
          <w:color w:val="auto"/>
        </w:rPr>
      </w:pPr>
    </w:p>
    <w:p>
      <w:pPr>
        <w:ind w:left="740" w:right="1779" w:hanging="205"/>
        <w:spacing w:after="0" w:line="256" w:lineRule="auto"/>
        <w:tabs>
          <w:tab w:leader="none" w:pos="7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Portability. Utilization of the UNIX platform for our Integrated Customer Management products ensures that our customers are able to choose from a variety of hardware vendors, including Hewlett Packard, IBM and Sun Microsystems. Certain applications can also be deployed on the MVS or Windows NT platforms. The Integrated Customer Management products utilize, where applicable, Java-based design and programming to augment cross-platform portability.</w:t>
      </w:r>
    </w:p>
    <w:p>
      <w:pPr>
        <w:spacing w:after="0" w:line="9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PRODUCTS</w:t>
      </w:r>
    </w:p>
    <w:p>
      <w:pPr>
        <w:spacing w:after="0" w:line="201" w:lineRule="exact"/>
        <w:rPr>
          <w:sz w:val="20"/>
          <w:szCs w:val="20"/>
          <w:color w:val="auto"/>
        </w:rPr>
      </w:pPr>
    </w:p>
    <w:p>
      <w:pPr>
        <w:ind w:right="1879" w:firstLine="527"/>
        <w:spacing w:after="0" w:line="298" w:lineRule="auto"/>
        <w:rPr>
          <w:sz w:val="20"/>
          <w:szCs w:val="20"/>
          <w:color w:val="auto"/>
        </w:rPr>
      </w:pPr>
      <w:r>
        <w:rPr>
          <w:rFonts w:ascii="Courier New" w:cs="Courier New" w:eastAsia="Courier New" w:hAnsi="Courier New"/>
          <w:sz w:val="16"/>
          <w:szCs w:val="16"/>
          <w:color w:val="auto"/>
        </w:rPr>
        <w:t>Our product offerings include an extensive library of Integrated Customer Management software products that we have developed to provide comprehensive information systems functionality for communications service providers. Our Integrated Customer Management systems cover the full range of CRM, order management, call rating, invoice calculation and preparation, bill formatting, collections, partner relationship management and directory publishing services.</w:t>
      </w:r>
    </w:p>
    <w:p>
      <w:pPr>
        <w:spacing w:after="0" w:line="68" w:lineRule="exact"/>
        <w:rPr>
          <w:sz w:val="20"/>
          <w:szCs w:val="20"/>
          <w:color w:val="auto"/>
        </w:rPr>
      </w:pPr>
    </w:p>
    <w:p>
      <w:pPr>
        <w:ind w:right="1779" w:firstLine="527"/>
        <w:spacing w:after="0" w:line="260" w:lineRule="auto"/>
        <w:rPr>
          <w:sz w:val="20"/>
          <w:szCs w:val="20"/>
          <w:color w:val="auto"/>
        </w:rPr>
      </w:pPr>
      <w:r>
        <w:rPr>
          <w:rFonts w:ascii="Courier New" w:cs="Courier New" w:eastAsia="Courier New" w:hAnsi="Courier New"/>
          <w:sz w:val="18"/>
          <w:szCs w:val="18"/>
          <w:color w:val="auto"/>
        </w:rPr>
        <w:t>We configure individual Integrated Customer Management modules into families of products, which serve as marketing packages oriented to the needs of specific customer segments. We provide our main CC&amp;B Systems offering in a number of versions to serve the different needs of communications operators in the various network and business segments, such as wireline, wireless, broadband and electronic and mobile commerce. Our main packages include:</w:t>
      </w:r>
    </w:p>
    <w:p>
      <w:pPr>
        <w:spacing w:after="0" w:line="93" w:lineRule="exact"/>
        <w:rPr>
          <w:sz w:val="20"/>
          <w:szCs w:val="20"/>
          <w:color w:val="auto"/>
        </w:rPr>
      </w:pPr>
    </w:p>
    <w:p>
      <w:pPr>
        <w:ind w:left="740" w:right="1779" w:hanging="205"/>
        <w:spacing w:after="0" w:line="347" w:lineRule="auto"/>
        <w:tabs>
          <w:tab w:leader="none" w:pos="7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Amdocs Enabler: offline and online charging products, supporting prepaid and postpaid billing, for voice and next generation services.</w:t>
      </w:r>
    </w:p>
    <w:p>
      <w:pPr>
        <w:spacing w:after="0" w:line="18" w:lineRule="exact"/>
        <w:rPr>
          <w:rFonts w:ascii="Courier New" w:cs="Courier New" w:eastAsia="Courier New" w:hAnsi="Courier New"/>
          <w:sz w:val="18"/>
          <w:szCs w:val="18"/>
          <w:color w:val="auto"/>
        </w:rPr>
      </w:pPr>
    </w:p>
    <w:p>
      <w:pPr>
        <w:ind w:left="740" w:right="2319" w:hanging="205"/>
        <w:spacing w:after="0" w:line="274" w:lineRule="auto"/>
        <w:tabs>
          <w:tab w:leader="none" w:pos="7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Amdocs ClarifyCRM: end-to-end customer management products for all operators, providing support for managing customer relationships, including service and support, sales and ordering, and marketing and analytics.</w:t>
      </w:r>
    </w:p>
    <w:p>
      <w:pPr>
        <w:spacing w:after="0" w:line="82" w:lineRule="exact"/>
        <w:rPr>
          <w:sz w:val="20"/>
          <w:szCs w:val="20"/>
          <w:color w:val="auto"/>
        </w:rPr>
      </w:pPr>
    </w:p>
    <w:p>
      <w:pPr>
        <w:ind w:right="2619" w:firstLine="527"/>
        <w:spacing w:after="0" w:line="292" w:lineRule="auto"/>
        <w:rPr>
          <w:sz w:val="20"/>
          <w:szCs w:val="20"/>
          <w:color w:val="auto"/>
        </w:rPr>
      </w:pPr>
      <w:r>
        <w:rPr>
          <w:rFonts w:ascii="Courier New" w:cs="Courier New" w:eastAsia="Courier New" w:hAnsi="Courier New"/>
          <w:sz w:val="18"/>
          <w:szCs w:val="18"/>
          <w:color w:val="auto"/>
        </w:rPr>
        <w:t>We also offer our new generation, or NG, line of ADS (NG)/Family of Products that provides comprehensive support for directory publishing operations.</w:t>
      </w:r>
    </w:p>
    <w:p>
      <w:pPr>
        <w:spacing w:after="0" w:line="66" w:lineRule="exact"/>
        <w:rPr>
          <w:sz w:val="20"/>
          <w:szCs w:val="20"/>
          <w:color w:val="auto"/>
        </w:rPr>
      </w:pPr>
    </w:p>
    <w:p>
      <w:pPr>
        <w:ind w:right="1879" w:firstLine="527"/>
        <w:spacing w:after="0" w:line="292" w:lineRule="auto"/>
        <w:rPr>
          <w:sz w:val="20"/>
          <w:szCs w:val="20"/>
          <w:color w:val="auto"/>
        </w:rPr>
      </w:pPr>
      <w:r>
        <w:rPr>
          <w:rFonts w:ascii="Courier New" w:cs="Courier New" w:eastAsia="Courier New" w:hAnsi="Courier New"/>
          <w:sz w:val="18"/>
          <w:szCs w:val="18"/>
          <w:color w:val="auto"/>
        </w:rPr>
        <w:t>Each individual module from the product families can be installed as an independent stand-alone application, interfacing with the customer's legacy and third-party systems, or as part of an integrated Amdocs solution.</w:t>
      </w:r>
    </w:p>
    <w:p>
      <w:pPr>
        <w:spacing w:after="0" w:line="6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691" w:right="1440" w:bottom="1440" w:gutter="0" w:footer="0" w:header="0"/>
        </w:sectPr>
      </w:pPr>
    </w:p>
    <w:bookmarkStart w:id="22" w:name="page23"/>
    <w:bookmarkEnd w:id="22"/>
    <w:p>
      <w:pPr>
        <w:ind w:left="540"/>
        <w:spacing w:after="0"/>
        <w:rPr>
          <w:sz w:val="20"/>
          <w:szCs w:val="20"/>
          <w:color w:val="auto"/>
        </w:rPr>
      </w:pPr>
      <w:r>
        <w:rPr>
          <w:rFonts w:ascii="Courier New" w:cs="Courier New" w:eastAsia="Courier New" w:hAnsi="Courier New"/>
          <w:sz w:val="18"/>
          <w:szCs w:val="18"/>
          <w:color w:val="auto"/>
        </w:rPr>
        <w:t>CC&amp;B Systems</w:t>
      </w:r>
    </w:p>
    <w:p>
      <w:pPr>
        <w:spacing w:after="0" w:line="201" w:lineRule="exact"/>
        <w:rPr>
          <w:sz w:val="20"/>
          <w:szCs w:val="20"/>
          <w:color w:val="auto"/>
        </w:rPr>
      </w:pPr>
    </w:p>
    <w:p>
      <w:pPr>
        <w:ind w:right="2099" w:firstLine="527"/>
        <w:spacing w:after="0" w:line="347" w:lineRule="auto"/>
        <w:rPr>
          <w:sz w:val="20"/>
          <w:szCs w:val="20"/>
          <w:color w:val="auto"/>
        </w:rPr>
      </w:pPr>
      <w:r>
        <w:rPr>
          <w:rFonts w:ascii="Courier New" w:cs="Courier New" w:eastAsia="Courier New" w:hAnsi="Courier New"/>
          <w:sz w:val="18"/>
          <w:szCs w:val="18"/>
          <w:color w:val="auto"/>
        </w:rPr>
        <w:t>Our CC&amp;B suite of products consists of modules for each of the following key application areas:</w:t>
      </w:r>
    </w:p>
    <w:p>
      <w:pPr>
        <w:spacing w:after="0" w:line="18" w:lineRule="exact"/>
        <w:rPr>
          <w:sz w:val="20"/>
          <w:szCs w:val="20"/>
          <w:color w:val="auto"/>
        </w:rPr>
      </w:pPr>
    </w:p>
    <w:p>
      <w:pPr>
        <w:ind w:left="740" w:right="1879" w:hanging="205"/>
        <w:spacing w:after="0" w:line="344" w:lineRule="auto"/>
        <w:tabs>
          <w:tab w:leader="none" w:pos="74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Customer Management -- provides customer account information management and service support, including account initiation, on-line assistance in choosing a price plan, installation scheduling and complaint handling.</w:t>
      </w:r>
    </w:p>
    <w:p>
      <w:pPr>
        <w:spacing w:after="0" w:line="30" w:lineRule="exact"/>
        <w:rPr>
          <w:rFonts w:ascii="Courier New" w:cs="Courier New" w:eastAsia="Courier New" w:hAnsi="Courier New"/>
          <w:sz w:val="16"/>
          <w:szCs w:val="16"/>
          <w:color w:val="auto"/>
        </w:rPr>
      </w:pPr>
    </w:p>
    <w:p>
      <w:pPr>
        <w:ind w:left="740" w:right="1879" w:hanging="205"/>
        <w:spacing w:after="0" w:line="274" w:lineRule="auto"/>
        <w:tabs>
          <w:tab w:leader="none" w:pos="7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Acquisition and Formatting -- provides for acquisition and formatting of the event records, which are created by usage of the communications network. The event records contain information such as the origin and destination of a telephone call and its duration.</w:t>
      </w:r>
    </w:p>
    <w:p>
      <w:pPr>
        <w:spacing w:after="0" w:line="81" w:lineRule="exact"/>
        <w:rPr>
          <w:rFonts w:ascii="Courier New" w:cs="Courier New" w:eastAsia="Courier New" w:hAnsi="Courier New"/>
          <w:sz w:val="18"/>
          <w:szCs w:val="18"/>
          <w:color w:val="auto"/>
        </w:rPr>
      </w:pPr>
    </w:p>
    <w:p>
      <w:pPr>
        <w:ind w:left="740" w:right="1999" w:hanging="205"/>
        <w:spacing w:after="0" w:line="265" w:lineRule="auto"/>
        <w:tabs>
          <w:tab w:leader="none" w:pos="7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Rating -- calculates charges for usage of communications services, such as postpaid and prepaid telephone calls, Internet access and data transfer. The rating module calculates the charges for each event based on the service packages and price plans applicable to each individual user.</w:t>
      </w:r>
    </w:p>
    <w:p>
      <w:pPr>
        <w:spacing w:after="0" w:line="89" w:lineRule="exact"/>
        <w:rPr>
          <w:rFonts w:ascii="Courier New" w:cs="Courier New" w:eastAsia="Courier New" w:hAnsi="Courier New"/>
          <w:sz w:val="18"/>
          <w:szCs w:val="18"/>
          <w:color w:val="auto"/>
        </w:rPr>
      </w:pPr>
    </w:p>
    <w:p>
      <w:pPr>
        <w:ind w:left="740" w:right="1779" w:hanging="205"/>
        <w:spacing w:after="0" w:line="292" w:lineRule="auto"/>
        <w:tabs>
          <w:tab w:leader="none" w:pos="7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Billing -- provides comprehensive functionality for bill preparation (totaling of usage and other charges, application of discounts, taxes and credits) and bill production.</w:t>
      </w:r>
    </w:p>
    <w:p>
      <w:pPr>
        <w:spacing w:after="0" w:line="66" w:lineRule="exact"/>
        <w:rPr>
          <w:rFonts w:ascii="Courier New" w:cs="Courier New" w:eastAsia="Courier New" w:hAnsi="Courier New"/>
          <w:sz w:val="18"/>
          <w:szCs w:val="18"/>
          <w:color w:val="auto"/>
        </w:rPr>
      </w:pPr>
    </w:p>
    <w:p>
      <w:pPr>
        <w:ind w:left="740" w:right="1999" w:hanging="205"/>
        <w:spacing w:after="0" w:line="274" w:lineRule="auto"/>
        <w:tabs>
          <w:tab w:leader="none" w:pos="7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Bill Formatter -- enables the flexible definition and modification of bill formats, according to user requests (e.g., to combine charges from multiple services onto a single bill or to permit certain types of charges to be highlighted).</w:t>
      </w:r>
    </w:p>
    <w:p>
      <w:pPr>
        <w:spacing w:after="0" w:line="81" w:lineRule="exact"/>
        <w:rPr>
          <w:rFonts w:ascii="Courier New" w:cs="Courier New" w:eastAsia="Courier New" w:hAnsi="Courier New"/>
          <w:sz w:val="18"/>
          <w:szCs w:val="18"/>
          <w:color w:val="auto"/>
        </w:rPr>
      </w:pPr>
    </w:p>
    <w:p>
      <w:pPr>
        <w:ind w:left="740" w:right="1879" w:hanging="205"/>
        <w:spacing w:after="0" w:line="274" w:lineRule="auto"/>
        <w:tabs>
          <w:tab w:leader="none" w:pos="7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Accounts Receivable and Collections -- provides comprehensive functionality for accounts receivable and collections, including invoice receipt, payment receipt, payment posting, financial reporting and automated handling of customers with outstanding debts.</w:t>
      </w:r>
    </w:p>
    <w:p>
      <w:pPr>
        <w:spacing w:after="0" w:line="81" w:lineRule="exact"/>
        <w:rPr>
          <w:rFonts w:ascii="Courier New" w:cs="Courier New" w:eastAsia="Courier New" w:hAnsi="Courier New"/>
          <w:sz w:val="18"/>
          <w:szCs w:val="18"/>
          <w:color w:val="auto"/>
        </w:rPr>
      </w:pPr>
    </w:p>
    <w:p>
      <w:pPr>
        <w:ind w:left="740" w:right="2419" w:hanging="205"/>
        <w:spacing w:after="0" w:line="347" w:lineRule="auto"/>
        <w:tabs>
          <w:tab w:leader="none" w:pos="7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Resource Management -- manages the carrier's inventory of telephone numbers and SIM cards.</w:t>
      </w:r>
    </w:p>
    <w:p>
      <w:pPr>
        <w:spacing w:after="0" w:line="18" w:lineRule="exact"/>
        <w:rPr>
          <w:rFonts w:ascii="Courier New" w:cs="Courier New" w:eastAsia="Courier New" w:hAnsi="Courier New"/>
          <w:sz w:val="18"/>
          <w:szCs w:val="18"/>
          <w:color w:val="auto"/>
        </w:rPr>
      </w:pPr>
    </w:p>
    <w:p>
      <w:pPr>
        <w:ind w:left="740" w:right="1879" w:hanging="205"/>
        <w:spacing w:after="0" w:line="274" w:lineRule="auto"/>
        <w:tabs>
          <w:tab w:leader="none" w:pos="7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Wireless and IP Provisioning -- manages the interface between the carrier's customer care and billing system and the network, transferring instructions regarding the provision or discontinuation of wireless and IP services to specified users.</w:t>
      </w:r>
    </w:p>
    <w:p>
      <w:pPr>
        <w:spacing w:after="0" w:line="81" w:lineRule="exact"/>
        <w:rPr>
          <w:rFonts w:ascii="Courier New" w:cs="Courier New" w:eastAsia="Courier New" w:hAnsi="Courier New"/>
          <w:sz w:val="18"/>
          <w:szCs w:val="18"/>
          <w:color w:val="auto"/>
        </w:rPr>
      </w:pPr>
    </w:p>
    <w:p>
      <w:pPr>
        <w:ind w:left="740" w:right="1779" w:hanging="205"/>
        <w:spacing w:after="0" w:line="318" w:lineRule="auto"/>
        <w:tabs>
          <w:tab w:leader="none" w:pos="74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Partner Relationship Management -- calculates, manages and reconciles payments for intercarrier network access, including settlement of roaming charges between cellular carriers, as well as management of agreements and settlements between carriers and their business partners.</w:t>
      </w:r>
    </w:p>
    <w:p>
      <w:pPr>
        <w:spacing w:after="0" w:line="52" w:lineRule="exact"/>
        <w:rPr>
          <w:rFonts w:ascii="Courier New" w:cs="Courier New" w:eastAsia="Courier New" w:hAnsi="Courier New"/>
          <w:sz w:val="16"/>
          <w:szCs w:val="16"/>
          <w:color w:val="auto"/>
        </w:rPr>
      </w:pPr>
    </w:p>
    <w:p>
      <w:pPr>
        <w:ind w:left="740" w:right="2199" w:hanging="205"/>
        <w:spacing w:after="0" w:line="292" w:lineRule="auto"/>
        <w:tabs>
          <w:tab w:leader="none" w:pos="7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Commerce Payments -- manages real-time payment and exchange of information between buyer and seller for next generation commerce and content transactions.</w:t>
      </w:r>
    </w:p>
    <w:p>
      <w:pPr>
        <w:spacing w:after="0" w:line="66" w:lineRule="exact"/>
        <w:rPr>
          <w:sz w:val="20"/>
          <w:szCs w:val="20"/>
          <w:color w:val="auto"/>
        </w:rPr>
      </w:pPr>
    </w:p>
    <w:p>
      <w:pPr>
        <w:ind w:right="2519" w:firstLine="527"/>
        <w:spacing w:after="0" w:line="347" w:lineRule="auto"/>
        <w:rPr>
          <w:sz w:val="20"/>
          <w:szCs w:val="20"/>
          <w:color w:val="auto"/>
        </w:rPr>
      </w:pPr>
      <w:r>
        <w:rPr>
          <w:rFonts w:ascii="Courier New" w:cs="Courier New" w:eastAsia="Courier New" w:hAnsi="Courier New"/>
          <w:sz w:val="18"/>
          <w:szCs w:val="18"/>
          <w:color w:val="auto"/>
        </w:rPr>
        <w:t>Our ClarifyCRM suite of products consists of modules for each of the following three main categories:</w:t>
      </w:r>
    </w:p>
    <w:p>
      <w:pPr>
        <w:spacing w:after="0" w:line="18" w:lineRule="exact"/>
        <w:rPr>
          <w:sz w:val="20"/>
          <w:szCs w:val="20"/>
          <w:color w:val="auto"/>
        </w:rPr>
      </w:pPr>
    </w:p>
    <w:p>
      <w:pPr>
        <w:ind w:left="740" w:right="1779" w:hanging="205"/>
        <w:spacing w:after="0" w:line="289" w:lineRule="auto"/>
        <w:tabs>
          <w:tab w:leader="none" w:pos="74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Sales and Ordering Solutions -- offer comprehensive sales automation and order management products supporting the broad needs of sales professionals in sales situations. We provide a range of integrated sales automation tools enabling local and remote sales professionals to manage sales opportunities, develop quotes, forecast revenue and communicate with other sales team members. Amdocs Order Management applications help companies manage and track the ordering process from order capture and negotiation, through to provisioning and service delivery.</w:t>
      </w:r>
    </w:p>
    <w:p>
      <w:pPr>
        <w:spacing w:after="0" w:line="77" w:lineRule="exact"/>
        <w:rPr>
          <w:rFonts w:ascii="Courier New" w:cs="Courier New" w:eastAsia="Courier New" w:hAnsi="Courier New"/>
          <w:sz w:val="16"/>
          <w:szCs w:val="16"/>
          <w:color w:val="auto"/>
        </w:rPr>
      </w:pPr>
    </w:p>
    <w:p>
      <w:pPr>
        <w:ind w:left="740" w:right="1879" w:hanging="205"/>
        <w:spacing w:after="0" w:line="287" w:lineRule="auto"/>
        <w:tabs>
          <w:tab w:leader="none" w:pos="74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Service and Support Solutions -- enable companies to maximize efficiencies in customer service organizations. Our offering includes support centers, contact centers and self-service solutions. These applications provide a unified desktop framework that allows agents to support customer care activities, including marketing, ordering, billing and servicing. They enhance customer service and communications to help improve customer satisfaction and retention. Amdocs Service and Support solutions provide companies a complete view of the customer by integrating incoming and outgoing customer contacts from all channels.</w:t>
      </w:r>
    </w:p>
    <w:p>
      <w:pPr>
        <w:spacing w:after="0" w:line="75" w:lineRule="exact"/>
        <w:rPr>
          <w:rFonts w:ascii="Courier New" w:cs="Courier New" w:eastAsia="Courier New" w:hAnsi="Courier New"/>
          <w:sz w:val="16"/>
          <w:szCs w:val="16"/>
          <w:color w:val="auto"/>
        </w:rPr>
      </w:pPr>
    </w:p>
    <w:p>
      <w:pPr>
        <w:ind w:left="740" w:right="2419" w:hanging="205"/>
        <w:spacing w:after="0" w:line="292" w:lineRule="auto"/>
        <w:tabs>
          <w:tab w:leader="none" w:pos="7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Marketing and Analytics Solutions -- provide an integrated suite of marketing and analytic applications focused on optimizing the key customer metrics that affect a business, including</w:t>
      </w:r>
    </w:p>
    <w:p>
      <w:pPr>
        <w:spacing w:after="0" w:line="6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690" w:right="1440" w:bottom="0" w:gutter="0" w:footer="0" w:header="0"/>
        </w:sectPr>
      </w:pPr>
    </w:p>
    <w:bookmarkStart w:id="23" w:name="page24"/>
    <w:bookmarkEnd w:id="23"/>
    <w:p>
      <w:pPr>
        <w:ind w:left="740" w:right="1779"/>
        <w:spacing w:after="0" w:line="293" w:lineRule="auto"/>
        <w:rPr>
          <w:sz w:val="20"/>
          <w:szCs w:val="20"/>
          <w:color w:val="auto"/>
        </w:rPr>
      </w:pPr>
      <w:r>
        <w:rPr>
          <w:rFonts w:ascii="Courier New" w:cs="Courier New" w:eastAsia="Courier New" w:hAnsi="Courier New"/>
          <w:sz w:val="16"/>
          <w:szCs w:val="16"/>
          <w:color w:val="auto"/>
        </w:rPr>
        <w:t>customer acquisition, retention, penetration and lifetime value. Our products help companies identify customer behavioral trends and allow our customers to take proactive measures in order to improve retention rates of their high-value customers and focus offers on their best prospective or existing customers either in real-time or using traditional outbound campaigns. Using our products, communications providers can track the effectiveness their strategies and refine them as necessary.</w:t>
      </w:r>
    </w:p>
    <w:p>
      <w:pPr>
        <w:spacing w:after="0" w:line="7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Directory Publishing</w:t>
      </w:r>
    </w:p>
    <w:p>
      <w:pPr>
        <w:spacing w:after="0" w:line="201" w:lineRule="exact"/>
        <w:rPr>
          <w:sz w:val="20"/>
          <w:szCs w:val="20"/>
          <w:color w:val="auto"/>
        </w:rPr>
      </w:pPr>
    </w:p>
    <w:p>
      <w:pPr>
        <w:ind w:right="1779" w:firstLine="527"/>
        <w:spacing w:after="0" w:line="252" w:lineRule="auto"/>
        <w:rPr>
          <w:sz w:val="20"/>
          <w:szCs w:val="20"/>
          <w:color w:val="auto"/>
        </w:rPr>
      </w:pPr>
      <w:r>
        <w:rPr>
          <w:rFonts w:ascii="Courier New" w:cs="Courier New" w:eastAsia="Courier New" w:hAnsi="Courier New"/>
          <w:sz w:val="18"/>
          <w:szCs w:val="18"/>
          <w:color w:val="auto"/>
        </w:rPr>
        <w:t>Our main Directory Systems product offering is the ADS(NG)/Family of Products. These products provide comprehensive support for yellow page and white page directory sales and publishing operations, as well as for Internet directories and catalogs, including fully integrated electronic commerce capabilities. These systems support large directory publishing operations that employ a local sales force numbering thousands of representatives, serve customer bases of hundreds of thousands of businesses and publish hundreds of different directories each year. The directory line of products comprises a series of modules, including:</w:t>
      </w:r>
    </w:p>
    <w:p>
      <w:pPr>
        <w:spacing w:after="0" w:line="99" w:lineRule="exact"/>
        <w:rPr>
          <w:sz w:val="20"/>
          <w:szCs w:val="20"/>
          <w:color w:val="auto"/>
        </w:rPr>
      </w:pPr>
    </w:p>
    <w:p>
      <w:pPr>
        <w:ind w:left="740" w:right="1779" w:hanging="205"/>
        <w:spacing w:after="0" w:line="252" w:lineRule="auto"/>
        <w:tabs>
          <w:tab w:leader="none" w:pos="7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Sales -- addresses all aspects of managing sales to advertisers, including preparation and management of the overall sales campaign, which encompasses selecting the advertisers to be targeted, allocating the advertisers to various sales channels (such as field sales or telemarketing sales), assigning the advertisers to sales representatives, tracking advertising sales results and calculating sales commissions. These modules also provide automated support for the advertising sales representative, including laptop-based applications for use by members of the sales force in the field.</w:t>
      </w:r>
    </w:p>
    <w:p>
      <w:pPr>
        <w:spacing w:after="0" w:line="98" w:lineRule="exact"/>
        <w:rPr>
          <w:rFonts w:ascii="Courier New" w:cs="Courier New" w:eastAsia="Courier New" w:hAnsi="Courier New"/>
          <w:sz w:val="18"/>
          <w:szCs w:val="18"/>
          <w:color w:val="auto"/>
        </w:rPr>
      </w:pPr>
    </w:p>
    <w:p>
      <w:pPr>
        <w:ind w:left="740" w:right="1779" w:hanging="205"/>
        <w:spacing w:after="0" w:line="298" w:lineRule="auto"/>
        <w:tabs>
          <w:tab w:leader="none" w:pos="74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Publishing -- supports the process of entering, proofing and extracting the telephone listing and advertising information that is to be published in the customer's yellow page or white page directory or electronic Internet directory. These modules encompass contract processing, service order processing, listing information management and directory extract in preparation for the actual production of the directory.</w:t>
      </w:r>
    </w:p>
    <w:p>
      <w:pPr>
        <w:spacing w:after="0" w:line="67" w:lineRule="exact"/>
        <w:rPr>
          <w:rFonts w:ascii="Courier New" w:cs="Courier New" w:eastAsia="Courier New" w:hAnsi="Courier New"/>
          <w:sz w:val="16"/>
          <w:szCs w:val="16"/>
          <w:color w:val="auto"/>
        </w:rPr>
      </w:pPr>
    </w:p>
    <w:p>
      <w:pPr>
        <w:ind w:left="740" w:right="1779" w:hanging="205"/>
        <w:spacing w:after="0" w:line="252" w:lineRule="auto"/>
        <w:tabs>
          <w:tab w:leader="none" w:pos="7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Marketing and Information Analysis -- includes corporate data warehousing techniques, online analytical processing and data mining capabilities, oriented to the specific marketing needs of the directory publisher. For example, these modules can be used to identify changed patterns of advertisement buying behavior in certain groups of customers, or to perform "what if" analyses on marketing policy parameters. These modules are also used by management to analyze the directory market and customer behavior, assisting in the planning of corporate strategy and marketing tactics.</w:t>
      </w:r>
    </w:p>
    <w:p>
      <w:pPr>
        <w:spacing w:after="0" w:line="98" w:lineRule="exact"/>
        <w:rPr>
          <w:rFonts w:ascii="Courier New" w:cs="Courier New" w:eastAsia="Courier New" w:hAnsi="Courier New"/>
          <w:sz w:val="18"/>
          <w:szCs w:val="18"/>
          <w:color w:val="auto"/>
        </w:rPr>
      </w:pPr>
    </w:p>
    <w:p>
      <w:pPr>
        <w:ind w:left="740" w:right="1779" w:hanging="205"/>
        <w:spacing w:after="0" w:line="265" w:lineRule="auto"/>
        <w:tabs>
          <w:tab w:leader="none" w:pos="7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Prepress -- manages the production of advertisements that are to be published in a directory and also supports the fully automated pagination of yellow page and white page directories, including the generation of the final typesetting file so that printed copies of the documents can be produced.</w:t>
      </w:r>
    </w:p>
    <w:p>
      <w:pPr>
        <w:spacing w:after="0" w:line="89" w:lineRule="exact"/>
        <w:rPr>
          <w:rFonts w:ascii="Courier New" w:cs="Courier New" w:eastAsia="Courier New" w:hAnsi="Courier New"/>
          <w:sz w:val="18"/>
          <w:szCs w:val="18"/>
          <w:color w:val="auto"/>
        </w:rPr>
      </w:pPr>
    </w:p>
    <w:p>
      <w:pPr>
        <w:ind w:left="740" w:right="1879" w:hanging="205"/>
        <w:spacing w:after="0" w:line="292" w:lineRule="auto"/>
        <w:tabs>
          <w:tab w:leader="none" w:pos="7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Customer Service -- permits online support for handling customer inquiries and resolving customer complaints, including online correction of advertising data and billing adjustments.</w:t>
      </w:r>
    </w:p>
    <w:p>
      <w:pPr>
        <w:spacing w:after="0" w:line="66" w:lineRule="exact"/>
        <w:rPr>
          <w:rFonts w:ascii="Courier New" w:cs="Courier New" w:eastAsia="Courier New" w:hAnsi="Courier New"/>
          <w:sz w:val="18"/>
          <w:szCs w:val="18"/>
          <w:color w:val="auto"/>
        </w:rPr>
      </w:pPr>
    </w:p>
    <w:p>
      <w:pPr>
        <w:ind w:left="740" w:right="2419" w:hanging="205"/>
        <w:spacing w:after="0" w:line="402" w:lineRule="auto"/>
        <w:tabs>
          <w:tab w:leader="none" w:pos="74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Management -- specifically designed for the directory publisher's billing, accounts receivable and collections functions.</w:t>
      </w:r>
    </w:p>
    <w:p>
      <w:pPr>
        <w:spacing w:after="0" w:line="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SERVICES</w:t>
      </w:r>
    </w:p>
    <w:p>
      <w:pPr>
        <w:spacing w:after="0" w:line="201" w:lineRule="exact"/>
        <w:rPr>
          <w:sz w:val="20"/>
          <w:szCs w:val="20"/>
          <w:color w:val="auto"/>
        </w:rPr>
      </w:pPr>
    </w:p>
    <w:p>
      <w:pPr>
        <w:ind w:right="2099" w:firstLine="527"/>
        <w:spacing w:after="0" w:line="293" w:lineRule="auto"/>
        <w:rPr>
          <w:sz w:val="20"/>
          <w:szCs w:val="20"/>
          <w:color w:val="auto"/>
        </w:rPr>
      </w:pPr>
      <w:r>
        <w:rPr>
          <w:rFonts w:ascii="Courier New" w:cs="Courier New" w:eastAsia="Courier New" w:hAnsi="Courier New"/>
          <w:sz w:val="16"/>
          <w:szCs w:val="16"/>
          <w:color w:val="auto"/>
        </w:rPr>
        <w:t>We believe that the methodology we employ to deliver Integrated Customer Management products is one of the key factors that enables us to achieve the time-frame, budget and quality objectives of our customers' projects. Our methodology emphasizes rigorous project management, customization, solutions implementation and integration planning, as well as active customer participation at all stages to help prioritize and implement time-critical information system solutions that address the customer's individual needs.</w:t>
      </w:r>
    </w:p>
    <w:p>
      <w:pPr>
        <w:spacing w:after="0" w:line="7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691" w:right="1440" w:bottom="1440" w:gutter="0" w:footer="0" w:header="0"/>
        </w:sectPr>
      </w:pPr>
    </w:p>
    <w:bookmarkStart w:id="24" w:name="page25"/>
    <w:bookmarkEnd w:id="24"/>
    <w:p>
      <w:pPr>
        <w:ind w:right="1999" w:firstLine="527"/>
        <w:spacing w:after="0" w:line="253" w:lineRule="auto"/>
        <w:rPr>
          <w:sz w:val="20"/>
          <w:szCs w:val="20"/>
          <w:color w:val="auto"/>
        </w:rPr>
      </w:pPr>
      <w:r>
        <w:rPr>
          <w:rFonts w:ascii="Courier New" w:cs="Courier New" w:eastAsia="Courier New" w:hAnsi="Courier New"/>
          <w:sz w:val="18"/>
          <w:szCs w:val="18"/>
          <w:color w:val="auto"/>
        </w:rPr>
        <w:t>The extent of services provided varies from customer to customer. Some communications service providers prefer a highly customized approach, with extensive modifications to the Integrated Customer Management products and a significant level of ongoing support. In recent years, more of our customers have chosen to implement standard, pre-configured products with limited customization and less ongoing support. We have invested considerable research and development efforts in upgrading our applications suite to address this market requirement.</w:t>
      </w:r>
    </w:p>
    <w:p>
      <w:pPr>
        <w:spacing w:after="0" w:line="104" w:lineRule="exact"/>
        <w:rPr>
          <w:sz w:val="20"/>
          <w:szCs w:val="20"/>
          <w:color w:val="auto"/>
        </w:rPr>
      </w:pPr>
    </w:p>
    <w:p>
      <w:pPr>
        <w:ind w:right="1879" w:firstLine="527"/>
        <w:spacing w:after="0" w:line="282" w:lineRule="auto"/>
        <w:rPr>
          <w:sz w:val="20"/>
          <w:szCs w:val="20"/>
          <w:color w:val="auto"/>
        </w:rPr>
      </w:pPr>
      <w:r>
        <w:rPr>
          <w:rFonts w:ascii="Courier New" w:cs="Courier New" w:eastAsia="Courier New" w:hAnsi="Courier New"/>
          <w:sz w:val="16"/>
          <w:szCs w:val="16"/>
          <w:color w:val="auto"/>
        </w:rPr>
        <w:t>The process of customizing a system involves creating tailored Integrated Customer Management products to address a customer's specific technical and business requirements. System implementation and integration activities are conducted by joint teams from Amdocs and the customer in parallel with the customization effort. Implementation and integration activities include project management, development of training methods and procedures, design of work flows, hardware planning and installation, network and system design and installation, system conversion and documentation. In most cases, the role of Amdocs personnel is to provide support services to the customer's own implementation and integration team, which has primary responsibility for the task. Customers sometimes require turnkey solutions, in which case we are able to provide full system implementation and integration services.</w:t>
      </w:r>
    </w:p>
    <w:p>
      <w:pPr>
        <w:spacing w:after="0" w:line="291" w:lineRule="exact"/>
        <w:rPr>
          <w:sz w:val="20"/>
          <w:szCs w:val="20"/>
          <w:color w:val="auto"/>
        </w:rPr>
      </w:pPr>
    </w:p>
    <w:p>
      <w:pPr>
        <w:ind w:right="1779" w:firstLine="527"/>
        <w:spacing w:after="0" w:line="252" w:lineRule="auto"/>
        <w:rPr>
          <w:sz w:val="20"/>
          <w:szCs w:val="20"/>
          <w:color w:val="auto"/>
        </w:rPr>
      </w:pPr>
      <w:r>
        <w:rPr>
          <w:rFonts w:ascii="Courier New" w:cs="Courier New" w:eastAsia="Courier New" w:hAnsi="Courier New"/>
          <w:sz w:val="18"/>
          <w:szCs w:val="18"/>
          <w:color w:val="auto"/>
        </w:rPr>
        <w:t>Once the system becomes operational, we are generally retained by the customer to provide ongoing services such as maintenance, enhancement design and development, and operational support. For substantially all of our customers, the implementation and integration of an initial Integrated Customer Management system has been followed by the sale of additional systems and modules. In recent years, we have established long-term maintenance and support contracts with a number of our customers. These contracts have generally involved an expansion in the scope of support provided, while also ensuring a recurring source of revenue to us.</w:t>
      </w:r>
    </w:p>
    <w:p>
      <w:pPr>
        <w:spacing w:after="0" w:line="99" w:lineRule="exact"/>
        <w:rPr>
          <w:sz w:val="20"/>
          <w:szCs w:val="20"/>
          <w:color w:val="auto"/>
        </w:rPr>
      </w:pPr>
    </w:p>
    <w:p>
      <w:pPr>
        <w:ind w:right="1779" w:firstLine="527"/>
        <w:spacing w:after="0" w:line="260" w:lineRule="auto"/>
        <w:rPr>
          <w:sz w:val="20"/>
          <w:szCs w:val="20"/>
          <w:color w:val="auto"/>
        </w:rPr>
      </w:pPr>
      <w:r>
        <w:rPr>
          <w:rFonts w:ascii="Courier New" w:cs="Courier New" w:eastAsia="Courier New" w:hAnsi="Courier New"/>
          <w:sz w:val="18"/>
          <w:szCs w:val="18"/>
          <w:color w:val="auto"/>
        </w:rPr>
        <w:t>As part of our effort to provide comprehensive solutions to our customers, we offer Managed Services to support operation of our Integrated Customer Management products. These Managed Services include a combination of services, such as system modernization and consolidation, management and operation of data centers, purchase and management of related hardware assets, billing operations and application support.</w:t>
      </w:r>
    </w:p>
    <w:p>
      <w:pPr>
        <w:spacing w:after="0" w:line="93" w:lineRule="exact"/>
        <w:rPr>
          <w:sz w:val="20"/>
          <w:szCs w:val="20"/>
          <w:color w:val="auto"/>
        </w:rPr>
      </w:pPr>
    </w:p>
    <w:p>
      <w:pPr>
        <w:ind w:right="1779" w:firstLine="527"/>
        <w:spacing w:after="0" w:line="253" w:lineRule="auto"/>
        <w:rPr>
          <w:sz w:val="20"/>
          <w:szCs w:val="20"/>
          <w:color w:val="auto"/>
        </w:rPr>
      </w:pPr>
      <w:r>
        <w:rPr>
          <w:rFonts w:ascii="Courier New" w:cs="Courier New" w:eastAsia="Courier New" w:hAnsi="Courier New"/>
          <w:sz w:val="18"/>
          <w:szCs w:val="18"/>
          <w:color w:val="auto"/>
        </w:rPr>
        <w:t>Our business is conducted on a global basis. We maintain five development facilities located in Israel, the United States, Cyprus, Ireland and Canada, operate a support center located in Brazil and have operations in North America, Europe, Latin America and the Asia-Pacific region. Support for implementation and integration activities is typically performed at the customer site. Once the system is operational or in production, we provide ongoing support and maintenance through a combination of remote support from the development centers and local support at the customer site.</w:t>
      </w:r>
    </w:p>
    <w:p>
      <w:pPr>
        <w:spacing w:after="0" w:line="1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SALES AND MARKETING</w:t>
      </w:r>
    </w:p>
    <w:p>
      <w:pPr>
        <w:spacing w:after="0" w:line="201" w:lineRule="exact"/>
        <w:rPr>
          <w:sz w:val="20"/>
          <w:szCs w:val="20"/>
          <w:color w:val="auto"/>
        </w:rPr>
      </w:pPr>
    </w:p>
    <w:p>
      <w:pPr>
        <w:ind w:right="1999" w:firstLine="527"/>
        <w:spacing w:after="0" w:line="260" w:lineRule="auto"/>
        <w:rPr>
          <w:sz w:val="20"/>
          <w:szCs w:val="20"/>
          <w:color w:val="auto"/>
        </w:rPr>
      </w:pPr>
      <w:r>
        <w:rPr>
          <w:rFonts w:ascii="Courier New" w:cs="Courier New" w:eastAsia="Courier New" w:hAnsi="Courier New"/>
          <w:sz w:val="18"/>
          <w:szCs w:val="18"/>
          <w:color w:val="auto"/>
        </w:rPr>
        <w:t>Our sales and marketing activities are primarily directed at major communications companies. As a result of the strategic importance of our information systems to the operations of such companies, a number of constituencies within a customer's organization are typically involved in purchase decisions, including senior management, information systems personnel and user groups such as the finance and marketing departments.</w:t>
      </w:r>
    </w:p>
    <w:p>
      <w:pPr>
        <w:spacing w:after="0" w:line="93" w:lineRule="exact"/>
        <w:rPr>
          <w:sz w:val="20"/>
          <w:szCs w:val="20"/>
          <w:color w:val="auto"/>
        </w:rPr>
      </w:pPr>
    </w:p>
    <w:p>
      <w:pPr>
        <w:ind w:right="1779" w:firstLine="527"/>
        <w:spacing w:after="0" w:line="287" w:lineRule="auto"/>
        <w:rPr>
          <w:sz w:val="20"/>
          <w:szCs w:val="20"/>
          <w:color w:val="auto"/>
        </w:rPr>
      </w:pPr>
      <w:r>
        <w:rPr>
          <w:rFonts w:ascii="Courier New" w:cs="Courier New" w:eastAsia="Courier New" w:hAnsi="Courier New"/>
          <w:sz w:val="16"/>
          <w:szCs w:val="16"/>
          <w:color w:val="auto"/>
        </w:rPr>
        <w:t>We maintain sales offices in the United States, the United Kingdom and several other countries. Our sales activities are supported by marketing efforts, including marketing communications, product management, market research and strategic alliances. The management of our operating subsidiaries is closely involved in establishing sales policies and overseeing sales activities. Management's role includes the setting of priorities among the multiple sales opportunities available at any point in time. Management is also responsible for allocating sufficient resources to each project to meet our quality standards while also adhering to the project's cost and schedule parameters.</w:t>
      </w:r>
    </w:p>
    <w:p>
      <w:pPr>
        <w:spacing w:after="0" w:line="75" w:lineRule="exact"/>
        <w:rPr>
          <w:sz w:val="20"/>
          <w:szCs w:val="20"/>
          <w:color w:val="auto"/>
        </w:rPr>
      </w:pPr>
    </w:p>
    <w:p>
      <w:pPr>
        <w:ind w:right="1999" w:firstLine="527"/>
        <w:spacing w:after="0" w:line="292" w:lineRule="auto"/>
        <w:rPr>
          <w:sz w:val="20"/>
          <w:szCs w:val="20"/>
          <w:color w:val="auto"/>
        </w:rPr>
      </w:pPr>
      <w:r>
        <w:rPr>
          <w:rFonts w:ascii="Courier New" w:cs="Courier New" w:eastAsia="Courier New" w:hAnsi="Courier New"/>
          <w:sz w:val="18"/>
          <w:szCs w:val="18"/>
          <w:color w:val="auto"/>
        </w:rPr>
        <w:t>We also interact with other third parties in our sales activities, including independent sales agents, information systems consultants engaged by our customers or prospective customers and systems</w:t>
      </w:r>
    </w:p>
    <w:p>
      <w:pPr>
        <w:spacing w:after="0" w:line="6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691" w:right="1440" w:bottom="996" w:gutter="0" w:footer="0" w:header="0"/>
        </w:sectPr>
      </w:pPr>
    </w:p>
    <w:bookmarkStart w:id="25" w:name="page26"/>
    <w:bookmarkEnd w:id="25"/>
    <w:p>
      <w:pPr>
        <w:jc w:val="both"/>
        <w:ind w:right="1879"/>
        <w:spacing w:after="0" w:line="292" w:lineRule="auto"/>
        <w:rPr>
          <w:sz w:val="20"/>
          <w:szCs w:val="20"/>
          <w:color w:val="auto"/>
        </w:rPr>
      </w:pPr>
      <w:r>
        <w:rPr>
          <w:rFonts w:ascii="Courier New" w:cs="Courier New" w:eastAsia="Courier New" w:hAnsi="Courier New"/>
          <w:sz w:val="18"/>
          <w:szCs w:val="18"/>
          <w:color w:val="auto"/>
        </w:rPr>
        <w:t>integrators that provide complementary products and services to such customers. We also have value-added reseller agreements with certain hardware and database vendors.</w:t>
      </w:r>
    </w:p>
    <w:p>
      <w:pPr>
        <w:spacing w:after="0" w:line="6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CUSTOMERS</w:t>
      </w:r>
    </w:p>
    <w:p>
      <w:pPr>
        <w:spacing w:after="0" w:line="201" w:lineRule="exact"/>
        <w:rPr>
          <w:sz w:val="20"/>
          <w:szCs w:val="20"/>
          <w:color w:val="auto"/>
        </w:rPr>
      </w:pPr>
    </w:p>
    <w:p>
      <w:pPr>
        <w:ind w:right="1779" w:firstLine="527"/>
        <w:spacing w:after="0" w:line="250" w:lineRule="auto"/>
        <w:rPr>
          <w:sz w:val="20"/>
          <w:szCs w:val="20"/>
          <w:color w:val="auto"/>
        </w:rPr>
      </w:pPr>
      <w:r>
        <w:rPr>
          <w:rFonts w:ascii="Courier New" w:cs="Courier New" w:eastAsia="Courier New" w:hAnsi="Courier New"/>
          <w:sz w:val="18"/>
          <w:szCs w:val="18"/>
          <w:color w:val="auto"/>
        </w:rPr>
        <w:t>Our target market is comprised of communications companies that require information systems with advanced functionality and technology. The companies in our target segment are typically market leaders. By working with such companies, we help ensure that we remain at the forefront of developments in the communications industry and that our Integrated Customer Management product offerings continue to address the market's most sophisticated needs. We have an international orientation, focusing on potential customers in the developed, industrialized countries in North America, Europe, Latin America and the Asia-Pacific region. In addition, we offer CRM applications to selected customers and segments outside of the communications industry.</w:t>
      </w:r>
    </w:p>
    <w:p>
      <w:pPr>
        <w:spacing w:after="0" w:line="1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Our customers include global communications leaders, as well as other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leading network operators and service providers and directory publishers in the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United States and around the world. Our customers include:</w:t>
      </w:r>
    </w:p>
    <w:p>
      <w:pPr>
        <w:sectPr>
          <w:pgSz w:w="11900" w:h="16838" w:orient="portrait"/>
          <w:cols w:equalWidth="0" w:num="1">
            <w:col w:w="10219"/>
          </w:cols>
          <w:pgMar w:left="240" w:top="691" w:right="1440" w:bottom="1440" w:gutter="0" w:footer="0" w:header="0"/>
        </w:sectPr>
      </w:pPr>
    </w:p>
    <w:p>
      <w:pPr>
        <w:spacing w:after="0" w:line="200" w:lineRule="exact"/>
        <w:rPr>
          <w:sz w:val="20"/>
          <w:szCs w:val="20"/>
          <w:color w:val="auto"/>
        </w:rPr>
      </w:pPr>
    </w:p>
    <w:p>
      <w:pPr>
        <w:spacing w:after="0" w:line="374"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BCP</w:t>
      </w:r>
    </w:p>
    <w:p>
      <w:pPr>
        <w:spacing w:after="0" w:line="2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Bell Canada</w:t>
      </w:r>
    </w:p>
    <w:p>
      <w:pPr>
        <w:ind w:left="420"/>
        <w:spacing w:after="0" w:line="238" w:lineRule="auto"/>
        <w:rPr>
          <w:sz w:val="20"/>
          <w:szCs w:val="20"/>
          <w:color w:val="auto"/>
        </w:rPr>
      </w:pPr>
      <w:r>
        <w:rPr>
          <w:rFonts w:ascii="Courier New" w:cs="Courier New" w:eastAsia="Courier New" w:hAnsi="Courier New"/>
          <w:sz w:val="18"/>
          <w:szCs w:val="18"/>
          <w:color w:val="auto"/>
        </w:rPr>
        <w:t>BT</w:t>
      </w:r>
    </w:p>
    <w:p>
      <w:pPr>
        <w:ind w:left="420"/>
        <w:spacing w:after="0"/>
        <w:rPr>
          <w:sz w:val="20"/>
          <w:szCs w:val="20"/>
          <w:color w:val="auto"/>
        </w:rPr>
      </w:pPr>
      <w:r>
        <w:rPr>
          <w:rFonts w:ascii="Courier New" w:cs="Courier New" w:eastAsia="Courier New" w:hAnsi="Courier New"/>
          <w:sz w:val="16"/>
          <w:szCs w:val="16"/>
          <w:color w:val="auto"/>
        </w:rPr>
        <w:t>Cingular Wireless</w:t>
      </w:r>
    </w:p>
    <w:p>
      <w:pPr>
        <w:spacing w:after="0" w:line="20"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Deutsche Telekom</w:t>
      </w:r>
    </w:p>
    <w:p>
      <w:pPr>
        <w:ind w:left="420"/>
        <w:spacing w:after="0" w:line="238" w:lineRule="auto"/>
        <w:rPr>
          <w:sz w:val="20"/>
          <w:szCs w:val="20"/>
          <w:color w:val="auto"/>
        </w:rPr>
      </w:pPr>
      <w:r>
        <w:rPr>
          <w:rFonts w:ascii="Courier New" w:cs="Courier New" w:eastAsia="Courier New" w:hAnsi="Courier New"/>
          <w:sz w:val="18"/>
          <w:szCs w:val="18"/>
          <w:color w:val="auto"/>
        </w:rPr>
        <w:t>Dex Media</w:t>
      </w:r>
    </w:p>
    <w:p>
      <w:pPr>
        <w:ind w:left="420"/>
        <w:spacing w:after="0"/>
        <w:rPr>
          <w:sz w:val="20"/>
          <w:szCs w:val="20"/>
          <w:color w:val="auto"/>
        </w:rPr>
      </w:pPr>
      <w:r>
        <w:rPr>
          <w:rFonts w:ascii="Courier New" w:cs="Courier New" w:eastAsia="Courier New" w:hAnsi="Courier New"/>
          <w:sz w:val="18"/>
          <w:szCs w:val="18"/>
          <w:color w:val="auto"/>
        </w:rPr>
        <w:t>Far EasTone</w:t>
      </w:r>
    </w:p>
    <w:p>
      <w:pPr>
        <w:ind w:left="420"/>
        <w:spacing w:after="0" w:line="238" w:lineRule="auto"/>
        <w:rPr>
          <w:sz w:val="20"/>
          <w:szCs w:val="20"/>
          <w:color w:val="auto"/>
        </w:rPr>
      </w:pPr>
      <w:r>
        <w:rPr>
          <w:rFonts w:ascii="Courier New" w:cs="Courier New" w:eastAsia="Courier New" w:hAnsi="Courier New"/>
          <w:sz w:val="18"/>
          <w:szCs w:val="18"/>
          <w:color w:val="auto"/>
        </w:rPr>
        <w:t>Group Cegetel</w:t>
      </w:r>
    </w:p>
    <w:p>
      <w:pPr>
        <w:ind w:left="420"/>
        <w:spacing w:after="0"/>
        <w:rPr>
          <w:sz w:val="20"/>
          <w:szCs w:val="20"/>
          <w:color w:val="auto"/>
        </w:rPr>
      </w:pPr>
      <w:r>
        <w:rPr>
          <w:rFonts w:ascii="Courier New" w:cs="Courier New" w:eastAsia="Courier New" w:hAnsi="Courier New"/>
          <w:sz w:val="18"/>
          <w:szCs w:val="18"/>
          <w:color w:val="auto"/>
        </w:rPr>
        <w:t>Netcom</w:t>
      </w:r>
    </w:p>
    <w:p>
      <w:pPr>
        <w:ind w:left="420"/>
        <w:spacing w:after="0" w:line="238" w:lineRule="auto"/>
        <w:rPr>
          <w:sz w:val="20"/>
          <w:szCs w:val="20"/>
          <w:color w:val="auto"/>
        </w:rPr>
      </w:pPr>
      <w:r>
        <w:rPr>
          <w:rFonts w:ascii="Courier New" w:cs="Courier New" w:eastAsia="Courier New" w:hAnsi="Courier New"/>
          <w:sz w:val="18"/>
          <w:szCs w:val="18"/>
          <w:color w:val="auto"/>
        </w:rPr>
        <w:t>Nextel</w:t>
      </w:r>
    </w:p>
    <w:p>
      <w:pPr>
        <w:ind w:left="420"/>
        <w:spacing w:after="0"/>
        <w:rPr>
          <w:sz w:val="20"/>
          <w:szCs w:val="20"/>
          <w:color w:val="auto"/>
        </w:rPr>
      </w:pPr>
      <w:r>
        <w:rPr>
          <w:rFonts w:ascii="Courier New" w:cs="Courier New" w:eastAsia="Courier New" w:hAnsi="Courier New"/>
          <w:sz w:val="18"/>
          <w:szCs w:val="18"/>
          <w:color w:val="auto"/>
        </w:rPr>
        <w:t>Rogers AT&amp;T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SBC</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Sprint PCS</w:t>
      </w:r>
    </w:p>
    <w:p>
      <w:pPr>
        <w:spacing w:after="0" w:line="238" w:lineRule="auto"/>
        <w:rPr>
          <w:sz w:val="20"/>
          <w:szCs w:val="20"/>
          <w:color w:val="auto"/>
        </w:rPr>
      </w:pPr>
      <w:r>
        <w:rPr>
          <w:rFonts w:ascii="Courier New" w:cs="Courier New" w:eastAsia="Courier New" w:hAnsi="Courier New"/>
          <w:sz w:val="18"/>
          <w:szCs w:val="18"/>
          <w:color w:val="auto"/>
        </w:rPr>
        <w:t>Telefonica</w:t>
      </w:r>
    </w:p>
    <w:p>
      <w:pPr>
        <w:spacing w:after="0"/>
        <w:rPr>
          <w:sz w:val="20"/>
          <w:szCs w:val="20"/>
          <w:color w:val="auto"/>
        </w:rPr>
      </w:pPr>
      <w:r>
        <w:rPr>
          <w:rFonts w:ascii="Courier New" w:cs="Courier New" w:eastAsia="Courier New" w:hAnsi="Courier New"/>
          <w:sz w:val="18"/>
          <w:szCs w:val="18"/>
          <w:color w:val="auto"/>
        </w:rPr>
        <w:t>Telstra</w:t>
      </w:r>
    </w:p>
    <w:p>
      <w:pPr>
        <w:spacing w:after="0" w:line="238" w:lineRule="auto"/>
        <w:rPr>
          <w:sz w:val="20"/>
          <w:szCs w:val="20"/>
          <w:color w:val="auto"/>
        </w:rPr>
      </w:pPr>
      <w:r>
        <w:rPr>
          <w:rFonts w:ascii="Courier New" w:cs="Courier New" w:eastAsia="Courier New" w:hAnsi="Courier New"/>
          <w:sz w:val="18"/>
          <w:szCs w:val="18"/>
          <w:color w:val="auto"/>
        </w:rPr>
        <w:t>Telus</w:t>
      </w:r>
    </w:p>
    <w:p>
      <w:pPr>
        <w:spacing w:after="0"/>
        <w:rPr>
          <w:sz w:val="20"/>
          <w:szCs w:val="20"/>
          <w:color w:val="auto"/>
        </w:rPr>
      </w:pPr>
      <w:r>
        <w:rPr>
          <w:rFonts w:ascii="Courier New" w:cs="Courier New" w:eastAsia="Courier New" w:hAnsi="Courier New"/>
          <w:sz w:val="18"/>
          <w:szCs w:val="18"/>
          <w:color w:val="auto"/>
        </w:rPr>
        <w:t>T-Mobile</w:t>
      </w:r>
    </w:p>
    <w:p>
      <w:pPr>
        <w:spacing w:after="0" w:line="238" w:lineRule="auto"/>
        <w:rPr>
          <w:sz w:val="20"/>
          <w:szCs w:val="20"/>
          <w:color w:val="auto"/>
        </w:rPr>
      </w:pPr>
      <w:r>
        <w:rPr>
          <w:rFonts w:ascii="Courier New" w:cs="Courier New" w:eastAsia="Courier New" w:hAnsi="Courier New"/>
          <w:sz w:val="18"/>
          <w:szCs w:val="18"/>
          <w:color w:val="auto"/>
        </w:rPr>
        <w:t>Verizon</w:t>
      </w:r>
    </w:p>
    <w:p>
      <w:pPr>
        <w:spacing w:after="0"/>
        <w:rPr>
          <w:sz w:val="20"/>
          <w:szCs w:val="20"/>
          <w:color w:val="auto"/>
        </w:rPr>
      </w:pPr>
      <w:r>
        <w:rPr>
          <w:rFonts w:ascii="Courier New" w:cs="Courier New" w:eastAsia="Courier New" w:hAnsi="Courier New"/>
          <w:sz w:val="18"/>
          <w:szCs w:val="18"/>
          <w:color w:val="auto"/>
        </w:rPr>
        <w:t>Vimplecom</w:t>
      </w:r>
    </w:p>
    <w:p>
      <w:pPr>
        <w:spacing w:after="0" w:line="238" w:lineRule="auto"/>
        <w:rPr>
          <w:sz w:val="20"/>
          <w:szCs w:val="20"/>
          <w:color w:val="auto"/>
        </w:rPr>
      </w:pPr>
      <w:r>
        <w:rPr>
          <w:rFonts w:ascii="Courier New" w:cs="Courier New" w:eastAsia="Courier New" w:hAnsi="Courier New"/>
          <w:sz w:val="18"/>
          <w:szCs w:val="18"/>
          <w:color w:val="auto"/>
        </w:rPr>
        <w:t>Vodafone Group</w:t>
      </w:r>
    </w:p>
    <w:p>
      <w:pPr>
        <w:spacing w:after="0"/>
        <w:rPr>
          <w:sz w:val="20"/>
          <w:szCs w:val="20"/>
          <w:color w:val="auto"/>
        </w:rPr>
      </w:pPr>
      <w:r>
        <w:rPr>
          <w:rFonts w:ascii="Courier New" w:cs="Courier New" w:eastAsia="Courier New" w:hAnsi="Courier New"/>
          <w:sz w:val="16"/>
          <w:szCs w:val="16"/>
          <w:color w:val="auto"/>
        </w:rPr>
        <w:t>Western Wireless</w:t>
      </w:r>
    </w:p>
    <w:p>
      <w:pPr>
        <w:spacing w:after="0" w:line="425" w:lineRule="exact"/>
        <w:rPr>
          <w:sz w:val="20"/>
          <w:szCs w:val="20"/>
          <w:color w:val="auto"/>
        </w:rPr>
      </w:pPr>
    </w:p>
    <w:p>
      <w:pPr>
        <w:sectPr>
          <w:pgSz w:w="11900" w:h="16838" w:orient="portrait"/>
          <w:cols w:equalWidth="0" w:num="2">
            <w:col w:w="4980" w:space="720"/>
            <w:col w:w="4519"/>
          </w:cols>
          <w:pgMar w:left="240" w:top="691" w:right="1440" w:bottom="1440" w:gutter="0" w:footer="0" w:header="0"/>
          <w:type w:val="continuous"/>
        </w:sectPr>
      </w:pPr>
    </w:p>
    <w:p>
      <w:pPr>
        <w:spacing w:after="0" w:line="172" w:lineRule="exact"/>
        <w:rPr>
          <w:sz w:val="20"/>
          <w:szCs w:val="20"/>
          <w:color w:val="auto"/>
        </w:rPr>
      </w:pPr>
    </w:p>
    <w:p>
      <w:pPr>
        <w:ind w:right="1779" w:firstLine="527"/>
        <w:spacing w:after="0" w:line="246" w:lineRule="auto"/>
        <w:rPr>
          <w:sz w:val="20"/>
          <w:szCs w:val="20"/>
          <w:color w:val="auto"/>
        </w:rPr>
      </w:pPr>
      <w:r>
        <w:rPr>
          <w:rFonts w:ascii="Courier New" w:cs="Courier New" w:eastAsia="Courier New" w:hAnsi="Courier New"/>
          <w:sz w:val="18"/>
          <w:szCs w:val="18"/>
          <w:color w:val="auto"/>
        </w:rPr>
        <w:t>Our single largest customer group is Nextel and its subsidiaries, which accounted for, in the aggregate, approximately 15%, 12% and 10% of our revenue in fiscal 2003, 2002 and 2001, respectively. Our next largest group of customers is SBC and its subsidiaries. Substantially all of our work for SBC is conducted directly with SBC's operating subsidiaries, such as Cingular Wireless, Southwestern Bell Yellow Pages, Southwestern Bell Communications Services and Southwestern Bell Telephone Company. These SBC relationships accounted for, in the aggregate, approximately 11%, 11% and 13% of our total revenue in fiscal 2003, 2002 and 2001, respectively. SBC, through its subsidiaries, has historically been one of our largest shareholders. As of November 28, 2003, SBC beneficially owned approximately 9.4% of our outstanding ordinary shares. Our third largest customer group is Bell Canada and its subsidiaries, which accounted for, in the aggregate, approximately 11%, 9% and 6% of our revenue in fiscal 2003, 2002 and 2001, respectively.</w:t>
      </w:r>
    </w:p>
    <w:p>
      <w:pPr>
        <w:spacing w:after="0" w:line="113" w:lineRule="exact"/>
        <w:rPr>
          <w:sz w:val="20"/>
          <w:szCs w:val="20"/>
          <w:color w:val="auto"/>
        </w:rPr>
      </w:pPr>
    </w:p>
    <w:p>
      <w:pPr>
        <w:ind w:right="1999" w:firstLine="527"/>
        <w:spacing w:after="0" w:line="265" w:lineRule="auto"/>
        <w:rPr>
          <w:sz w:val="20"/>
          <w:szCs w:val="20"/>
          <w:color w:val="auto"/>
        </w:rPr>
      </w:pPr>
      <w:r>
        <w:rPr>
          <w:rFonts w:ascii="Courier New" w:cs="Courier New" w:eastAsia="Courier New" w:hAnsi="Courier New"/>
          <w:sz w:val="18"/>
          <w:szCs w:val="18"/>
          <w:color w:val="auto"/>
        </w:rPr>
        <w:t>Aggregate revenue derived from the multiple business arrangements we have with each of our five largest customers and their subsidiaries, including Nextel, SBC and Bell Canada (and their subsidiaries), accounted for approximately 55%, 49% and 49% of our revenue in fiscal 2003, 2002 and 2001, respectively.</w:t>
      </w:r>
    </w:p>
    <w:p>
      <w:pPr>
        <w:spacing w:after="0" w:line="90" w:lineRule="exact"/>
        <w:rPr>
          <w:sz w:val="20"/>
          <w:szCs w:val="20"/>
          <w:color w:val="auto"/>
        </w:rPr>
      </w:pPr>
    </w:p>
    <w:p>
      <w:pPr>
        <w:ind w:right="2519" w:firstLine="527"/>
        <w:spacing w:after="0" w:line="402" w:lineRule="auto"/>
        <w:rPr>
          <w:sz w:val="20"/>
          <w:szCs w:val="20"/>
          <w:color w:val="auto"/>
        </w:rPr>
      </w:pPr>
      <w:r>
        <w:rPr>
          <w:rFonts w:ascii="Courier New" w:cs="Courier New" w:eastAsia="Courier New" w:hAnsi="Courier New"/>
          <w:sz w:val="16"/>
          <w:szCs w:val="16"/>
          <w:color w:val="auto"/>
        </w:rPr>
        <w:t>The following is a summary of revenue by geographic area. Revenue is attributed to geographic region based on the location of the customer:</w:t>
      </w:r>
    </w:p>
    <w:p>
      <w:pPr>
        <w:spacing w:after="0" w:line="1" w:lineRule="exact"/>
        <w:rPr>
          <w:sz w:val="20"/>
          <w:szCs w:val="20"/>
          <w:color w:val="auto"/>
        </w:rPr>
      </w:pPr>
    </w:p>
    <w:p>
      <w:pPr>
        <w:ind w:left="1320"/>
        <w:spacing w:after="0"/>
        <w:rPr>
          <w:sz w:val="20"/>
          <w:szCs w:val="20"/>
          <w:color w:val="auto"/>
        </w:rPr>
      </w:pPr>
      <w:r>
        <w:rPr>
          <w:rFonts w:ascii="Courier New" w:cs="Courier New" w:eastAsia="Courier New" w:hAnsi="Courier New"/>
          <w:sz w:val="18"/>
          <w:szCs w:val="18"/>
          <w:color w:val="auto"/>
        </w:rPr>
        <w:t>2003 2002 2001 ---- ---- ---- North</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00" w:type="dxa"/>
            <w:vAlign w:val="bottom"/>
          </w:tcPr>
          <w:p>
            <w:pPr>
              <w:jc w:val="right"/>
              <w:spacing w:after="0"/>
              <w:rPr>
                <w:sz w:val="20"/>
                <w:szCs w:val="20"/>
                <w:color w:val="auto"/>
              </w:rPr>
            </w:pPr>
            <w:r>
              <w:rPr>
                <w:rFonts w:ascii="Courier New" w:cs="Courier New" w:eastAsia="Courier New" w:hAnsi="Courier New"/>
                <w:sz w:val="12"/>
                <w:szCs w:val="12"/>
                <w:color w:val="auto"/>
                <w:w w:val="74"/>
              </w:rPr>
              <w:t>America...............................................</w:t>
            </w:r>
          </w:p>
        </w:tc>
        <w:tc>
          <w:tcPr>
            <w:tcW w:w="5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6"/>
              </w:rPr>
              <w:t>61.9%</w:t>
            </w:r>
          </w:p>
        </w:tc>
        <w:tc>
          <w:tcPr>
            <w:tcW w:w="2640" w:type="dxa"/>
            <w:vAlign w:val="bottom"/>
            <w:vMerge w:val="restart"/>
          </w:tcPr>
          <w:p>
            <w:pPr>
              <w:jc w:val="right"/>
              <w:ind w:right="1972"/>
              <w:spacing w:after="0"/>
              <w:rPr>
                <w:sz w:val="20"/>
                <w:szCs w:val="20"/>
                <w:color w:val="auto"/>
              </w:rPr>
            </w:pPr>
            <w:r>
              <w:rPr>
                <w:rFonts w:ascii="Courier New" w:cs="Courier New" w:eastAsia="Courier New" w:hAnsi="Courier New"/>
                <w:sz w:val="18"/>
                <w:szCs w:val="18"/>
                <w:color w:val="auto"/>
              </w:rPr>
              <w:t>53.8%</w:t>
            </w:r>
          </w:p>
        </w:tc>
        <w:tc>
          <w:tcPr>
            <w:tcW w:w="0" w:type="dxa"/>
            <w:vAlign w:val="bottom"/>
          </w:tcPr>
          <w:p>
            <w:pPr>
              <w:spacing w:after="0"/>
              <w:rPr>
                <w:sz w:val="1"/>
                <w:szCs w:val="1"/>
                <w:color w:val="auto"/>
              </w:rPr>
            </w:pPr>
          </w:p>
        </w:tc>
      </w:tr>
      <w:tr>
        <w:trPr>
          <w:trHeight w:val="203"/>
        </w:trPr>
        <w:tc>
          <w:tcPr>
            <w:tcW w:w="2900" w:type="dxa"/>
            <w:vAlign w:val="bottom"/>
          </w:tcPr>
          <w:p>
            <w:pPr>
              <w:jc w:val="right"/>
              <w:ind w:right="25"/>
              <w:spacing w:after="0" w:line="203" w:lineRule="exact"/>
              <w:rPr>
                <w:sz w:val="20"/>
                <w:szCs w:val="20"/>
                <w:color w:val="auto"/>
              </w:rPr>
            </w:pPr>
            <w:r>
              <w:rPr>
                <w:rFonts w:ascii="Courier New" w:cs="Courier New" w:eastAsia="Courier New" w:hAnsi="Courier New"/>
                <w:sz w:val="18"/>
                <w:szCs w:val="18"/>
                <w:color w:val="auto"/>
              </w:rPr>
              <w:t>62.0%</w:t>
            </w:r>
          </w:p>
        </w:tc>
        <w:tc>
          <w:tcPr>
            <w:tcW w:w="580" w:type="dxa"/>
            <w:vAlign w:val="bottom"/>
            <w:vMerge w:val="continue"/>
          </w:tcPr>
          <w:p>
            <w:pPr>
              <w:spacing w:after="0"/>
              <w:rPr>
                <w:sz w:val="17"/>
                <w:szCs w:val="17"/>
                <w:color w:val="auto"/>
              </w:rPr>
            </w:pPr>
          </w:p>
        </w:tc>
        <w:tc>
          <w:tcPr>
            <w:tcW w:w="2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80" w:type="dxa"/>
            <w:vAlign w:val="bottom"/>
            <w:gridSpan w:val="2"/>
          </w:tcPr>
          <w:p>
            <w:pPr>
              <w:spacing w:after="0"/>
              <w:rPr>
                <w:sz w:val="20"/>
                <w:szCs w:val="20"/>
                <w:color w:val="auto"/>
              </w:rPr>
            </w:pPr>
            <w:r>
              <w:rPr>
                <w:rFonts w:ascii="Courier New" w:cs="Courier New" w:eastAsia="Courier New" w:hAnsi="Courier New"/>
                <w:sz w:val="13"/>
                <w:szCs w:val="13"/>
                <w:color w:val="auto"/>
                <w:w w:val="73"/>
              </w:rPr>
              <w:t>Europe......................................................</w:t>
            </w:r>
          </w:p>
        </w:tc>
        <w:tc>
          <w:tcPr>
            <w:tcW w:w="2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20" w:type="dxa"/>
            <w:vAlign w:val="bottom"/>
            <w:gridSpan w:val="3"/>
          </w:tcPr>
          <w:p>
            <w:pPr>
              <w:jc w:val="right"/>
              <w:ind w:right="1492"/>
              <w:spacing w:after="0" w:line="203" w:lineRule="exact"/>
              <w:rPr>
                <w:sz w:val="20"/>
                <w:szCs w:val="20"/>
                <w:color w:val="auto"/>
              </w:rPr>
            </w:pPr>
            <w:r>
              <w:rPr>
                <w:rFonts w:ascii="Courier New" w:cs="Courier New" w:eastAsia="Courier New" w:hAnsi="Courier New"/>
                <w:sz w:val="18"/>
                <w:szCs w:val="18"/>
                <w:color w:val="auto"/>
              </w:rPr>
              <w:t>29.8 28.9 35.8 Rest of the</w:t>
            </w:r>
          </w:p>
        </w:tc>
        <w:tc>
          <w:tcPr>
            <w:tcW w:w="0" w:type="dxa"/>
            <w:vAlign w:val="bottom"/>
          </w:tcPr>
          <w:p>
            <w:pPr>
              <w:spacing w:after="0"/>
              <w:rPr>
                <w:sz w:val="1"/>
                <w:szCs w:val="1"/>
                <w:color w:val="auto"/>
              </w:rPr>
            </w:pPr>
          </w:p>
        </w:tc>
      </w:tr>
      <w:tr>
        <w:trPr>
          <w:trHeight w:val="296"/>
        </w:trPr>
        <w:tc>
          <w:tcPr>
            <w:tcW w:w="2900" w:type="dxa"/>
            <w:vAlign w:val="bottom"/>
          </w:tcPr>
          <w:p>
            <w:pPr>
              <w:jc w:val="right"/>
              <w:spacing w:after="0"/>
              <w:rPr>
                <w:sz w:val="20"/>
                <w:szCs w:val="20"/>
                <w:color w:val="auto"/>
              </w:rPr>
            </w:pPr>
            <w:r>
              <w:rPr>
                <w:rFonts w:ascii="Courier New" w:cs="Courier New" w:eastAsia="Courier New" w:hAnsi="Courier New"/>
                <w:sz w:val="14"/>
                <w:szCs w:val="14"/>
                <w:color w:val="auto"/>
                <w:w w:val="71"/>
              </w:rPr>
              <w:t>World...........................................</w:t>
            </w:r>
          </w:p>
        </w:tc>
        <w:tc>
          <w:tcPr>
            <w:tcW w:w="58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10.4</w:t>
            </w:r>
          </w:p>
        </w:tc>
        <w:tc>
          <w:tcPr>
            <w:tcW w:w="2640" w:type="dxa"/>
            <w:vAlign w:val="bottom"/>
          </w:tcPr>
          <w:p>
            <w:pPr>
              <w:jc w:val="right"/>
              <w:spacing w:after="0"/>
              <w:rPr>
                <w:sz w:val="20"/>
                <w:szCs w:val="20"/>
                <w:color w:val="auto"/>
              </w:rPr>
            </w:pPr>
            <w:r>
              <w:rPr>
                <w:rFonts w:ascii="Courier New" w:cs="Courier New" w:eastAsia="Courier New" w:hAnsi="Courier New"/>
                <w:sz w:val="18"/>
                <w:szCs w:val="18"/>
                <w:color w:val="auto"/>
              </w:rPr>
              <w:t>8.2 9.2</w:t>
            </w:r>
          </w:p>
        </w:tc>
        <w:tc>
          <w:tcPr>
            <w:tcW w:w="0" w:type="dxa"/>
            <w:vAlign w:val="bottom"/>
          </w:tcPr>
          <w:p>
            <w:pPr>
              <w:spacing w:after="0"/>
              <w:rPr>
                <w:sz w:val="1"/>
                <w:szCs w:val="1"/>
                <w:color w:val="auto"/>
              </w:rPr>
            </w:pPr>
          </w:p>
        </w:tc>
      </w:tr>
      <w:tr>
        <w:trPr>
          <w:trHeight w:val="203"/>
        </w:trPr>
        <w:tc>
          <w:tcPr>
            <w:tcW w:w="290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2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8"/>
        </w:trPr>
        <w:tc>
          <w:tcPr>
            <w:tcW w:w="2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40" w:type="dxa"/>
            <w:vAlign w:val="bottom"/>
          </w:tcPr>
          <w:p>
            <w:pPr>
              <w:jc w:val="right"/>
              <w:ind w:right="1592"/>
              <w:spacing w:after="0"/>
              <w:rPr>
                <w:sz w:val="20"/>
                <w:szCs w:val="20"/>
                <w:color w:val="auto"/>
              </w:rPr>
            </w:pPr>
            <w:r>
              <w:rPr>
                <w:rFonts w:ascii="Courier New" w:cs="Courier New" w:eastAsia="Courier New" w:hAnsi="Courier New"/>
                <w:sz w:val="18"/>
                <w:szCs w:val="18"/>
                <w:color w:val="auto"/>
              </w:rPr>
              <w:t>23</w:t>
            </w:r>
          </w:p>
        </w:tc>
        <w:tc>
          <w:tcPr>
            <w:tcW w:w="0" w:type="dxa"/>
            <w:vAlign w:val="bottom"/>
          </w:tcPr>
          <w:p>
            <w:pPr>
              <w:spacing w:after="0"/>
              <w:rPr>
                <w:sz w:val="1"/>
                <w:szCs w:val="1"/>
                <w:color w:val="auto"/>
              </w:rPr>
            </w:pPr>
          </w:p>
        </w:tc>
      </w:tr>
    </w:tbl>
    <w:p>
      <w:pPr>
        <w:sectPr>
          <w:pgSz w:w="11900" w:h="16838" w:orient="portrait"/>
          <w:cols w:equalWidth="0" w:num="1">
            <w:col w:w="10219"/>
          </w:cols>
          <w:pgMar w:left="240" w:top="691" w:right="1440" w:bottom="1440" w:gutter="0" w:footer="0" w:header="0"/>
          <w:type w:val="continuous"/>
        </w:sectPr>
      </w:pPr>
    </w:p>
    <w:bookmarkStart w:id="26" w:name="page27"/>
    <w:bookmarkEnd w:id="26"/>
    <w:p>
      <w:pPr>
        <w:ind w:left="220"/>
        <w:spacing w:after="0"/>
        <w:rPr>
          <w:sz w:val="20"/>
          <w:szCs w:val="20"/>
          <w:color w:val="auto"/>
        </w:rPr>
      </w:pPr>
      <w:r>
        <w:rPr>
          <w:rFonts w:ascii="Courier New" w:cs="Courier New" w:eastAsia="Courier New" w:hAnsi="Courier New"/>
          <w:sz w:val="18"/>
          <w:szCs w:val="18"/>
          <w:color w:val="auto"/>
        </w:rPr>
        <w:t>COMPETITION</w:t>
      </w:r>
    </w:p>
    <w:p>
      <w:pPr>
        <w:spacing w:after="0" w:line="201" w:lineRule="exact"/>
        <w:rPr>
          <w:sz w:val="20"/>
          <w:szCs w:val="20"/>
          <w:color w:val="auto"/>
        </w:rPr>
      </w:pPr>
    </w:p>
    <w:p>
      <w:pPr>
        <w:ind w:right="1779" w:firstLine="527"/>
        <w:spacing w:after="0" w:line="250" w:lineRule="auto"/>
        <w:rPr>
          <w:sz w:val="20"/>
          <w:szCs w:val="20"/>
          <w:color w:val="auto"/>
        </w:rPr>
      </w:pPr>
      <w:r>
        <w:rPr>
          <w:rFonts w:ascii="Courier New" w:cs="Courier New" w:eastAsia="Courier New" w:hAnsi="Courier New"/>
          <w:sz w:val="18"/>
          <w:szCs w:val="18"/>
          <w:color w:val="auto"/>
        </w:rPr>
        <w:t>The market for communications information systems is highly competitive and fragmented, and we expect competition to increase. We compete with many independent providers of information systems and services, including American Management Systems, Convergys, CSG Systems International, Portal Software, Saville Systems (a subsidiary of ADC Telecommunications), SchlumbergerSema Group and Siebel Systems, with system integrators and providers of Managed Services solutions, such as EDS, and with internal information systems departments of large communication companies. We expect continued competition in the communications industry and the entrance of new competitors into the software information systems market in the future.</w:t>
      </w:r>
    </w:p>
    <w:p>
      <w:pPr>
        <w:spacing w:after="0" w:line="104" w:lineRule="exact"/>
        <w:rPr>
          <w:sz w:val="20"/>
          <w:szCs w:val="20"/>
          <w:color w:val="auto"/>
        </w:rPr>
      </w:pPr>
    </w:p>
    <w:p>
      <w:pPr>
        <w:ind w:right="1779" w:firstLine="527"/>
        <w:spacing w:after="0" w:line="347" w:lineRule="auto"/>
        <w:rPr>
          <w:sz w:val="20"/>
          <w:szCs w:val="20"/>
          <w:color w:val="auto"/>
        </w:rPr>
      </w:pPr>
      <w:r>
        <w:rPr>
          <w:rFonts w:ascii="Courier New" w:cs="Courier New" w:eastAsia="Courier New" w:hAnsi="Courier New"/>
          <w:sz w:val="18"/>
          <w:szCs w:val="18"/>
          <w:color w:val="auto"/>
        </w:rPr>
        <w:t>We believe that we are able to differentiate ourselves from the competition by, among other things:</w:t>
      </w:r>
    </w:p>
    <w:p>
      <w:pPr>
        <w:spacing w:after="0" w:line="18" w:lineRule="exact"/>
        <w:rPr>
          <w:sz w:val="20"/>
          <w:szCs w:val="20"/>
          <w:color w:val="auto"/>
        </w:rPr>
      </w:pPr>
    </w:p>
    <w:p>
      <w:pPr>
        <w:ind w:left="740" w:hanging="205"/>
        <w:spacing w:after="0"/>
        <w:tabs>
          <w:tab w:leader="none" w:pos="7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offering customers a total information system from a single vendor,</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providing high quality reliable, scalable products,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effectively managing the timely implementation of products, and</w:t>
      </w:r>
    </w:p>
    <w:p>
      <w:pPr>
        <w:spacing w:after="0" w:line="201" w:lineRule="exact"/>
        <w:rPr>
          <w:rFonts w:ascii="Courier New" w:cs="Courier New" w:eastAsia="Courier New" w:hAnsi="Courier New"/>
          <w:sz w:val="18"/>
          <w:szCs w:val="18"/>
          <w:color w:val="auto"/>
        </w:rPr>
      </w:pPr>
    </w:p>
    <w:p>
      <w:pPr>
        <w:ind w:left="740" w:right="2519" w:hanging="205"/>
        <w:spacing w:after="0" w:line="347" w:lineRule="auto"/>
        <w:tabs>
          <w:tab w:leader="none" w:pos="7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responding to customer service and support needs through a skilled professional organization.</w:t>
      </w:r>
    </w:p>
    <w:p>
      <w:pPr>
        <w:spacing w:after="0" w:line="18" w:lineRule="exact"/>
        <w:rPr>
          <w:sz w:val="20"/>
          <w:szCs w:val="20"/>
          <w:color w:val="auto"/>
        </w:rPr>
      </w:pPr>
    </w:p>
    <w:p>
      <w:pPr>
        <w:ind w:right="1779" w:firstLine="527"/>
        <w:spacing w:after="0" w:line="280" w:lineRule="auto"/>
        <w:rPr>
          <w:sz w:val="20"/>
          <w:szCs w:val="20"/>
          <w:color w:val="auto"/>
        </w:rPr>
      </w:pPr>
      <w:r>
        <w:rPr>
          <w:rFonts w:ascii="Courier New" w:cs="Courier New" w:eastAsia="Courier New" w:hAnsi="Courier New"/>
          <w:sz w:val="16"/>
          <w:szCs w:val="16"/>
          <w:color w:val="auto"/>
        </w:rPr>
        <w:t>We compete with a number of companies that have long operating histories, large customer bases, substantial financial, technical, sales, marketing and other resources, and strong name recognition. Current and potential competitors have established, and may establish in the future, cooperative relationships among themselves or with third parties to increase their ability to address the needs of our prospective customers. Accordingly, new competitors or alliances among competitors may emerge and rapidly acquire significant market share. As a result, our competitors may be able to adapt more quickly than we can to new or emerging technologies and changes in customer requirements, or to devote greater resources to the promotion and sale of their products. There can be no assurance that we will be able to compete successfully with existing or new competitors. Failure by us to adapt to changing market conditions and to compete successfully with established or new competitors may have a material adverse effect on our results of operations and financial condition.</w:t>
      </w:r>
    </w:p>
    <w:p>
      <w:pPr>
        <w:spacing w:after="0" w:line="29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EMPLOYEES</w:t>
      </w:r>
    </w:p>
    <w:p>
      <w:pPr>
        <w:spacing w:after="0" w:line="201" w:lineRule="exact"/>
        <w:rPr>
          <w:sz w:val="20"/>
          <w:szCs w:val="20"/>
          <w:color w:val="auto"/>
        </w:rPr>
      </w:pPr>
    </w:p>
    <w:p>
      <w:pPr>
        <w:ind w:right="1779" w:firstLine="527"/>
        <w:spacing w:after="0" w:line="249" w:lineRule="auto"/>
        <w:rPr>
          <w:sz w:val="20"/>
          <w:szCs w:val="20"/>
          <w:color w:val="auto"/>
        </w:rPr>
      </w:pPr>
      <w:r>
        <w:rPr>
          <w:rFonts w:ascii="Courier New" w:cs="Courier New" w:eastAsia="Courier New" w:hAnsi="Courier New"/>
          <w:sz w:val="18"/>
          <w:szCs w:val="18"/>
          <w:color w:val="auto"/>
        </w:rPr>
        <w:t>We invest significant resources in training, retention and motivation of high quality personnel. Training programs cover areas such as technology, applications, development methodology, project methodology, programming standards, industry background and management development. Our management development scheme is reinforced by a divisional structure, which provides opportunities for talented managers to gain experience in general management roles at the division level. We also invest considerable resources in personnel motivation, including providing various incentive plans for sales staff and high quality employees. Our future success depends in large part upon our continuing ability to attract and retain highly qualified managerial, technical, sales and marketing personnel.</w:t>
      </w:r>
    </w:p>
    <w:p>
      <w:pPr>
        <w:spacing w:after="0" w:line="104" w:lineRule="exact"/>
        <w:rPr>
          <w:sz w:val="20"/>
          <w:szCs w:val="20"/>
          <w:color w:val="auto"/>
        </w:rPr>
      </w:pPr>
    </w:p>
    <w:p>
      <w:pPr>
        <w:ind w:right="1999" w:firstLine="527"/>
        <w:spacing w:after="0" w:line="347" w:lineRule="auto"/>
        <w:rPr>
          <w:sz w:val="20"/>
          <w:szCs w:val="20"/>
          <w:color w:val="auto"/>
        </w:rPr>
      </w:pPr>
      <w:r>
        <w:rPr>
          <w:rFonts w:ascii="Courier New" w:cs="Courier New" w:eastAsia="Courier New" w:hAnsi="Courier New"/>
          <w:sz w:val="18"/>
          <w:szCs w:val="18"/>
          <w:color w:val="auto"/>
        </w:rPr>
        <w:t>See "Directors, Senior Management and Employees -- Employees" for further details regarding our employees and our relationships with them.</w:t>
      </w:r>
    </w:p>
    <w:p>
      <w:pPr>
        <w:spacing w:after="0" w:line="1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RESEARCH AND DEVELOPMENT, PATENTS AND LICENSES</w:t>
      </w:r>
    </w:p>
    <w:p>
      <w:pPr>
        <w:spacing w:after="0" w:line="201" w:lineRule="exact"/>
        <w:rPr>
          <w:sz w:val="20"/>
          <w:szCs w:val="20"/>
          <w:color w:val="auto"/>
        </w:rPr>
      </w:pPr>
    </w:p>
    <w:p>
      <w:pPr>
        <w:ind w:right="1779" w:firstLine="527"/>
        <w:spacing w:after="0" w:line="289" w:lineRule="auto"/>
        <w:rPr>
          <w:sz w:val="20"/>
          <w:szCs w:val="20"/>
          <w:color w:val="auto"/>
        </w:rPr>
      </w:pPr>
      <w:r>
        <w:rPr>
          <w:rFonts w:ascii="Courier New" w:cs="Courier New" w:eastAsia="Courier New" w:hAnsi="Courier New"/>
          <w:sz w:val="16"/>
          <w:szCs w:val="16"/>
          <w:color w:val="auto"/>
        </w:rPr>
        <w:t>Our research and development activities involve the development of new software modules and product offerings in response to an identified market demand, either in conjunction with a customer project or as part of our internal product development programs. We also expend additional amounts on applied research and software development activities to keep abreast of new technologies in the communications markets and to provide new and enhanced functionality to our existing product offerings. We believe that our research and development efforts are a key element of our strategy and are essential to our success.</w:t>
      </w:r>
    </w:p>
    <w:p>
      <w:pPr>
        <w:spacing w:after="0" w:line="77" w:lineRule="exact"/>
        <w:rPr>
          <w:sz w:val="20"/>
          <w:szCs w:val="20"/>
          <w:color w:val="auto"/>
        </w:rPr>
      </w:pPr>
    </w:p>
    <w:p>
      <w:pPr>
        <w:ind w:right="2199" w:firstLine="527"/>
        <w:spacing w:after="0" w:line="292" w:lineRule="auto"/>
        <w:rPr>
          <w:sz w:val="20"/>
          <w:szCs w:val="20"/>
          <w:color w:val="auto"/>
        </w:rPr>
      </w:pPr>
      <w:r>
        <w:rPr>
          <w:rFonts w:ascii="Courier New" w:cs="Courier New" w:eastAsia="Courier New" w:hAnsi="Courier New"/>
          <w:sz w:val="18"/>
          <w:szCs w:val="18"/>
          <w:color w:val="auto"/>
        </w:rPr>
        <w:t>We regard significant portions of our software products and systems as proprietary. We rely on a combination of statutory and common law copyright, trademark and trade secret laws, customer licensing</w:t>
      </w:r>
    </w:p>
    <w:p>
      <w:pPr>
        <w:spacing w:after="0" w:line="6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691" w:right="1440" w:bottom="793" w:gutter="0" w:footer="0" w:header="0"/>
        </w:sectPr>
      </w:pPr>
    </w:p>
    <w:bookmarkStart w:id="27" w:name="page28"/>
    <w:bookmarkEnd w:id="27"/>
    <w:p>
      <w:pPr>
        <w:ind w:right="1879"/>
        <w:spacing w:after="0" w:line="347" w:lineRule="auto"/>
        <w:rPr>
          <w:sz w:val="20"/>
          <w:szCs w:val="20"/>
          <w:color w:val="auto"/>
        </w:rPr>
      </w:pPr>
      <w:r>
        <w:rPr>
          <w:rFonts w:ascii="Courier New" w:cs="Courier New" w:eastAsia="Courier New" w:hAnsi="Courier New"/>
          <w:sz w:val="18"/>
          <w:szCs w:val="18"/>
          <w:color w:val="auto"/>
        </w:rPr>
        <w:t>agreements, employee and third-party nondisclosure agreements and other methods to protect our proprietary rights.</w:t>
      </w:r>
    </w:p>
    <w:p>
      <w:pPr>
        <w:spacing w:after="0" w:line="18" w:lineRule="exact"/>
        <w:rPr>
          <w:sz w:val="20"/>
          <w:szCs w:val="20"/>
          <w:color w:val="auto"/>
        </w:rPr>
      </w:pPr>
    </w:p>
    <w:p>
      <w:pPr>
        <w:ind w:right="3359" w:firstLine="527"/>
        <w:spacing w:after="0" w:line="402" w:lineRule="auto"/>
        <w:rPr>
          <w:sz w:val="20"/>
          <w:szCs w:val="20"/>
          <w:color w:val="auto"/>
        </w:rPr>
      </w:pPr>
      <w:r>
        <w:rPr>
          <w:rFonts w:ascii="Courier New" w:cs="Courier New" w:eastAsia="Courier New" w:hAnsi="Courier New"/>
          <w:sz w:val="16"/>
          <w:szCs w:val="16"/>
          <w:color w:val="auto"/>
        </w:rPr>
        <w:t>See the discussion under "Operating and Financial Review and Prospects -- Research and Development, Patents and Licenses".</w:t>
      </w:r>
    </w:p>
    <w:p>
      <w:pPr>
        <w:spacing w:after="0" w:line="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PROPERTY, PLANTS AND EQUIPMENT</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Facilities</w:t>
      </w:r>
    </w:p>
    <w:p>
      <w:pPr>
        <w:spacing w:after="0" w:line="201" w:lineRule="exact"/>
        <w:rPr>
          <w:sz w:val="20"/>
          <w:szCs w:val="20"/>
          <w:color w:val="auto"/>
        </w:rPr>
      </w:pPr>
    </w:p>
    <w:p>
      <w:pPr>
        <w:ind w:right="1779" w:firstLine="527"/>
        <w:spacing w:after="0" w:line="256" w:lineRule="auto"/>
        <w:rPr>
          <w:sz w:val="20"/>
          <w:szCs w:val="20"/>
          <w:color w:val="auto"/>
        </w:rPr>
      </w:pPr>
      <w:r>
        <w:rPr>
          <w:rFonts w:ascii="Courier New" w:cs="Courier New" w:eastAsia="Courier New" w:hAnsi="Courier New"/>
          <w:sz w:val="18"/>
          <w:szCs w:val="18"/>
          <w:color w:val="auto"/>
        </w:rPr>
        <w:t>We lease land and buildings for our executive offices, sales, marketing, administrative, development and support centers. We lease an aggregate of approximately 2,300,000 square feet worldwide, including significant leases in the United States, Israel, Canada, Cyprus and the United Kingdom. Our aggregate annual lease costs are approximately $48.0 million. The following table summarizes information with respect to the principal facilities leased by us and our subsidiaries as of November 30, 2003:</w:t>
      </w:r>
    </w:p>
    <w:p>
      <w:pPr>
        <w:spacing w:after="0" w:line="98" w:lineRule="exact"/>
        <w:rPr>
          <w:sz w:val="20"/>
          <w:szCs w:val="20"/>
          <w:color w:val="auto"/>
        </w:rPr>
      </w:pPr>
    </w:p>
    <w:p>
      <w:pPr>
        <w:ind w:left="260"/>
        <w:spacing w:after="0"/>
        <w:rPr>
          <w:sz w:val="20"/>
          <w:szCs w:val="20"/>
          <w:color w:val="auto"/>
        </w:rPr>
      </w:pPr>
      <w:r>
        <w:rPr>
          <w:rFonts w:ascii="Courier New" w:cs="Courier New" w:eastAsia="Courier New" w:hAnsi="Courier New"/>
          <w:sz w:val="18"/>
          <w:szCs w:val="18"/>
          <w:color w:val="auto"/>
        </w:rPr>
        <w:t>AREA LOCATION (SQ. FEET) - -------- ---------- United</w:t>
      </w:r>
    </w:p>
    <w:tbl>
      <w:tblPr>
        <w:tblLayout w:type="fixed"/>
        <w:tblInd w:w="0" w:type="dxa"/>
        <w:tblCellMar>
          <w:top w:w="0" w:type="dxa"/>
          <w:left w:w="0" w:type="dxa"/>
          <w:bottom w:w="0" w:type="dxa"/>
          <w:right w:w="0" w:type="dxa"/>
        </w:tblCellMar>
      </w:tblPr>
      <w:tr>
        <w:trPr>
          <w:trHeight w:val="201"/>
        </w:trPr>
        <w:tc>
          <w:tcPr>
            <w:tcW w:w="1480" w:type="dxa"/>
            <w:vAlign w:val="bottom"/>
            <w:vMerge w:val="restart"/>
          </w:tcPr>
          <w:p>
            <w:pPr>
              <w:jc w:val="right"/>
              <w:spacing w:after="0"/>
              <w:rPr>
                <w:sz w:val="20"/>
                <w:szCs w:val="20"/>
                <w:color w:val="auto"/>
              </w:rPr>
            </w:pPr>
            <w:r>
              <w:rPr>
                <w:rFonts w:ascii="Courier New" w:cs="Courier New" w:eastAsia="Courier New" w:hAnsi="Courier New"/>
                <w:sz w:val="7"/>
                <w:szCs w:val="7"/>
                <w:color w:val="auto"/>
                <w:w w:val="78"/>
              </w:rPr>
              <w:t>MO(*).......................................</w:t>
            </w:r>
          </w:p>
        </w:tc>
        <w:tc>
          <w:tcPr>
            <w:tcW w:w="4540" w:type="dxa"/>
            <w:vAlign w:val="bottom"/>
          </w:tcPr>
          <w:p>
            <w:pPr>
              <w:jc w:val="center"/>
              <w:ind w:right="1292"/>
              <w:spacing w:after="0" w:line="201" w:lineRule="exact"/>
              <w:rPr>
                <w:sz w:val="20"/>
                <w:szCs w:val="20"/>
                <w:color w:val="auto"/>
              </w:rPr>
            </w:pPr>
            <w:r>
              <w:rPr>
                <w:rFonts w:ascii="Courier New" w:cs="Courier New" w:eastAsia="Courier New" w:hAnsi="Courier New"/>
                <w:sz w:val="18"/>
                <w:szCs w:val="18"/>
                <w:color w:val="auto"/>
                <w:w w:val="96"/>
              </w:rPr>
              <w:t>States: Chesterfield,</w:t>
            </w:r>
          </w:p>
        </w:tc>
        <w:tc>
          <w:tcPr>
            <w:tcW w:w="0" w:type="dxa"/>
            <w:vAlign w:val="bottom"/>
          </w:tcPr>
          <w:p>
            <w:pPr>
              <w:spacing w:after="0"/>
              <w:rPr>
                <w:sz w:val="1"/>
                <w:szCs w:val="1"/>
                <w:color w:val="auto"/>
              </w:rPr>
            </w:pPr>
          </w:p>
        </w:tc>
      </w:tr>
      <w:tr>
        <w:trPr>
          <w:trHeight w:val="203"/>
        </w:trPr>
        <w:tc>
          <w:tcPr>
            <w:tcW w:w="1480" w:type="dxa"/>
            <w:vAlign w:val="bottom"/>
            <w:vMerge w:val="continue"/>
          </w:tcPr>
          <w:p>
            <w:pPr>
              <w:spacing w:after="0"/>
              <w:rPr>
                <w:sz w:val="17"/>
                <w:szCs w:val="17"/>
                <w:color w:val="auto"/>
              </w:rPr>
            </w:pPr>
          </w:p>
        </w:tc>
        <w:tc>
          <w:tcPr>
            <w:tcW w:w="4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180,000 San</w:t>
            </w:r>
          </w:p>
        </w:tc>
        <w:tc>
          <w:tcPr>
            <w:tcW w:w="0" w:type="dxa"/>
            <w:vAlign w:val="bottom"/>
          </w:tcPr>
          <w:p>
            <w:pPr>
              <w:spacing w:after="0"/>
              <w:rPr>
                <w:sz w:val="1"/>
                <w:szCs w:val="1"/>
                <w:color w:val="auto"/>
              </w:rPr>
            </w:pPr>
          </w:p>
        </w:tc>
      </w:tr>
      <w:tr>
        <w:trPr>
          <w:trHeight w:val="381"/>
        </w:trPr>
        <w:tc>
          <w:tcPr>
            <w:tcW w:w="1480" w:type="dxa"/>
            <w:vAlign w:val="bottom"/>
          </w:tcPr>
          <w:p>
            <w:pPr>
              <w:jc w:val="right"/>
              <w:spacing w:after="0"/>
              <w:rPr>
                <w:sz w:val="20"/>
                <w:szCs w:val="20"/>
                <w:color w:val="auto"/>
              </w:rPr>
            </w:pPr>
            <w:r>
              <w:rPr>
                <w:rFonts w:ascii="Courier New" w:cs="Courier New" w:eastAsia="Courier New" w:hAnsi="Courier New"/>
                <w:sz w:val="3"/>
                <w:szCs w:val="3"/>
                <w:color w:val="auto"/>
                <w:w w:val="71"/>
              </w:rPr>
              <w:t>Jose,</w:t>
            </w:r>
            <w:r>
              <w:rPr>
                <w:rFonts w:ascii="Courier New" w:cs="Courier New" w:eastAsia="Courier New" w:hAnsi="Courier New"/>
                <w:sz w:val="6"/>
                <w:szCs w:val="6"/>
                <w:color w:val="auto"/>
                <w:w w:val="71"/>
                <w:vertAlign w:val="subscript"/>
              </w:rPr>
              <w:t>.............................................</w:t>
            </w:r>
            <w:r>
              <w:rPr>
                <w:rFonts w:ascii="Courier New" w:cs="Courier New" w:eastAsia="Courier New" w:hAnsi="Courier New"/>
                <w:sz w:val="3"/>
                <w:szCs w:val="3"/>
                <w:color w:val="auto"/>
                <w:w w:val="71"/>
              </w:rPr>
              <w:t>CA..............................................</w:t>
            </w:r>
          </w:p>
        </w:tc>
        <w:tc>
          <w:tcPr>
            <w:tcW w:w="4540" w:type="dxa"/>
            <w:vAlign w:val="bottom"/>
            <w:vMerge w:val="restart"/>
          </w:tcPr>
          <w:p>
            <w:pPr>
              <w:jc w:val="center"/>
              <w:ind w:right="1292"/>
              <w:spacing w:after="0"/>
              <w:rPr>
                <w:sz w:val="20"/>
                <w:szCs w:val="20"/>
                <w:color w:val="auto"/>
              </w:rPr>
            </w:pPr>
            <w:r>
              <w:rPr>
                <w:rFonts w:ascii="Courier New" w:cs="Courier New" w:eastAsia="Courier New" w:hAnsi="Courier New"/>
                <w:sz w:val="18"/>
                <w:szCs w:val="18"/>
                <w:color w:val="auto"/>
                <w:w w:val="96"/>
              </w:rPr>
              <w:t>129,000 Champaign,</w:t>
            </w:r>
          </w:p>
        </w:tc>
        <w:tc>
          <w:tcPr>
            <w:tcW w:w="0" w:type="dxa"/>
            <w:vAlign w:val="bottom"/>
          </w:tcPr>
          <w:p>
            <w:pPr>
              <w:spacing w:after="0"/>
              <w:rPr>
                <w:sz w:val="1"/>
                <w:szCs w:val="1"/>
                <w:color w:val="auto"/>
              </w:rPr>
            </w:pPr>
          </w:p>
        </w:tc>
      </w:tr>
      <w:tr>
        <w:trPr>
          <w:trHeight w:val="24"/>
        </w:trPr>
        <w:tc>
          <w:tcPr>
            <w:tcW w:w="1480" w:type="dxa"/>
            <w:vAlign w:val="bottom"/>
            <w:vMerge w:val="restart"/>
          </w:tcPr>
          <w:p>
            <w:pPr>
              <w:ind w:left="160"/>
              <w:spacing w:after="0"/>
              <w:rPr>
                <w:sz w:val="20"/>
                <w:szCs w:val="20"/>
                <w:color w:val="auto"/>
              </w:rPr>
            </w:pPr>
            <w:r>
              <w:rPr>
                <w:rFonts w:ascii="Courier New" w:cs="Courier New" w:eastAsia="Courier New" w:hAnsi="Courier New"/>
                <w:sz w:val="18"/>
                <w:szCs w:val="18"/>
                <w:color w:val="auto"/>
              </w:rPr>
              <w:t>IL</w:t>
            </w:r>
          </w:p>
        </w:tc>
        <w:tc>
          <w:tcPr>
            <w:tcW w:w="45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480" w:type="dxa"/>
            <w:vAlign w:val="bottom"/>
            <w:vMerge w:val="continue"/>
          </w:tcPr>
          <w:p>
            <w:pPr>
              <w:spacing w:after="0"/>
              <w:rPr>
                <w:sz w:val="17"/>
                <w:szCs w:val="17"/>
                <w:color w:val="auto"/>
              </w:rPr>
            </w:pPr>
          </w:p>
        </w:tc>
        <w:tc>
          <w:tcPr>
            <w:tcW w:w="4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105,000</w:t>
            </w:r>
          </w:p>
        </w:tc>
        <w:tc>
          <w:tcPr>
            <w:tcW w:w="0" w:type="dxa"/>
            <w:vAlign w:val="bottom"/>
          </w:tcPr>
          <w:p>
            <w:pPr>
              <w:spacing w:after="0"/>
              <w:rPr>
                <w:sz w:val="1"/>
                <w:szCs w:val="1"/>
                <w:color w:val="auto"/>
              </w:rPr>
            </w:pPr>
          </w:p>
        </w:tc>
      </w:tr>
      <w:tr>
        <w:trPr>
          <w:trHeight w:val="381"/>
        </w:trPr>
        <w:tc>
          <w:tcPr>
            <w:tcW w:w="1480" w:type="dxa"/>
            <w:vAlign w:val="bottom"/>
          </w:tcPr>
          <w:p>
            <w:pPr>
              <w:spacing w:after="0"/>
              <w:rPr>
                <w:sz w:val="20"/>
                <w:szCs w:val="20"/>
                <w:color w:val="auto"/>
              </w:rPr>
            </w:pPr>
            <w:r>
              <w:rPr>
                <w:rFonts w:ascii="Courier New" w:cs="Courier New" w:eastAsia="Courier New" w:hAnsi="Courier New"/>
                <w:sz w:val="1"/>
                <w:szCs w:val="1"/>
                <w:color w:val="auto"/>
                <w:w w:val="64"/>
                <w:vertAlign w:val="superscript"/>
              </w:rPr>
              <w:t>Others(*)</w:t>
            </w:r>
            <w:r>
              <w:rPr>
                <w:rFonts w:ascii="Courier New" w:cs="Courier New" w:eastAsia="Courier New" w:hAnsi="Courier New"/>
                <w:sz w:val="1"/>
                <w:szCs w:val="1"/>
                <w:color w:val="auto"/>
                <w:w w:val="64"/>
                <w:vertAlign w:val="subscript"/>
              </w:rPr>
              <w:t>.................................</w:t>
            </w:r>
            <w:r>
              <w:rPr>
                <w:rFonts w:ascii="Courier New" w:cs="Courier New" w:eastAsia="Courier New" w:hAnsi="Courier New"/>
                <w:sz w:val="1"/>
                <w:szCs w:val="1"/>
                <w:color w:val="auto"/>
                <w:w w:val="64"/>
              </w:rPr>
              <w:t>....................................................</w:t>
            </w:r>
            <w:r>
              <w:rPr>
                <w:rFonts w:ascii="Courier New" w:cs="Courier New" w:eastAsia="Courier New" w:hAnsi="Courier New"/>
                <w:sz w:val="1"/>
                <w:szCs w:val="1"/>
                <w:color w:val="auto"/>
                <w:w w:val="64"/>
                <w:vertAlign w:val="subscript"/>
              </w:rPr>
              <w:t>....................................................</w:t>
            </w:r>
            <w:r>
              <w:rPr>
                <w:rFonts w:ascii="Courier New" w:cs="Courier New" w:eastAsia="Courier New" w:hAnsi="Courier New"/>
                <w:sz w:val="1"/>
                <w:szCs w:val="1"/>
                <w:color w:val="auto"/>
                <w:w w:val="64"/>
                <w:vertAlign w:val="superscript"/>
              </w:rPr>
              <w:t>..................................................</w:t>
            </w:r>
            <w:r>
              <w:rPr>
                <w:rFonts w:ascii="Courier New" w:cs="Courier New" w:eastAsia="Courier New" w:hAnsi="Courier New"/>
                <w:sz w:val="1"/>
                <w:szCs w:val="1"/>
                <w:color w:val="auto"/>
                <w:w w:val="64"/>
                <w:vertAlign w:val="subscript"/>
              </w:rPr>
              <w:t>....................................................................................................</w:t>
            </w:r>
            <w:r>
              <w:rPr>
                <w:rFonts w:ascii="Courier New" w:cs="Courier New" w:eastAsia="Courier New" w:hAnsi="Courier New"/>
                <w:sz w:val="1"/>
                <w:szCs w:val="1"/>
                <w:color w:val="auto"/>
                <w:w w:val="64"/>
                <w:vertAlign w:val="superscript"/>
              </w:rPr>
              <w:t>...................................................................................................................................................................................................</w:t>
            </w:r>
            <w:r>
              <w:rPr>
                <w:rFonts w:ascii="Courier New" w:cs="Courier New" w:eastAsia="Courier New" w:hAnsi="Courier New"/>
                <w:sz w:val="1"/>
                <w:szCs w:val="1"/>
                <w:color w:val="auto"/>
                <w:w w:val="64"/>
                <w:vertAlign w:val="subscript"/>
              </w:rPr>
              <w:t>................................................</w:t>
            </w:r>
          </w:p>
        </w:tc>
        <w:tc>
          <w:tcPr>
            <w:tcW w:w="4540" w:type="dxa"/>
            <w:vAlign w:val="bottom"/>
            <w:vMerge w:val="restart"/>
          </w:tcPr>
          <w:p>
            <w:pPr>
              <w:jc w:val="center"/>
              <w:ind w:right="1272"/>
              <w:spacing w:after="0"/>
              <w:rPr>
                <w:sz w:val="20"/>
                <w:szCs w:val="20"/>
                <w:color w:val="auto"/>
              </w:rPr>
            </w:pPr>
            <w:r>
              <w:rPr>
                <w:rFonts w:ascii="Courier New" w:cs="Courier New" w:eastAsia="Courier New" w:hAnsi="Courier New"/>
                <w:sz w:val="18"/>
                <w:szCs w:val="18"/>
                <w:color w:val="auto"/>
                <w:w w:val="97"/>
              </w:rPr>
              <w:t>163,000 -------</w:t>
            </w:r>
          </w:p>
        </w:tc>
        <w:tc>
          <w:tcPr>
            <w:tcW w:w="0" w:type="dxa"/>
            <w:vAlign w:val="bottom"/>
          </w:tcPr>
          <w:p>
            <w:pPr>
              <w:spacing w:after="0"/>
              <w:rPr>
                <w:sz w:val="1"/>
                <w:szCs w:val="1"/>
                <w:color w:val="auto"/>
              </w:rPr>
            </w:pPr>
          </w:p>
        </w:tc>
      </w:tr>
      <w:tr>
        <w:trPr>
          <w:trHeight w:val="118"/>
        </w:trPr>
        <w:tc>
          <w:tcPr>
            <w:tcW w:w="1480" w:type="dxa"/>
            <w:vAlign w:val="bottom"/>
            <w:vMerge w:val="restart"/>
          </w:tcPr>
          <w:p>
            <w:pPr>
              <w:ind w:left="160"/>
              <w:spacing w:after="0"/>
              <w:rPr>
                <w:sz w:val="20"/>
                <w:szCs w:val="20"/>
                <w:color w:val="auto"/>
              </w:rPr>
            </w:pPr>
            <w:r>
              <w:rPr>
                <w:rFonts w:ascii="Courier New" w:cs="Courier New" w:eastAsia="Courier New" w:hAnsi="Courier New"/>
                <w:sz w:val="18"/>
                <w:szCs w:val="18"/>
                <w:color w:val="auto"/>
              </w:rPr>
              <w:t>Total</w:t>
            </w:r>
          </w:p>
        </w:tc>
        <w:tc>
          <w:tcPr>
            <w:tcW w:w="4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1480" w:type="dxa"/>
            <w:vAlign w:val="bottom"/>
            <w:vMerge w:val="continue"/>
          </w:tcPr>
          <w:p>
            <w:pPr>
              <w:spacing w:after="0"/>
              <w:rPr>
                <w:sz w:val="17"/>
                <w:szCs w:val="17"/>
                <w:color w:val="auto"/>
              </w:rPr>
            </w:pPr>
          </w:p>
        </w:tc>
        <w:tc>
          <w:tcPr>
            <w:tcW w:w="4540" w:type="dxa"/>
            <w:vAlign w:val="bottom"/>
            <w:vMerge w:val="restart"/>
          </w:tcPr>
          <w:p>
            <w:pPr>
              <w:jc w:val="center"/>
              <w:ind w:right="1272"/>
              <w:spacing w:after="0"/>
              <w:rPr>
                <w:sz w:val="20"/>
                <w:szCs w:val="20"/>
                <w:color w:val="auto"/>
              </w:rPr>
            </w:pPr>
            <w:r>
              <w:rPr>
                <w:rFonts w:ascii="Courier New" w:cs="Courier New" w:eastAsia="Courier New" w:hAnsi="Courier New"/>
                <w:sz w:val="18"/>
                <w:szCs w:val="18"/>
                <w:color w:val="auto"/>
                <w:w w:val="97"/>
              </w:rPr>
              <w:t>577,000 Israel:</w:t>
            </w:r>
          </w:p>
        </w:tc>
        <w:tc>
          <w:tcPr>
            <w:tcW w:w="0" w:type="dxa"/>
            <w:vAlign w:val="bottom"/>
          </w:tcPr>
          <w:p>
            <w:pPr>
              <w:spacing w:after="0"/>
              <w:rPr>
                <w:sz w:val="1"/>
                <w:szCs w:val="1"/>
                <w:color w:val="auto"/>
              </w:rPr>
            </w:pPr>
          </w:p>
        </w:tc>
      </w:tr>
      <w:tr>
        <w:trPr>
          <w:trHeight w:val="203"/>
        </w:trPr>
        <w:tc>
          <w:tcPr>
            <w:tcW w:w="1480" w:type="dxa"/>
            <w:vAlign w:val="bottom"/>
            <w:vMerge w:val="restart"/>
          </w:tcPr>
          <w:p>
            <w:pPr>
              <w:spacing w:after="0"/>
              <w:rPr>
                <w:sz w:val="20"/>
                <w:szCs w:val="20"/>
                <w:color w:val="auto"/>
              </w:rPr>
            </w:pPr>
            <w:r>
              <w:rPr>
                <w:rFonts w:ascii="Courier New" w:cs="Courier New" w:eastAsia="Courier New" w:hAnsi="Courier New"/>
                <w:sz w:val="18"/>
                <w:szCs w:val="18"/>
                <w:color w:val="auto"/>
              </w:rPr>
              <w:t>Ra'anana</w:t>
            </w:r>
          </w:p>
        </w:tc>
        <w:tc>
          <w:tcPr>
            <w:tcW w:w="4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vMerge w:val="continue"/>
          </w:tcPr>
          <w:p>
            <w:pPr>
              <w:spacing w:after="0"/>
              <w:rPr>
                <w:sz w:val="17"/>
                <w:szCs w:val="17"/>
                <w:color w:val="auto"/>
              </w:rPr>
            </w:pPr>
          </w:p>
        </w:tc>
        <w:tc>
          <w:tcPr>
            <w:tcW w:w="4540" w:type="dxa"/>
            <w:vAlign w:val="bottom"/>
            <w:vMerge w:val="restart"/>
          </w:tcPr>
          <w:p>
            <w:pPr>
              <w:jc w:val="center"/>
              <w:ind w:right="1292"/>
              <w:spacing w:after="0"/>
              <w:rPr>
                <w:sz w:val="20"/>
                <w:szCs w:val="20"/>
                <w:color w:val="auto"/>
              </w:rPr>
            </w:pPr>
            <w:r>
              <w:rPr>
                <w:rFonts w:ascii="Courier New" w:cs="Courier New" w:eastAsia="Courier New" w:hAnsi="Courier New"/>
                <w:sz w:val="18"/>
                <w:szCs w:val="18"/>
                <w:color w:val="auto"/>
                <w:w w:val="98"/>
              </w:rPr>
              <w:t>512,000 Hod-</w:t>
            </w:r>
          </w:p>
        </w:tc>
        <w:tc>
          <w:tcPr>
            <w:tcW w:w="0" w:type="dxa"/>
            <w:vAlign w:val="bottom"/>
          </w:tcPr>
          <w:p>
            <w:pPr>
              <w:spacing w:after="0"/>
              <w:rPr>
                <w:sz w:val="1"/>
                <w:szCs w:val="1"/>
                <w:color w:val="auto"/>
              </w:rPr>
            </w:pPr>
          </w:p>
        </w:tc>
      </w:tr>
      <w:tr>
        <w:trPr>
          <w:trHeight w:val="203"/>
        </w:trPr>
        <w:tc>
          <w:tcPr>
            <w:tcW w:w="1480" w:type="dxa"/>
            <w:vAlign w:val="bottom"/>
            <w:vMerge w:val="restart"/>
          </w:tcPr>
          <w:p>
            <w:pPr>
              <w:ind w:left="220"/>
              <w:spacing w:after="0"/>
              <w:rPr>
                <w:sz w:val="20"/>
                <w:szCs w:val="20"/>
                <w:color w:val="auto"/>
              </w:rPr>
            </w:pPr>
            <w:r>
              <w:rPr>
                <w:rFonts w:ascii="Courier New" w:cs="Courier New" w:eastAsia="Courier New" w:hAnsi="Courier New"/>
                <w:sz w:val="18"/>
                <w:szCs w:val="18"/>
                <w:color w:val="auto"/>
              </w:rPr>
              <w:t>Hasharon</w:t>
            </w:r>
          </w:p>
        </w:tc>
        <w:tc>
          <w:tcPr>
            <w:tcW w:w="4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vMerge w:val="continue"/>
          </w:tcPr>
          <w:p>
            <w:pPr>
              <w:spacing w:after="0"/>
              <w:rPr>
                <w:sz w:val="17"/>
                <w:szCs w:val="17"/>
                <w:color w:val="auto"/>
              </w:rPr>
            </w:pPr>
          </w:p>
        </w:tc>
        <w:tc>
          <w:tcPr>
            <w:tcW w:w="4540" w:type="dxa"/>
            <w:vAlign w:val="bottom"/>
            <w:vMerge w:val="restart"/>
          </w:tcPr>
          <w:p>
            <w:pPr>
              <w:jc w:val="center"/>
              <w:ind w:right="1292"/>
              <w:spacing w:after="0"/>
              <w:rPr>
                <w:sz w:val="20"/>
                <w:szCs w:val="20"/>
                <w:color w:val="auto"/>
              </w:rPr>
            </w:pPr>
            <w:r>
              <w:rPr>
                <w:rFonts w:ascii="Courier New" w:cs="Courier New" w:eastAsia="Courier New" w:hAnsi="Courier New"/>
                <w:sz w:val="18"/>
                <w:szCs w:val="18"/>
                <w:color w:val="auto"/>
                <w:w w:val="95"/>
              </w:rPr>
              <w:t>201,000</w:t>
            </w:r>
          </w:p>
        </w:tc>
        <w:tc>
          <w:tcPr>
            <w:tcW w:w="0" w:type="dxa"/>
            <w:vAlign w:val="bottom"/>
          </w:tcPr>
          <w:p>
            <w:pPr>
              <w:spacing w:after="0"/>
              <w:rPr>
                <w:sz w:val="1"/>
                <w:szCs w:val="1"/>
                <w:color w:val="auto"/>
              </w:rPr>
            </w:pPr>
          </w:p>
        </w:tc>
      </w:tr>
      <w:tr>
        <w:trPr>
          <w:trHeight w:val="203"/>
        </w:trPr>
        <w:tc>
          <w:tcPr>
            <w:tcW w:w="1480" w:type="dxa"/>
            <w:vAlign w:val="bottom"/>
            <w:vMerge w:val="restart"/>
          </w:tcPr>
          <w:p>
            <w:pPr>
              <w:spacing w:after="0"/>
              <w:rPr>
                <w:sz w:val="20"/>
                <w:szCs w:val="20"/>
                <w:color w:val="auto"/>
              </w:rPr>
            </w:pPr>
            <w:r>
              <w:rPr>
                <w:rFonts w:ascii="Courier New" w:cs="Courier New" w:eastAsia="Courier New" w:hAnsi="Courier New"/>
                <w:sz w:val="18"/>
                <w:szCs w:val="18"/>
                <w:color w:val="auto"/>
              </w:rPr>
              <w:t>Haifa(*)</w:t>
            </w:r>
          </w:p>
        </w:tc>
        <w:tc>
          <w:tcPr>
            <w:tcW w:w="4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vMerge w:val="continue"/>
          </w:tcPr>
          <w:p>
            <w:pPr>
              <w:spacing w:after="0"/>
              <w:rPr>
                <w:sz w:val="17"/>
                <w:szCs w:val="17"/>
                <w:color w:val="auto"/>
              </w:rPr>
            </w:pPr>
          </w:p>
        </w:tc>
        <w:tc>
          <w:tcPr>
            <w:tcW w:w="4540" w:type="dxa"/>
            <w:vAlign w:val="bottom"/>
            <w:vMerge w:val="restart"/>
          </w:tcPr>
          <w:p>
            <w:pPr>
              <w:jc w:val="center"/>
              <w:ind w:right="1292"/>
              <w:spacing w:after="0"/>
              <w:rPr>
                <w:sz w:val="20"/>
                <w:szCs w:val="20"/>
                <w:color w:val="auto"/>
              </w:rPr>
            </w:pPr>
            <w:r>
              <w:rPr>
                <w:rFonts w:ascii="Courier New" w:cs="Courier New" w:eastAsia="Courier New" w:hAnsi="Courier New"/>
                <w:sz w:val="18"/>
                <w:szCs w:val="18"/>
                <w:color w:val="auto"/>
                <w:w w:val="95"/>
              </w:rPr>
              <w:t>121,000</w:t>
            </w:r>
          </w:p>
        </w:tc>
        <w:tc>
          <w:tcPr>
            <w:tcW w:w="0" w:type="dxa"/>
            <w:vAlign w:val="bottom"/>
          </w:tcPr>
          <w:p>
            <w:pPr>
              <w:spacing w:after="0"/>
              <w:rPr>
                <w:sz w:val="1"/>
                <w:szCs w:val="1"/>
                <w:color w:val="auto"/>
              </w:rPr>
            </w:pPr>
          </w:p>
        </w:tc>
      </w:tr>
      <w:tr>
        <w:trPr>
          <w:trHeight w:val="203"/>
        </w:trPr>
        <w:tc>
          <w:tcPr>
            <w:tcW w:w="1480" w:type="dxa"/>
            <w:vAlign w:val="bottom"/>
            <w:vMerge w:val="restart"/>
          </w:tcPr>
          <w:p>
            <w:pPr>
              <w:spacing w:after="0"/>
              <w:rPr>
                <w:sz w:val="20"/>
                <w:szCs w:val="20"/>
                <w:color w:val="auto"/>
              </w:rPr>
            </w:pPr>
            <w:r>
              <w:rPr>
                <w:rFonts w:ascii="Courier New" w:cs="Courier New" w:eastAsia="Courier New" w:hAnsi="Courier New"/>
                <w:sz w:val="18"/>
                <w:szCs w:val="18"/>
                <w:color w:val="auto"/>
              </w:rPr>
              <w:t>Others</w:t>
            </w:r>
          </w:p>
        </w:tc>
        <w:tc>
          <w:tcPr>
            <w:tcW w:w="4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vMerge w:val="continue"/>
          </w:tcPr>
          <w:p>
            <w:pPr>
              <w:spacing w:after="0"/>
              <w:rPr>
                <w:sz w:val="17"/>
                <w:szCs w:val="17"/>
                <w:color w:val="auto"/>
              </w:rPr>
            </w:pPr>
          </w:p>
        </w:tc>
        <w:tc>
          <w:tcPr>
            <w:tcW w:w="4540" w:type="dxa"/>
            <w:vAlign w:val="bottom"/>
            <w:vMerge w:val="restart"/>
          </w:tcPr>
          <w:p>
            <w:pPr>
              <w:jc w:val="center"/>
              <w:ind w:right="1292"/>
              <w:spacing w:after="0"/>
              <w:rPr>
                <w:sz w:val="20"/>
                <w:szCs w:val="20"/>
                <w:color w:val="auto"/>
              </w:rPr>
            </w:pPr>
            <w:r>
              <w:rPr>
                <w:rFonts w:ascii="Courier New" w:cs="Courier New" w:eastAsia="Courier New" w:hAnsi="Courier New"/>
                <w:sz w:val="18"/>
                <w:szCs w:val="18"/>
                <w:color w:val="auto"/>
                <w:w w:val="97"/>
              </w:rPr>
              <w:t>72,000 -------</w:t>
            </w:r>
          </w:p>
        </w:tc>
        <w:tc>
          <w:tcPr>
            <w:tcW w:w="0" w:type="dxa"/>
            <w:vAlign w:val="bottom"/>
          </w:tcPr>
          <w:p>
            <w:pPr>
              <w:spacing w:after="0"/>
              <w:rPr>
                <w:sz w:val="1"/>
                <w:szCs w:val="1"/>
                <w:color w:val="auto"/>
              </w:rPr>
            </w:pPr>
          </w:p>
        </w:tc>
      </w:tr>
      <w:tr>
        <w:trPr>
          <w:trHeight w:val="203"/>
        </w:trPr>
        <w:tc>
          <w:tcPr>
            <w:tcW w:w="1480" w:type="dxa"/>
            <w:vAlign w:val="bottom"/>
            <w:vMerge w:val="restart"/>
          </w:tcPr>
          <w:p>
            <w:pPr>
              <w:ind w:left="160"/>
              <w:spacing w:after="0"/>
              <w:rPr>
                <w:sz w:val="20"/>
                <w:szCs w:val="20"/>
                <w:color w:val="auto"/>
              </w:rPr>
            </w:pPr>
            <w:r>
              <w:rPr>
                <w:rFonts w:ascii="Courier New" w:cs="Courier New" w:eastAsia="Courier New" w:hAnsi="Courier New"/>
                <w:sz w:val="18"/>
                <w:szCs w:val="18"/>
                <w:color w:val="auto"/>
              </w:rPr>
              <w:t>Total</w:t>
            </w:r>
          </w:p>
        </w:tc>
        <w:tc>
          <w:tcPr>
            <w:tcW w:w="4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vMerge w:val="continue"/>
          </w:tcPr>
          <w:p>
            <w:pPr>
              <w:spacing w:after="0"/>
              <w:rPr>
                <w:sz w:val="17"/>
                <w:szCs w:val="17"/>
                <w:color w:val="auto"/>
              </w:rPr>
            </w:pPr>
          </w:p>
        </w:tc>
        <w:tc>
          <w:tcPr>
            <w:tcW w:w="4540" w:type="dxa"/>
            <w:vAlign w:val="bottom"/>
            <w:vMerge w:val="restart"/>
          </w:tcPr>
          <w:p>
            <w:pPr>
              <w:jc w:val="center"/>
              <w:ind w:right="1272"/>
              <w:spacing w:after="0"/>
              <w:rPr>
                <w:sz w:val="20"/>
                <w:szCs w:val="20"/>
                <w:color w:val="auto"/>
              </w:rPr>
            </w:pPr>
            <w:r>
              <w:rPr>
                <w:rFonts w:ascii="Courier New" w:cs="Courier New" w:eastAsia="Courier New" w:hAnsi="Courier New"/>
                <w:sz w:val="18"/>
                <w:szCs w:val="18"/>
                <w:color w:val="auto"/>
                <w:w w:val="97"/>
              </w:rPr>
              <w:t>906,000 Canada:</w:t>
            </w:r>
          </w:p>
        </w:tc>
        <w:tc>
          <w:tcPr>
            <w:tcW w:w="0" w:type="dxa"/>
            <w:vAlign w:val="bottom"/>
          </w:tcPr>
          <w:p>
            <w:pPr>
              <w:spacing w:after="0"/>
              <w:rPr>
                <w:sz w:val="1"/>
                <w:szCs w:val="1"/>
                <w:color w:val="auto"/>
              </w:rPr>
            </w:pPr>
          </w:p>
        </w:tc>
      </w:tr>
      <w:tr>
        <w:trPr>
          <w:trHeight w:val="203"/>
        </w:trPr>
        <w:tc>
          <w:tcPr>
            <w:tcW w:w="1480" w:type="dxa"/>
            <w:vAlign w:val="bottom"/>
            <w:vMerge w:val="restart"/>
          </w:tcPr>
          <w:p>
            <w:pPr>
              <w:spacing w:after="0"/>
              <w:rPr>
                <w:sz w:val="20"/>
                <w:szCs w:val="20"/>
                <w:color w:val="auto"/>
              </w:rPr>
            </w:pPr>
            <w:r>
              <w:rPr>
                <w:rFonts w:ascii="Courier New" w:cs="Courier New" w:eastAsia="Courier New" w:hAnsi="Courier New"/>
                <w:sz w:val="18"/>
                <w:szCs w:val="18"/>
                <w:color w:val="auto"/>
              </w:rPr>
              <w:t>Toronto(*)</w:t>
            </w:r>
          </w:p>
        </w:tc>
        <w:tc>
          <w:tcPr>
            <w:tcW w:w="4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vMerge w:val="continue"/>
          </w:tcPr>
          <w:p>
            <w:pPr>
              <w:spacing w:after="0"/>
              <w:rPr>
                <w:sz w:val="17"/>
                <w:szCs w:val="17"/>
                <w:color w:val="auto"/>
              </w:rPr>
            </w:pPr>
          </w:p>
        </w:tc>
        <w:tc>
          <w:tcPr>
            <w:tcW w:w="4540" w:type="dxa"/>
            <w:vAlign w:val="bottom"/>
            <w:vMerge w:val="restart"/>
          </w:tcPr>
          <w:p>
            <w:pPr>
              <w:jc w:val="center"/>
              <w:ind w:right="1292"/>
              <w:spacing w:after="0"/>
              <w:rPr>
                <w:sz w:val="20"/>
                <w:szCs w:val="20"/>
                <w:color w:val="auto"/>
              </w:rPr>
            </w:pPr>
            <w:r>
              <w:rPr>
                <w:rFonts w:ascii="Courier New" w:cs="Courier New" w:eastAsia="Courier New" w:hAnsi="Courier New"/>
                <w:sz w:val="18"/>
                <w:szCs w:val="18"/>
                <w:color w:val="auto"/>
                <w:w w:val="95"/>
              </w:rPr>
              <w:t>334,000</w:t>
            </w:r>
          </w:p>
        </w:tc>
        <w:tc>
          <w:tcPr>
            <w:tcW w:w="0" w:type="dxa"/>
            <w:vAlign w:val="bottom"/>
          </w:tcPr>
          <w:p>
            <w:pPr>
              <w:spacing w:after="0"/>
              <w:rPr>
                <w:sz w:val="1"/>
                <w:szCs w:val="1"/>
                <w:color w:val="auto"/>
              </w:rPr>
            </w:pPr>
          </w:p>
        </w:tc>
      </w:tr>
      <w:tr>
        <w:trPr>
          <w:trHeight w:val="203"/>
        </w:trPr>
        <w:tc>
          <w:tcPr>
            <w:tcW w:w="1480" w:type="dxa"/>
            <w:vAlign w:val="bottom"/>
            <w:vMerge w:val="restart"/>
          </w:tcPr>
          <w:p>
            <w:pPr>
              <w:spacing w:after="0"/>
              <w:rPr>
                <w:sz w:val="20"/>
                <w:szCs w:val="20"/>
                <w:color w:val="auto"/>
              </w:rPr>
            </w:pPr>
            <w:r>
              <w:rPr>
                <w:rFonts w:ascii="Courier New" w:cs="Courier New" w:eastAsia="Courier New" w:hAnsi="Courier New"/>
                <w:sz w:val="18"/>
                <w:szCs w:val="18"/>
                <w:color w:val="auto"/>
              </w:rPr>
              <w:t>Others</w:t>
            </w:r>
          </w:p>
        </w:tc>
        <w:tc>
          <w:tcPr>
            <w:tcW w:w="4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vMerge w:val="continue"/>
          </w:tcPr>
          <w:p>
            <w:pPr>
              <w:spacing w:after="0"/>
              <w:rPr>
                <w:sz w:val="17"/>
                <w:szCs w:val="17"/>
                <w:color w:val="auto"/>
              </w:rPr>
            </w:pPr>
          </w:p>
        </w:tc>
        <w:tc>
          <w:tcPr>
            <w:tcW w:w="4540" w:type="dxa"/>
            <w:vAlign w:val="bottom"/>
            <w:vMerge w:val="restart"/>
          </w:tcPr>
          <w:p>
            <w:pPr>
              <w:jc w:val="center"/>
              <w:ind w:right="1272"/>
              <w:spacing w:after="0"/>
              <w:rPr>
                <w:sz w:val="20"/>
                <w:szCs w:val="20"/>
                <w:color w:val="auto"/>
              </w:rPr>
            </w:pPr>
            <w:r>
              <w:rPr>
                <w:rFonts w:ascii="Courier New" w:cs="Courier New" w:eastAsia="Courier New" w:hAnsi="Courier New"/>
                <w:sz w:val="18"/>
                <w:szCs w:val="18"/>
                <w:color w:val="auto"/>
                <w:w w:val="97"/>
              </w:rPr>
              <w:t>168,000 -------</w:t>
            </w:r>
          </w:p>
        </w:tc>
        <w:tc>
          <w:tcPr>
            <w:tcW w:w="0" w:type="dxa"/>
            <w:vAlign w:val="bottom"/>
          </w:tcPr>
          <w:p>
            <w:pPr>
              <w:spacing w:after="0"/>
              <w:rPr>
                <w:sz w:val="1"/>
                <w:szCs w:val="1"/>
                <w:color w:val="auto"/>
              </w:rPr>
            </w:pPr>
          </w:p>
        </w:tc>
      </w:tr>
      <w:tr>
        <w:trPr>
          <w:trHeight w:val="203"/>
        </w:trPr>
        <w:tc>
          <w:tcPr>
            <w:tcW w:w="1480" w:type="dxa"/>
            <w:vAlign w:val="bottom"/>
            <w:vMerge w:val="restart"/>
          </w:tcPr>
          <w:p>
            <w:pPr>
              <w:ind w:left="160"/>
              <w:spacing w:after="0"/>
              <w:rPr>
                <w:sz w:val="20"/>
                <w:szCs w:val="20"/>
                <w:color w:val="auto"/>
              </w:rPr>
            </w:pPr>
            <w:r>
              <w:rPr>
                <w:rFonts w:ascii="Courier New" w:cs="Courier New" w:eastAsia="Courier New" w:hAnsi="Courier New"/>
                <w:sz w:val="18"/>
                <w:szCs w:val="18"/>
                <w:color w:val="auto"/>
              </w:rPr>
              <w:t>Total</w:t>
            </w:r>
          </w:p>
        </w:tc>
        <w:tc>
          <w:tcPr>
            <w:tcW w:w="4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vMerge w:val="continue"/>
          </w:tcPr>
          <w:p>
            <w:pPr>
              <w:spacing w:after="0"/>
              <w:rPr>
                <w:sz w:val="17"/>
                <w:szCs w:val="17"/>
                <w:color w:val="auto"/>
              </w:rPr>
            </w:pPr>
          </w:p>
        </w:tc>
        <w:tc>
          <w:tcPr>
            <w:tcW w:w="4540" w:type="dxa"/>
            <w:vAlign w:val="bottom"/>
            <w:vMerge w:val="restart"/>
          </w:tcPr>
          <w:p>
            <w:pPr>
              <w:jc w:val="center"/>
              <w:ind w:right="1292"/>
              <w:spacing w:after="0"/>
              <w:rPr>
                <w:sz w:val="20"/>
                <w:szCs w:val="20"/>
                <w:color w:val="auto"/>
              </w:rPr>
            </w:pPr>
            <w:r>
              <w:rPr>
                <w:rFonts w:ascii="Courier New" w:cs="Courier New" w:eastAsia="Courier New" w:hAnsi="Courier New"/>
                <w:sz w:val="18"/>
                <w:szCs w:val="18"/>
                <w:color w:val="auto"/>
                <w:w w:val="97"/>
              </w:rPr>
              <w:t>502,000 Cyprus</w:t>
            </w:r>
          </w:p>
        </w:tc>
        <w:tc>
          <w:tcPr>
            <w:tcW w:w="0" w:type="dxa"/>
            <w:vAlign w:val="bottom"/>
          </w:tcPr>
          <w:p>
            <w:pPr>
              <w:spacing w:after="0"/>
              <w:rPr>
                <w:sz w:val="1"/>
                <w:szCs w:val="1"/>
                <w:color w:val="auto"/>
              </w:rPr>
            </w:pPr>
          </w:p>
        </w:tc>
      </w:tr>
      <w:tr>
        <w:trPr>
          <w:trHeight w:val="203"/>
        </w:trPr>
        <w:tc>
          <w:tcPr>
            <w:tcW w:w="148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(Limassol)</w:t>
            </w:r>
          </w:p>
        </w:tc>
        <w:tc>
          <w:tcPr>
            <w:tcW w:w="4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vMerge w:val="continue"/>
          </w:tcPr>
          <w:p>
            <w:pPr>
              <w:ind w:left="1320"/>
              <w:spacing w:after="0"/>
              <w:rPr>
                <w:sz w:val="20"/>
                <w:szCs w:val="20"/>
                <w:color w:val="auto"/>
              </w:rPr>
            </w:pPr>
            <w:r>
              <w:rPr>
                <w:rFonts w:ascii="Courier New" w:cs="Courier New" w:eastAsia="Courier New" w:hAnsi="Courier New"/>
                <w:sz w:val="1"/>
                <w:szCs w:val="1"/>
                <w:color w:val="auto"/>
                <w:w w:val="54"/>
              </w:rPr>
              <w:t>...........................................</w:t>
            </w:r>
          </w:p>
        </w:tc>
        <w:tc>
          <w:tcPr>
            <w:tcW w:w="4540" w:type="dxa"/>
            <w:vAlign w:val="bottom"/>
            <w:vMerge w:val="restart"/>
          </w:tcPr>
          <w:p>
            <w:pPr>
              <w:jc w:val="center"/>
              <w:ind w:right="1292"/>
              <w:spacing w:after="0"/>
              <w:rPr>
                <w:sz w:val="20"/>
                <w:szCs w:val="20"/>
                <w:color w:val="auto"/>
              </w:rPr>
            </w:pPr>
            <w:r>
              <w:rPr>
                <w:rFonts w:ascii="Courier New" w:cs="Courier New" w:eastAsia="Courier New" w:hAnsi="Courier New"/>
                <w:sz w:val="18"/>
                <w:szCs w:val="18"/>
                <w:color w:val="auto"/>
                <w:w w:val="97"/>
              </w:rPr>
              <w:t>96,000 United Kingdom (London)</w:t>
            </w:r>
          </w:p>
        </w:tc>
        <w:tc>
          <w:tcPr>
            <w:tcW w:w="0" w:type="dxa"/>
            <w:vAlign w:val="bottom"/>
          </w:tcPr>
          <w:p>
            <w:pPr>
              <w:spacing w:after="0"/>
              <w:rPr>
                <w:sz w:val="1"/>
                <w:szCs w:val="1"/>
                <w:color w:val="auto"/>
              </w:rPr>
            </w:pPr>
          </w:p>
        </w:tc>
      </w:tr>
      <w:tr>
        <w:trPr>
          <w:trHeight w:val="109"/>
        </w:trPr>
        <w:tc>
          <w:tcPr>
            <w:tcW w:w="1480" w:type="dxa"/>
            <w:vAlign w:val="bottom"/>
            <w:vMerge w:val="restart"/>
          </w:tcPr>
          <w:p>
            <w:pPr>
              <w:ind w:left="160"/>
              <w:spacing w:after="0"/>
              <w:rPr>
                <w:sz w:val="20"/>
                <w:szCs w:val="20"/>
                <w:color w:val="auto"/>
              </w:rPr>
            </w:pPr>
            <w:r>
              <w:rPr>
                <w:rFonts w:ascii="Courier New" w:cs="Courier New" w:eastAsia="Courier New" w:hAnsi="Courier New"/>
                <w:sz w:val="18"/>
                <w:szCs w:val="18"/>
                <w:color w:val="auto"/>
              </w:rPr>
              <w:t>(*)</w:t>
            </w:r>
          </w:p>
        </w:tc>
        <w:tc>
          <w:tcPr>
            <w:tcW w:w="45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1480" w:type="dxa"/>
            <w:vAlign w:val="bottom"/>
            <w:vMerge w:val="continue"/>
          </w:tcPr>
          <w:p>
            <w:pPr>
              <w:spacing w:after="0"/>
              <w:rPr>
                <w:sz w:val="17"/>
                <w:szCs w:val="17"/>
                <w:color w:val="auto"/>
              </w:rPr>
            </w:pPr>
          </w:p>
        </w:tc>
        <w:tc>
          <w:tcPr>
            <w:tcW w:w="4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59,000 Rest of the</w:t>
            </w:r>
          </w:p>
        </w:tc>
        <w:tc>
          <w:tcPr>
            <w:tcW w:w="0" w:type="dxa"/>
            <w:vAlign w:val="bottom"/>
          </w:tcPr>
          <w:p>
            <w:pPr>
              <w:spacing w:after="0"/>
              <w:rPr>
                <w:sz w:val="1"/>
                <w:szCs w:val="1"/>
                <w:color w:val="auto"/>
              </w:rPr>
            </w:pPr>
          </w:p>
        </w:tc>
      </w:tr>
      <w:tr>
        <w:trPr>
          <w:trHeight w:val="296"/>
        </w:trPr>
        <w:tc>
          <w:tcPr>
            <w:tcW w:w="1480" w:type="dxa"/>
            <w:vAlign w:val="bottom"/>
          </w:tcPr>
          <w:p>
            <w:pPr>
              <w:jc w:val="right"/>
              <w:spacing w:after="0"/>
              <w:rPr>
                <w:sz w:val="20"/>
                <w:szCs w:val="20"/>
                <w:color w:val="auto"/>
              </w:rPr>
            </w:pPr>
            <w:r>
              <w:rPr>
                <w:rFonts w:ascii="Courier New" w:cs="Courier New" w:eastAsia="Courier New" w:hAnsi="Courier New"/>
                <w:sz w:val="7"/>
                <w:szCs w:val="7"/>
                <w:color w:val="auto"/>
                <w:w w:val="72"/>
              </w:rPr>
              <w:t>world (**)......................................</w:t>
            </w:r>
          </w:p>
        </w:tc>
        <w:tc>
          <w:tcPr>
            <w:tcW w:w="4540" w:type="dxa"/>
            <w:vAlign w:val="bottom"/>
          </w:tcPr>
          <w:p>
            <w:pPr>
              <w:jc w:val="right"/>
              <w:spacing w:after="0"/>
              <w:rPr>
                <w:sz w:val="20"/>
                <w:szCs w:val="20"/>
                <w:color w:val="auto"/>
              </w:rPr>
            </w:pPr>
            <w:r>
              <w:rPr>
                <w:rFonts w:ascii="Courier New" w:cs="Courier New" w:eastAsia="Courier New" w:hAnsi="Courier New"/>
                <w:sz w:val="18"/>
                <w:szCs w:val="18"/>
                <w:color w:val="auto"/>
              </w:rPr>
              <w:t>126,000</w:t>
            </w:r>
          </w:p>
        </w:tc>
        <w:tc>
          <w:tcPr>
            <w:tcW w:w="0" w:type="dxa"/>
            <w:vAlign w:val="bottom"/>
          </w:tcPr>
          <w:p>
            <w:pPr>
              <w:spacing w:after="0"/>
              <w:rPr>
                <w:sz w:val="1"/>
                <w:szCs w:val="1"/>
                <w:color w:val="auto"/>
              </w:rPr>
            </w:pP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 Includes space sublet to third parties.</w:t>
      </w:r>
    </w:p>
    <w:p>
      <w:pPr>
        <w:spacing w:after="0" w:line="201" w:lineRule="exact"/>
        <w:rPr>
          <w:sz w:val="20"/>
          <w:szCs w:val="20"/>
          <w:color w:val="auto"/>
        </w:rPr>
      </w:pPr>
    </w:p>
    <w:p>
      <w:pPr>
        <w:ind w:left="540" w:right="1999" w:hanging="532"/>
        <w:spacing w:after="0" w:line="292" w:lineRule="auto"/>
        <w:tabs>
          <w:tab w:leader="none" w:pos="5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Argentina, Australia, Brazil, Czech Republic, Denmark, France, Germany, Hong Kong, Hungary, Ireland, Italy, Japan, Poland, South Africa, Spain, Thailand and The Netherlands.</w:t>
      </w:r>
    </w:p>
    <w:p>
      <w:pPr>
        <w:spacing w:after="0" w:line="66" w:lineRule="exact"/>
        <w:rPr>
          <w:sz w:val="20"/>
          <w:szCs w:val="20"/>
          <w:color w:val="auto"/>
        </w:rPr>
      </w:pPr>
    </w:p>
    <w:p>
      <w:pPr>
        <w:ind w:right="2199" w:firstLine="527"/>
        <w:spacing w:after="0" w:line="347" w:lineRule="auto"/>
        <w:rPr>
          <w:sz w:val="20"/>
          <w:szCs w:val="20"/>
          <w:color w:val="auto"/>
        </w:rPr>
      </w:pPr>
      <w:r>
        <w:rPr>
          <w:rFonts w:ascii="Courier New" w:cs="Courier New" w:eastAsia="Courier New" w:hAnsi="Courier New"/>
          <w:sz w:val="18"/>
          <w:szCs w:val="18"/>
          <w:color w:val="auto"/>
        </w:rPr>
        <w:t>Our leases expire on various dates between 2003 and 2012, not including various options to extend lease terms.</w:t>
      </w:r>
    </w:p>
    <w:p>
      <w:pPr>
        <w:spacing w:after="0" w:line="1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Equipment</w:t>
      </w:r>
    </w:p>
    <w:p>
      <w:pPr>
        <w:spacing w:after="0" w:line="201" w:lineRule="exact"/>
        <w:rPr>
          <w:sz w:val="20"/>
          <w:szCs w:val="20"/>
          <w:color w:val="auto"/>
        </w:rPr>
      </w:pPr>
    </w:p>
    <w:p>
      <w:pPr>
        <w:ind w:right="1779" w:firstLine="527"/>
        <w:spacing w:after="0" w:line="274" w:lineRule="auto"/>
        <w:rPr>
          <w:sz w:val="20"/>
          <w:szCs w:val="20"/>
          <w:color w:val="auto"/>
        </w:rPr>
      </w:pPr>
      <w:r>
        <w:rPr>
          <w:rFonts w:ascii="Courier New" w:cs="Courier New" w:eastAsia="Courier New" w:hAnsi="Courier New"/>
          <w:sz w:val="18"/>
          <w:szCs w:val="18"/>
          <w:color w:val="auto"/>
        </w:rPr>
        <w:t>We develop our Integrated Customer Management products over a system of UNIX, MVS and Windows NT/2000 servers owned or leased by us. We use a variety of software products in our development centers, including products by Microsoft, Oracle, Synscsort, CA, Merant, IBM, HP and</w:t>
      </w:r>
    </w:p>
    <w:p>
      <w:pPr>
        <w:spacing w:after="0" w:line="8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691" w:right="1440" w:bottom="1440" w:gutter="0" w:footer="0" w:header="0"/>
        </w:sectPr>
      </w:pPr>
    </w:p>
    <w:bookmarkStart w:id="28" w:name="page29"/>
    <w:bookmarkEnd w:id="28"/>
    <w:p>
      <w:pPr>
        <w:ind w:right="1999"/>
        <w:spacing w:after="0" w:line="292" w:lineRule="auto"/>
        <w:rPr>
          <w:sz w:val="20"/>
          <w:szCs w:val="20"/>
          <w:color w:val="auto"/>
        </w:rPr>
      </w:pPr>
      <w:r>
        <w:rPr>
          <w:rFonts w:ascii="Courier New" w:cs="Courier New" w:eastAsia="Courier New" w:hAnsi="Courier New"/>
          <w:sz w:val="18"/>
          <w:szCs w:val="18"/>
          <w:color w:val="auto"/>
        </w:rPr>
        <w:t>BEA. Our data storage is based on equipment from EMC, SUN, NetApp and Hewlett-Packard. Our development servers are connected to approximately 14,000 personal computers owned or leased by us.</w:t>
      </w:r>
    </w:p>
    <w:p>
      <w:pPr>
        <w:spacing w:after="0" w:line="66" w:lineRule="exact"/>
        <w:rPr>
          <w:sz w:val="20"/>
          <w:szCs w:val="20"/>
          <w:color w:val="auto"/>
        </w:rPr>
      </w:pPr>
    </w:p>
    <w:p>
      <w:pPr>
        <w:ind w:right="1779" w:firstLine="527"/>
        <w:spacing w:after="0" w:line="256" w:lineRule="auto"/>
        <w:rPr>
          <w:sz w:val="20"/>
          <w:szCs w:val="20"/>
          <w:color w:val="auto"/>
        </w:rPr>
      </w:pPr>
      <w:r>
        <w:rPr>
          <w:rFonts w:ascii="Courier New" w:cs="Courier New" w:eastAsia="Courier New" w:hAnsi="Courier New"/>
          <w:sz w:val="18"/>
          <w:szCs w:val="18"/>
          <w:color w:val="auto"/>
        </w:rPr>
        <w:t>Automatic tape libraries provide full and incremental backups of the data used in and generated by our business. The backup tapes are kept on-site and off-site, as appropriate, to ensure security and integrity, and are used as part of our disaster recovery plan. The distributed development sites that we operate worldwide are connected by a high-speed redundant wide area network ("WAN"), using telecommunication equipment manufactured by, among others, Cisco and Nortel.</w:t>
      </w:r>
    </w:p>
    <w:p>
      <w:pPr>
        <w:spacing w:after="0" w:line="98" w:lineRule="exact"/>
        <w:rPr>
          <w:sz w:val="20"/>
          <w:szCs w:val="20"/>
          <w:color w:val="auto"/>
        </w:rPr>
      </w:pPr>
    </w:p>
    <w:p>
      <w:pPr>
        <w:ind w:right="2519" w:firstLine="527"/>
        <w:spacing w:after="0" w:line="347" w:lineRule="auto"/>
        <w:rPr>
          <w:sz w:val="20"/>
          <w:szCs w:val="20"/>
          <w:color w:val="auto"/>
        </w:rPr>
      </w:pPr>
      <w:r>
        <w:rPr>
          <w:rFonts w:ascii="Courier New" w:cs="Courier New" w:eastAsia="Courier New" w:hAnsi="Courier New"/>
          <w:sz w:val="18"/>
          <w:szCs w:val="18"/>
          <w:color w:val="auto"/>
        </w:rPr>
        <w:t>The distributed development sites that we operate worldwide are also connected by a high speed WAN.</w:t>
      </w:r>
    </w:p>
    <w:p>
      <w:pPr>
        <w:spacing w:after="0" w:line="1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OPERATING AND FINANCIAL REVIEW AND PROSPECTS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INTRODUCTION</w:t>
      </w:r>
    </w:p>
    <w:p>
      <w:pPr>
        <w:spacing w:after="0" w:line="201" w:lineRule="exact"/>
        <w:rPr>
          <w:sz w:val="20"/>
          <w:szCs w:val="20"/>
          <w:color w:val="auto"/>
        </w:rPr>
      </w:pPr>
    </w:p>
    <w:p>
      <w:pPr>
        <w:ind w:right="1779" w:firstLine="527"/>
        <w:spacing w:after="0" w:line="347" w:lineRule="auto"/>
        <w:rPr>
          <w:sz w:val="20"/>
          <w:szCs w:val="20"/>
          <w:color w:val="auto"/>
        </w:rPr>
      </w:pPr>
      <w:r>
        <w:rPr>
          <w:rFonts w:ascii="Courier New" w:cs="Courier New" w:eastAsia="Courier New" w:hAnsi="Courier New"/>
          <w:sz w:val="18"/>
          <w:szCs w:val="18"/>
          <w:color w:val="auto"/>
        </w:rPr>
        <w:t>In this section, we discuss the general financial condition and the results of operations for Amdocs Limited and its subsidiaries including:</w:t>
      </w:r>
    </w:p>
    <w:p>
      <w:pPr>
        <w:spacing w:after="0" w:line="18" w:lineRule="exact"/>
        <w:rPr>
          <w:sz w:val="20"/>
          <w:szCs w:val="20"/>
          <w:color w:val="auto"/>
        </w:rPr>
      </w:pPr>
    </w:p>
    <w:p>
      <w:pPr>
        <w:ind w:left="740" w:hanging="205"/>
        <w:spacing w:after="0"/>
        <w:tabs>
          <w:tab w:leader="none" w:pos="7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factors that affect our business,</w:t>
      </w:r>
    </w:p>
    <w:p>
      <w:pPr>
        <w:spacing w:after="0" w:line="201" w:lineRule="exact"/>
        <w:rPr>
          <w:rFonts w:ascii="Courier New" w:cs="Courier New" w:eastAsia="Courier New" w:hAnsi="Courier New"/>
          <w:sz w:val="18"/>
          <w:szCs w:val="18"/>
          <w:color w:val="auto"/>
        </w:rPr>
      </w:pPr>
    </w:p>
    <w:p>
      <w:pPr>
        <w:ind w:left="740" w:right="1779" w:hanging="205"/>
        <w:spacing w:after="0" w:line="347" w:lineRule="auto"/>
        <w:tabs>
          <w:tab w:leader="none" w:pos="7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revenue and costs for the fiscal years ended September 30, 2003, 2002 and 2001,</w:t>
      </w:r>
    </w:p>
    <w:p>
      <w:pPr>
        <w:spacing w:after="0" w:line="18"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reasons why such revenue and costs were different from year to year,</w:t>
      </w:r>
    </w:p>
    <w:p>
      <w:pPr>
        <w:spacing w:after="0" w:line="223" w:lineRule="exact"/>
        <w:rPr>
          <w:rFonts w:ascii="Courier New" w:cs="Courier New" w:eastAsia="Courier New" w:hAnsi="Courier New"/>
          <w:sz w:val="16"/>
          <w:szCs w:val="16"/>
          <w:color w:val="auto"/>
        </w:rPr>
      </w:pPr>
    </w:p>
    <w:p>
      <w:pPr>
        <w:ind w:left="740" w:hanging="205"/>
        <w:spacing w:after="0"/>
        <w:tabs>
          <w:tab w:leader="none" w:pos="7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sources of our revenue,</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how all of this affects our overall financial condition,</w:t>
      </w:r>
    </w:p>
    <w:p>
      <w:pPr>
        <w:spacing w:after="0" w:line="201" w:lineRule="exact"/>
        <w:rPr>
          <w:rFonts w:ascii="Courier New" w:cs="Courier New" w:eastAsia="Courier New" w:hAnsi="Courier New"/>
          <w:sz w:val="18"/>
          <w:szCs w:val="18"/>
          <w:color w:val="auto"/>
        </w:rPr>
      </w:pPr>
    </w:p>
    <w:p>
      <w:pPr>
        <w:ind w:left="740" w:right="1879" w:hanging="205"/>
        <w:spacing w:after="0" w:line="347" w:lineRule="auto"/>
        <w:tabs>
          <w:tab w:leader="none" w:pos="7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expenditures for the fiscal years ended September 30, 2003, 2002 and 2001, and</w:t>
      </w:r>
    </w:p>
    <w:p>
      <w:pPr>
        <w:spacing w:after="0" w:line="18" w:lineRule="exact"/>
        <w:rPr>
          <w:rFonts w:ascii="Courier New" w:cs="Courier New" w:eastAsia="Courier New" w:hAnsi="Courier New"/>
          <w:sz w:val="18"/>
          <w:szCs w:val="18"/>
          <w:color w:val="auto"/>
        </w:rPr>
      </w:pPr>
    </w:p>
    <w:p>
      <w:pPr>
        <w:ind w:left="740" w:right="2519" w:hanging="205"/>
        <w:spacing w:after="0" w:line="347" w:lineRule="auto"/>
        <w:tabs>
          <w:tab w:leader="none" w:pos="7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sources of our cash to pay for future capital expenditures and possible acquisitions.</w:t>
      </w:r>
    </w:p>
    <w:p>
      <w:pPr>
        <w:spacing w:after="0" w:line="18" w:lineRule="exact"/>
        <w:rPr>
          <w:sz w:val="20"/>
          <w:szCs w:val="20"/>
          <w:color w:val="auto"/>
        </w:rPr>
      </w:pPr>
    </w:p>
    <w:p>
      <w:pPr>
        <w:ind w:right="1879" w:firstLine="527"/>
        <w:spacing w:after="0" w:line="274" w:lineRule="auto"/>
        <w:rPr>
          <w:sz w:val="20"/>
          <w:szCs w:val="20"/>
          <w:color w:val="auto"/>
        </w:rPr>
      </w:pPr>
      <w:r>
        <w:rPr>
          <w:rFonts w:ascii="Courier New" w:cs="Courier New" w:eastAsia="Courier New" w:hAnsi="Courier New"/>
          <w:sz w:val="18"/>
          <w:szCs w:val="18"/>
          <w:color w:val="auto"/>
        </w:rPr>
        <w:t>In this section, we also analyze and explain the annual changes in the specific line items in our consolidated statements of operations. You should read this section in conjunction with our consolidated financial statements and the notes thereto, which follow.</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OVERVIEW OF BUSINESS AND TREND INFORMATION</w:t>
      </w:r>
    </w:p>
    <w:p>
      <w:pPr>
        <w:spacing w:after="0" w:line="201" w:lineRule="exact"/>
        <w:rPr>
          <w:sz w:val="20"/>
          <w:szCs w:val="20"/>
          <w:color w:val="auto"/>
        </w:rPr>
      </w:pPr>
    </w:p>
    <w:p>
      <w:pPr>
        <w:ind w:right="1879" w:firstLine="527"/>
        <w:spacing w:after="0" w:line="253" w:lineRule="auto"/>
        <w:rPr>
          <w:sz w:val="20"/>
          <w:szCs w:val="20"/>
          <w:color w:val="auto"/>
        </w:rPr>
      </w:pPr>
      <w:r>
        <w:rPr>
          <w:rFonts w:ascii="Courier New" w:cs="Courier New" w:eastAsia="Courier New" w:hAnsi="Courier New"/>
          <w:sz w:val="18"/>
          <w:szCs w:val="18"/>
          <w:color w:val="auto"/>
        </w:rPr>
        <w:t>Our market focus is primarily the communications industry, and we are a leading provider of software products and services to major communications companies in North America, Europe and the rest of the world. Our Integrated Customer Management product offerings consist primarily of billing and customer relationship management systems. Our portfolio of products also includes a full range of Directory Systems, consisting of directory sales and publishing systems, for publishers of both traditional printed yellow page and white page directories and electronic Internet directories.</w:t>
      </w:r>
    </w:p>
    <w:p>
      <w:pPr>
        <w:spacing w:after="0" w:line="104" w:lineRule="exact"/>
        <w:rPr>
          <w:sz w:val="20"/>
          <w:szCs w:val="20"/>
          <w:color w:val="auto"/>
        </w:rPr>
      </w:pPr>
    </w:p>
    <w:p>
      <w:pPr>
        <w:ind w:right="1779" w:firstLine="527"/>
        <w:spacing w:after="0" w:line="247" w:lineRule="auto"/>
        <w:rPr>
          <w:sz w:val="20"/>
          <w:szCs w:val="20"/>
          <w:color w:val="auto"/>
        </w:rPr>
      </w:pPr>
      <w:r>
        <w:rPr>
          <w:rFonts w:ascii="Courier New" w:cs="Courier New" w:eastAsia="Courier New" w:hAnsi="Courier New"/>
          <w:sz w:val="18"/>
          <w:szCs w:val="18"/>
          <w:color w:val="auto"/>
        </w:rPr>
        <w:t>Our Integrated Customer Management systems are designed to meet the mission-critical needs of leading communications service providers. We support a wide range of communications services, including wireline, wireless, voice, data, broadband, content, electronic and mobile commerce and IP based services. We also support companies that offer bundled or convergent service packages. Due to the complexity of our customers' projects and the expertise required for system support, we also provide extensive implementation, system integration, system modification, ongoing support, system enhancement and maintenance services. In addition, we offer Managed Services, which include a combination of services, such as system modernization and consolidation, management and operation of data centers, purchase and management of related hardware assets, billing operations and application support, in all cases on either or a combination of a fixed or unit charge basis to our customers.</w:t>
      </w:r>
    </w:p>
    <w:p>
      <w:pPr>
        <w:spacing w:after="0" w:line="108" w:lineRule="exact"/>
        <w:rPr>
          <w:sz w:val="20"/>
          <w:szCs w:val="20"/>
          <w:color w:val="auto"/>
        </w:rPr>
      </w:pPr>
    </w:p>
    <w:p>
      <w:pPr>
        <w:ind w:right="1999" w:firstLine="527"/>
        <w:spacing w:after="0" w:line="274" w:lineRule="auto"/>
        <w:rPr>
          <w:sz w:val="20"/>
          <w:szCs w:val="20"/>
          <w:color w:val="auto"/>
        </w:rPr>
      </w:pPr>
      <w:r>
        <w:rPr>
          <w:rFonts w:ascii="Courier New" w:cs="Courier New" w:eastAsia="Courier New" w:hAnsi="Courier New"/>
          <w:sz w:val="18"/>
          <w:szCs w:val="18"/>
          <w:color w:val="auto"/>
        </w:rPr>
        <w:t>As part of our strategy, we may pursue acquisitions and other initiatives in order to offer new products or services or otherwise enhance our market position or strategic strengths. See the discussion below under the caption "Acquisitions".</w:t>
      </w:r>
    </w:p>
    <w:p>
      <w:pPr>
        <w:spacing w:after="0" w:line="8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691" w:right="1440" w:bottom="388" w:gutter="0" w:footer="0" w:header="0"/>
        </w:sectPr>
      </w:pPr>
    </w:p>
    <w:bookmarkStart w:id="29" w:name="page30"/>
    <w:bookmarkEnd w:id="29"/>
    <w:p>
      <w:pPr>
        <w:ind w:left="540"/>
        <w:spacing w:after="0"/>
        <w:rPr>
          <w:sz w:val="20"/>
          <w:szCs w:val="20"/>
          <w:color w:val="auto"/>
        </w:rPr>
      </w:pPr>
      <w:r>
        <w:rPr>
          <w:rFonts w:ascii="Courier New" w:cs="Courier New" w:eastAsia="Courier New" w:hAnsi="Courier New"/>
          <w:sz w:val="18"/>
          <w:szCs w:val="18"/>
          <w:color w:val="auto"/>
        </w:rPr>
        <w:t>We derive our revenue principally from:</w:t>
      </w:r>
    </w:p>
    <w:p>
      <w:pPr>
        <w:spacing w:after="0" w:line="201" w:lineRule="exact"/>
        <w:rPr>
          <w:sz w:val="20"/>
          <w:szCs w:val="20"/>
          <w:color w:val="auto"/>
        </w:rPr>
      </w:pPr>
    </w:p>
    <w:p>
      <w:pPr>
        <w:ind w:left="740" w:right="1779" w:hanging="205"/>
        <w:spacing w:after="0" w:line="347" w:lineRule="auto"/>
        <w:tabs>
          <w:tab w:leader="none" w:pos="7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initial sales of our products and related services, including license fees and modification, implementation and integration services,</w:t>
      </w:r>
    </w:p>
    <w:p>
      <w:pPr>
        <w:spacing w:after="0" w:line="18" w:lineRule="exact"/>
        <w:rPr>
          <w:rFonts w:ascii="Courier New" w:cs="Courier New" w:eastAsia="Courier New" w:hAnsi="Courier New"/>
          <w:sz w:val="18"/>
          <w:szCs w:val="18"/>
          <w:color w:val="auto"/>
        </w:rPr>
      </w:pPr>
    </w:p>
    <w:p>
      <w:pPr>
        <w:ind w:left="740" w:right="1879" w:hanging="205"/>
        <w:spacing w:after="0" w:line="347" w:lineRule="auto"/>
        <w:tabs>
          <w:tab w:leader="none" w:pos="7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providing Managed Services and other related services for our solutions, and</w:t>
      </w:r>
    </w:p>
    <w:p>
      <w:pPr>
        <w:spacing w:after="0" w:line="18" w:lineRule="exact"/>
        <w:rPr>
          <w:rFonts w:ascii="Courier New" w:cs="Courier New" w:eastAsia="Courier New" w:hAnsi="Courier New"/>
          <w:sz w:val="18"/>
          <w:szCs w:val="18"/>
          <w:color w:val="auto"/>
        </w:rPr>
      </w:pPr>
    </w:p>
    <w:p>
      <w:pPr>
        <w:ind w:left="740" w:right="1879" w:hanging="205"/>
        <w:spacing w:after="0" w:line="292" w:lineRule="auto"/>
        <w:tabs>
          <w:tab w:leader="none" w:pos="7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recurring revenue from ongoing support and maintenance provided to our customers, and from incremental license fees resulting from increases in a customer's business volume.</w:t>
      </w:r>
    </w:p>
    <w:p>
      <w:pPr>
        <w:spacing w:after="0" w:line="66" w:lineRule="exact"/>
        <w:rPr>
          <w:sz w:val="20"/>
          <w:szCs w:val="20"/>
          <w:color w:val="auto"/>
        </w:rPr>
      </w:pPr>
    </w:p>
    <w:p>
      <w:pPr>
        <w:ind w:right="1779" w:firstLine="527"/>
        <w:spacing w:after="0" w:line="244" w:lineRule="auto"/>
        <w:rPr>
          <w:sz w:val="20"/>
          <w:szCs w:val="20"/>
          <w:color w:val="auto"/>
        </w:rPr>
      </w:pPr>
      <w:r>
        <w:rPr>
          <w:rFonts w:ascii="Courier New" w:cs="Courier New" w:eastAsia="Courier New" w:hAnsi="Courier New"/>
          <w:sz w:val="18"/>
          <w:szCs w:val="18"/>
          <w:color w:val="auto"/>
        </w:rPr>
        <w:t>We usually sell our software as part of an overall solution offered to a customer, in which significant modification is normally required. As a result, we generally recognize revenue over the course of these long-term projects. Initial license fee revenue is recognized as work is performed, using the percentage of completion method of accounting. Subsequent license fee revenue is recognized upon completion of specified conditions in each contract. Service revenue that involves significant ongoing obligations, including fees for software customization, implementation and modification, also is recognized as work is performed, under the percentage of completion method of accounting. Revenue from software solutions that do not require significant customization and modification is recognized upon delivery. In Managed Services contracts, we typically recognize revenue from the operation of a customer's system either ratably over the service period or as services are performed. Revenue from ongoing support services is recognized as work is performed. Revenue from third-party hardware and software sales is recognized upon delivery and installation. Maintenance revenue is recognized ratably over the term of the maintenance agreement. As a result of a significant portion of our revenue being subject to the percentage of completion accounting method, the size and timing of customer projects and our progress in completing such projects may significantly affect our annual and quarterly operating results.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00" w:type="dxa"/>
            <w:vAlign w:val="bottom"/>
            <w:gridSpan w:val="2"/>
          </w:tcPr>
          <w:p>
            <w:pPr>
              <w:ind w:left="540"/>
              <w:spacing w:after="0"/>
              <w:rPr>
                <w:sz w:val="20"/>
                <w:szCs w:val="20"/>
                <w:color w:val="auto"/>
              </w:rPr>
            </w:pPr>
            <w:r>
              <w:rPr>
                <w:rFonts w:ascii="Courier New" w:cs="Courier New" w:eastAsia="Courier New" w:hAnsi="Courier New"/>
                <w:sz w:val="18"/>
                <w:szCs w:val="18"/>
                <w:color w:val="auto"/>
              </w:rPr>
              <w:t>Our business</w:t>
            </w:r>
          </w:p>
        </w:tc>
        <w:tc>
          <w:tcPr>
            <w:tcW w:w="55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7"/>
              </w:rPr>
              <w:t>is subject to the effects of general global economic</w:t>
            </w:r>
          </w:p>
        </w:tc>
        <w:tc>
          <w:tcPr>
            <w:tcW w:w="1000" w:type="dxa"/>
            <w:vAlign w:val="bottom"/>
            <w:vMerge w:val="restart"/>
          </w:tcPr>
          <w:p>
            <w:pPr>
              <w:ind w:left="40"/>
              <w:spacing w:after="0"/>
              <w:rPr>
                <w:sz w:val="20"/>
                <w:szCs w:val="20"/>
                <w:color w:val="auto"/>
              </w:rPr>
            </w:pPr>
            <w:r>
              <w:rPr>
                <w:rFonts w:ascii="Courier New" w:cs="Courier New" w:eastAsia="Courier New" w:hAnsi="Courier New"/>
                <w:sz w:val="18"/>
                <w:szCs w:val="18"/>
                <w:color w:val="auto"/>
                <w:w w:val="96"/>
              </w:rPr>
              <w:t>industry.</w:t>
            </w:r>
          </w:p>
        </w:tc>
        <w:tc>
          <w:tcPr>
            <w:tcW w:w="0" w:type="dxa"/>
            <w:vAlign w:val="bottom"/>
          </w:tcPr>
          <w:p>
            <w:pPr>
              <w:spacing w:after="0"/>
              <w:rPr>
                <w:sz w:val="1"/>
                <w:szCs w:val="1"/>
                <w:color w:val="auto"/>
              </w:rPr>
            </w:pPr>
          </w:p>
        </w:tc>
      </w:tr>
      <w:tr>
        <w:trPr>
          <w:trHeight w:val="203"/>
        </w:trPr>
        <w:tc>
          <w:tcPr>
            <w:tcW w:w="1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conditions and, in</w:t>
            </w:r>
          </w:p>
        </w:tc>
        <w:tc>
          <w:tcPr>
            <w:tcW w:w="1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particular,</w:t>
            </w:r>
          </w:p>
        </w:tc>
        <w:tc>
          <w:tcPr>
            <w:tcW w:w="4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market conditions in the communications</w:t>
            </w: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As a result of</w:t>
            </w:r>
          </w:p>
        </w:tc>
        <w:tc>
          <w:tcPr>
            <w:tcW w:w="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the</w:t>
            </w:r>
          </w:p>
        </w:tc>
        <w:tc>
          <w:tcPr>
            <w:tcW w:w="1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slowdown in</w:t>
            </w:r>
          </w:p>
        </w:tc>
        <w:tc>
          <w:tcPr>
            <w:tcW w:w="4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the communications industry, the market</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value,</w:t>
            </w:r>
          </w:p>
        </w:tc>
        <w:tc>
          <w:tcPr>
            <w:tcW w:w="0" w:type="dxa"/>
            <w:vAlign w:val="bottom"/>
          </w:tcPr>
          <w:p>
            <w:pPr>
              <w:spacing w:after="0"/>
              <w:rPr>
                <w:sz w:val="1"/>
                <w:szCs w:val="1"/>
                <w:color w:val="auto"/>
              </w:rPr>
            </w:pPr>
          </w:p>
        </w:tc>
      </w:tr>
      <w:tr>
        <w:trPr>
          <w:trHeight w:val="203"/>
        </w:trPr>
        <w:tc>
          <w:tcPr>
            <w:tcW w:w="1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financial results</w:t>
            </w:r>
          </w:p>
        </w:tc>
        <w:tc>
          <w:tcPr>
            <w:tcW w:w="65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and prospects, and capital spending levels of communications</w:t>
            </w:r>
          </w:p>
        </w:tc>
        <w:tc>
          <w:tcPr>
            <w:tcW w:w="0" w:type="dxa"/>
            <w:vAlign w:val="bottom"/>
          </w:tcPr>
          <w:p>
            <w:pPr>
              <w:spacing w:after="0"/>
              <w:rPr>
                <w:sz w:val="1"/>
                <w:szCs w:val="1"/>
                <w:color w:val="auto"/>
              </w:rPr>
            </w:pPr>
          </w:p>
        </w:tc>
      </w:tr>
      <w:tr>
        <w:trPr>
          <w:trHeight w:val="296"/>
        </w:trPr>
        <w:tc>
          <w:tcPr>
            <w:tcW w:w="1540" w:type="dxa"/>
            <w:vAlign w:val="bottom"/>
          </w:tcPr>
          <w:p>
            <w:pPr>
              <w:spacing w:after="0"/>
              <w:rPr>
                <w:sz w:val="20"/>
                <w:szCs w:val="20"/>
                <w:color w:val="auto"/>
              </w:rPr>
            </w:pPr>
            <w:r>
              <w:rPr>
                <w:rFonts w:ascii="Courier New" w:cs="Courier New" w:eastAsia="Courier New" w:hAnsi="Courier New"/>
                <w:sz w:val="18"/>
                <w:szCs w:val="18"/>
                <w:color w:val="auto"/>
              </w:rPr>
              <w:t>companies have</w:t>
            </w:r>
          </w:p>
        </w:tc>
        <w:tc>
          <w:tcPr>
            <w:tcW w:w="5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declined or degraded.</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ind w:right="1779" w:firstLine="527"/>
        <w:spacing w:after="0" w:line="278" w:lineRule="auto"/>
        <w:rPr>
          <w:sz w:val="20"/>
          <w:szCs w:val="20"/>
          <w:color w:val="auto"/>
        </w:rPr>
      </w:pPr>
      <w:r>
        <w:rPr>
          <w:rFonts w:ascii="Courier New" w:cs="Courier New" w:eastAsia="Courier New" w:hAnsi="Courier New"/>
          <w:sz w:val="16"/>
          <w:szCs w:val="16"/>
          <w:color w:val="auto"/>
        </w:rPr>
        <w:t>The challenging environment in the communications industry has significantly impacted our business. Delays in customer buying decisions stemming from rigorous management of operating expenses and overall reductions in the capital investment budgets of many communications service providers have led to fewer new contracts, as well as smaller initial spending commitments and reduced discretionary spending under contracts with some of our customers. Our revenue for the fiscal year ended September 30, 2003 decreased by $130.2 million, or 8.1%, from fiscal 2002. We continue to encounter delays in obtaining commitments from customers. However, there have been increasing signs of stabilization in the market. During fiscal 2003, total quarterly revenue increased by 4.6% between the first and second quarters, by 6.2% between the second and third quarters and by 9.2% between the third and fourth quarters, primarily as a result of new Managed Services agreements and our acquisition of Certen in the fourth quarter of fiscal 2003. Despite continued uncertain conditions in the communications industry, we believe that we will be able to achieve modest sequential growth in revenue and earnings in the coming quarters.</w:t>
      </w:r>
    </w:p>
    <w:p>
      <w:pPr>
        <w:spacing w:after="0" w:line="295" w:lineRule="exact"/>
        <w:rPr>
          <w:sz w:val="20"/>
          <w:szCs w:val="20"/>
          <w:color w:val="auto"/>
        </w:rPr>
      </w:pPr>
    </w:p>
    <w:p>
      <w:pPr>
        <w:ind w:right="1779" w:firstLine="527"/>
        <w:spacing w:after="0" w:line="260" w:lineRule="auto"/>
        <w:rPr>
          <w:sz w:val="20"/>
          <w:szCs w:val="20"/>
          <w:color w:val="auto"/>
        </w:rPr>
      </w:pPr>
      <w:r>
        <w:rPr>
          <w:rFonts w:ascii="Courier New" w:cs="Courier New" w:eastAsia="Courier New" w:hAnsi="Courier New"/>
          <w:sz w:val="18"/>
          <w:szCs w:val="18"/>
          <w:color w:val="auto"/>
        </w:rPr>
        <w:t>Due to our heavy dependence on the communications industry, we can be adversely affected by consolidations of service providers and by bankruptcies or other business failures in that industry. The potential loss of a customer due to consolidation or failures in the communications industry could harm our business and might have a material adverse effect on our consolidated operating results and financial condition.</w:t>
      </w:r>
    </w:p>
    <w:p>
      <w:pPr>
        <w:spacing w:after="0" w:line="9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Total license and service revenue for the fiscal year ended September 30,</w:t>
      </w:r>
    </w:p>
    <w:p>
      <w:pPr>
        <w:spacing w:after="0" w:line="31" w:lineRule="exact"/>
        <w:rPr>
          <w:sz w:val="20"/>
          <w:szCs w:val="20"/>
          <w:color w:val="auto"/>
        </w:rPr>
      </w:pPr>
    </w:p>
    <w:p>
      <w:pPr>
        <w:ind w:right="2419"/>
        <w:spacing w:after="0" w:line="309" w:lineRule="auto"/>
        <w:rPr>
          <w:sz w:val="20"/>
          <w:szCs w:val="20"/>
          <w:color w:val="auto"/>
        </w:rPr>
      </w:pPr>
      <w:r>
        <w:rPr>
          <w:rFonts w:ascii="Courier New" w:cs="Courier New" w:eastAsia="Courier New" w:hAnsi="Courier New"/>
          <w:sz w:val="18"/>
          <w:szCs w:val="18"/>
          <w:color w:val="auto"/>
        </w:rPr>
        <w:t>2003 was $1,483.3 million, compared to $1,613.6 million in fiscal 2002 and $1,533.9 million in fiscal 2001.</w:t>
      </w:r>
    </w:p>
    <w:p>
      <w:pPr>
        <w:spacing w:after="0" w:line="51" w:lineRule="exact"/>
        <w:rPr>
          <w:sz w:val="20"/>
          <w:szCs w:val="20"/>
          <w:color w:val="auto"/>
        </w:rPr>
      </w:pPr>
    </w:p>
    <w:p>
      <w:pPr>
        <w:ind w:right="1779" w:firstLine="527"/>
        <w:spacing w:after="0" w:line="306" w:lineRule="auto"/>
        <w:rPr>
          <w:sz w:val="20"/>
          <w:szCs w:val="20"/>
          <w:color w:val="auto"/>
        </w:rPr>
      </w:pPr>
      <w:r>
        <w:rPr>
          <w:rFonts w:ascii="Courier New" w:cs="Courier New" w:eastAsia="Courier New" w:hAnsi="Courier New"/>
          <w:sz w:val="16"/>
          <w:szCs w:val="16"/>
          <w:color w:val="auto"/>
        </w:rPr>
        <w:t>License and service fees from the sale of CC&amp;B Systems amounted to $1,280.4 million in the fiscal year ended September 30, 2003, compared to $1,440.0 million in fiscal 2002 and $1,379.7 million in fiscal 2001. In fiscal 2003, license and service fees from the sale of CC&amp;B Systems represented 86.3% of our total revenue, compared to 89.2% in fiscal 2002 and 89.9% in fiscal 2001.</w:t>
      </w:r>
    </w:p>
    <w:p>
      <w:pPr>
        <w:spacing w:after="0" w:line="6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691" w:right="1440" w:bottom="591" w:gutter="0" w:footer="0" w:header="0"/>
        </w:sectPr>
      </w:pPr>
    </w:p>
    <w:bookmarkStart w:id="30" w:name="page31"/>
    <w:bookmarkEnd w:id="30"/>
    <w:p>
      <w:pPr>
        <w:ind w:right="1999" w:firstLine="527"/>
        <w:spacing w:after="0" w:line="292" w:lineRule="auto"/>
        <w:rPr>
          <w:sz w:val="20"/>
          <w:szCs w:val="20"/>
          <w:color w:val="auto"/>
        </w:rPr>
      </w:pPr>
      <w:r>
        <w:rPr>
          <w:rFonts w:ascii="Courier New" w:cs="Courier New" w:eastAsia="Courier New" w:hAnsi="Courier New"/>
          <w:sz w:val="18"/>
          <w:szCs w:val="18"/>
          <w:color w:val="auto"/>
        </w:rPr>
        <w:t>We believe that we are a leading global provider of CC&amp;B Systems. We provide a broad set of billing and CRM products, with proven functionality and scalability, accompanied by a comprehensive range of support services.</w:t>
      </w:r>
    </w:p>
    <w:p>
      <w:pPr>
        <w:spacing w:after="0" w:line="66" w:lineRule="exact"/>
        <w:rPr>
          <w:sz w:val="20"/>
          <w:szCs w:val="20"/>
          <w:color w:val="auto"/>
        </w:rPr>
      </w:pPr>
    </w:p>
    <w:p>
      <w:pPr>
        <w:ind w:right="1999" w:firstLine="527"/>
        <w:spacing w:after="0" w:line="347" w:lineRule="auto"/>
        <w:rPr>
          <w:sz w:val="20"/>
          <w:szCs w:val="20"/>
          <w:color w:val="auto"/>
        </w:rPr>
      </w:pPr>
      <w:r>
        <w:rPr>
          <w:rFonts w:ascii="Courier New" w:cs="Courier New" w:eastAsia="Courier New" w:hAnsi="Courier New"/>
          <w:sz w:val="18"/>
          <w:szCs w:val="18"/>
          <w:color w:val="auto"/>
        </w:rPr>
        <w:t>We believe that demand for our CC&amp;B Systems is driven by, among other key factors:</w:t>
      </w:r>
    </w:p>
    <w:p>
      <w:pPr>
        <w:spacing w:after="0" w:line="18" w:lineRule="exact"/>
        <w:rPr>
          <w:sz w:val="20"/>
          <w:szCs w:val="20"/>
          <w:color w:val="auto"/>
        </w:rPr>
      </w:pPr>
    </w:p>
    <w:p>
      <w:pPr>
        <w:ind w:left="740" w:hanging="205"/>
        <w:spacing w:after="0"/>
        <w:tabs>
          <w:tab w:leader="none" w:pos="7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global penetration of communications service providers,</w:t>
      </w:r>
    </w:p>
    <w:p>
      <w:pPr>
        <w:spacing w:after="0" w:line="201" w:lineRule="exact"/>
        <w:rPr>
          <w:rFonts w:ascii="Courier New" w:cs="Courier New" w:eastAsia="Courier New" w:hAnsi="Courier New"/>
          <w:sz w:val="18"/>
          <w:szCs w:val="18"/>
          <w:color w:val="auto"/>
        </w:rPr>
      </w:pPr>
    </w:p>
    <w:p>
      <w:pPr>
        <w:ind w:left="740" w:right="1779" w:hanging="205"/>
        <w:spacing w:after="0" w:line="347" w:lineRule="auto"/>
        <w:tabs>
          <w:tab w:leader="none" w:pos="7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emergence of new communications products and services, especially IP, data and content services,</w:t>
      </w:r>
    </w:p>
    <w:p>
      <w:pPr>
        <w:spacing w:after="0" w:line="18" w:lineRule="exact"/>
        <w:rPr>
          <w:rFonts w:ascii="Courier New" w:cs="Courier New" w:eastAsia="Courier New" w:hAnsi="Courier New"/>
          <w:sz w:val="18"/>
          <w:szCs w:val="18"/>
          <w:color w:val="auto"/>
        </w:rPr>
      </w:pPr>
    </w:p>
    <w:p>
      <w:pPr>
        <w:ind w:left="740" w:right="2199" w:hanging="205"/>
        <w:spacing w:after="0" w:line="292" w:lineRule="auto"/>
        <w:tabs>
          <w:tab w:leader="none" w:pos="7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technological changes, such as the introduction of wireless Internet services via GPRS (General Packet Radio Services) and UMTS (Universal Mobile Telecommunications System) technology,</w:t>
      </w:r>
    </w:p>
    <w:p>
      <w:pPr>
        <w:spacing w:after="0" w:line="66"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ongoing consolidation within the communications industry,</w:t>
      </w:r>
    </w:p>
    <w:p>
      <w:pPr>
        <w:spacing w:after="0" w:line="201" w:lineRule="exact"/>
        <w:rPr>
          <w:rFonts w:ascii="Courier New" w:cs="Courier New" w:eastAsia="Courier New" w:hAnsi="Courier New"/>
          <w:sz w:val="18"/>
          <w:szCs w:val="18"/>
          <w:color w:val="auto"/>
        </w:rPr>
      </w:pPr>
    </w:p>
    <w:p>
      <w:pPr>
        <w:ind w:left="740" w:right="2099" w:hanging="205"/>
        <w:spacing w:after="0" w:line="347" w:lineRule="auto"/>
        <w:tabs>
          <w:tab w:leader="none" w:pos="7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business needs of communications service providers to reduce costs and retain high value customers, and</w:t>
      </w:r>
    </w:p>
    <w:p>
      <w:pPr>
        <w:spacing w:after="0" w:line="18"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shift from in-house management to vendor solutions.</w:t>
      </w:r>
    </w:p>
    <w:p>
      <w:pPr>
        <w:spacing w:after="0" w:line="201" w:lineRule="exact"/>
        <w:rPr>
          <w:sz w:val="20"/>
          <w:szCs w:val="20"/>
          <w:color w:val="auto"/>
        </w:rPr>
      </w:pPr>
    </w:p>
    <w:p>
      <w:pPr>
        <w:ind w:right="1779" w:firstLine="527"/>
        <w:spacing w:after="0" w:line="265" w:lineRule="auto"/>
        <w:rPr>
          <w:sz w:val="20"/>
          <w:szCs w:val="20"/>
          <w:color w:val="auto"/>
        </w:rPr>
      </w:pPr>
      <w:r>
        <w:rPr>
          <w:rFonts w:ascii="Courier New" w:cs="Courier New" w:eastAsia="Courier New" w:hAnsi="Courier New"/>
          <w:sz w:val="18"/>
          <w:szCs w:val="18"/>
          <w:color w:val="auto"/>
        </w:rPr>
        <w:t>We also believe that additional drivers of demand are the continuing trend for communications service providers to offer their subscribers multiple service packages, commonly referred to as bundled or convergent services (combinations of voice, broadband, electronic and mobile commerce and IP services), and the ability of our CC&amp;B Systems to improve productivity.</w:t>
      </w:r>
    </w:p>
    <w:p>
      <w:pPr>
        <w:spacing w:after="0" w:line="90" w:lineRule="exact"/>
        <w:rPr>
          <w:sz w:val="20"/>
          <w:szCs w:val="20"/>
          <w:color w:val="auto"/>
        </w:rPr>
      </w:pPr>
    </w:p>
    <w:p>
      <w:pPr>
        <w:ind w:right="1779" w:firstLine="527"/>
        <w:spacing w:after="0" w:line="306" w:lineRule="auto"/>
        <w:rPr>
          <w:sz w:val="20"/>
          <w:szCs w:val="20"/>
          <w:color w:val="auto"/>
        </w:rPr>
      </w:pPr>
      <w:r>
        <w:rPr>
          <w:rFonts w:ascii="Courier New" w:cs="Courier New" w:eastAsia="Courier New" w:hAnsi="Courier New"/>
          <w:sz w:val="16"/>
          <w:szCs w:val="16"/>
          <w:color w:val="auto"/>
        </w:rPr>
        <w:t>License and service fees from the sale of Directory Systems amounted to $202.9 million in the fiscal year ended September 30, 2003, compared to $173.6 million in fiscal 2002 and $154.2 million in fiscal 2001. In fiscal 2003, license and service fees from the sale of Directory Systems represented 13.7% of our total revenue, compared to 10.8% in fiscal 2002 and 10.1% in fiscal 2001.</w:t>
      </w:r>
    </w:p>
    <w:p>
      <w:pPr>
        <w:spacing w:after="0" w:line="60" w:lineRule="exact"/>
        <w:rPr>
          <w:sz w:val="20"/>
          <w:szCs w:val="20"/>
          <w:color w:val="auto"/>
        </w:rPr>
      </w:pPr>
    </w:p>
    <w:p>
      <w:pPr>
        <w:ind w:right="1879" w:firstLine="527"/>
        <w:spacing w:after="0" w:line="274" w:lineRule="auto"/>
        <w:rPr>
          <w:sz w:val="20"/>
          <w:szCs w:val="20"/>
          <w:color w:val="auto"/>
        </w:rPr>
      </w:pPr>
      <w:r>
        <w:rPr>
          <w:rFonts w:ascii="Courier New" w:cs="Courier New" w:eastAsia="Courier New" w:hAnsi="Courier New"/>
          <w:sz w:val="18"/>
          <w:szCs w:val="18"/>
          <w:color w:val="auto"/>
        </w:rPr>
        <w:t>We believe that we are a leading provider of Directory Systems in most of the markets that we serve. As a result of new agreements announced in 2003, we expect that our revenue from Directory Systems will remain relatively stable in fiscal 2004.</w:t>
      </w:r>
    </w:p>
    <w:p>
      <w:pPr>
        <w:spacing w:after="0" w:line="82" w:lineRule="exact"/>
        <w:rPr>
          <w:sz w:val="20"/>
          <w:szCs w:val="20"/>
          <w:color w:val="auto"/>
        </w:rPr>
      </w:pPr>
    </w:p>
    <w:p>
      <w:pPr>
        <w:ind w:right="1779" w:firstLine="527"/>
        <w:spacing w:after="0" w:line="248" w:lineRule="auto"/>
        <w:rPr>
          <w:sz w:val="20"/>
          <w:szCs w:val="20"/>
          <w:color w:val="auto"/>
        </w:rPr>
      </w:pPr>
      <w:r>
        <w:rPr>
          <w:rFonts w:ascii="Courier New" w:cs="Courier New" w:eastAsia="Courier New" w:hAnsi="Courier New"/>
          <w:sz w:val="18"/>
          <w:szCs w:val="18"/>
          <w:color w:val="auto"/>
        </w:rPr>
        <w:t>License and service revenue from the sale of CC&amp;B Systems and Directory Systems includes revenue from Managed Services arrangements. Managed Services projects are a significant part of our business, and generate substantial, long-term revenue streams, cash flow and operating income. In the initial period of our Managed Services projects, we generally invest in modernization and consolidation of the customer's systems. Invoices are usually structured on a periodic fixed or unit charge basis. As a result, Managed Services projects can be less profitable in the initial period. Margins typically improve over time as we benefit from the operational efficiencies provided by system modernization and consolidation. We expect that our Managed Services relationships will generate margins comparable to sales of our other products and related license and services over the entire relationships.</w:t>
      </w:r>
    </w:p>
    <w:p>
      <w:pPr>
        <w:spacing w:after="0" w:line="1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OPERATIONAL EFFICIENCY AND COST REDUCTION PROGRAMS</w:t>
      </w:r>
    </w:p>
    <w:p>
      <w:pPr>
        <w:spacing w:after="0" w:line="201" w:lineRule="exact"/>
        <w:rPr>
          <w:sz w:val="20"/>
          <w:szCs w:val="20"/>
          <w:color w:val="auto"/>
        </w:rPr>
      </w:pPr>
    </w:p>
    <w:p>
      <w:pPr>
        <w:ind w:right="1779" w:firstLine="527"/>
        <w:spacing w:after="0" w:line="252" w:lineRule="auto"/>
        <w:rPr>
          <w:sz w:val="20"/>
          <w:szCs w:val="20"/>
          <w:color w:val="auto"/>
        </w:rPr>
      </w:pPr>
      <w:r>
        <w:rPr>
          <w:rFonts w:ascii="Courier New" w:cs="Courier New" w:eastAsia="Courier New" w:hAnsi="Courier New"/>
          <w:sz w:val="18"/>
          <w:szCs w:val="18"/>
          <w:color w:val="auto"/>
        </w:rPr>
        <w:t>In the first quarter of fiscal 2003, we announced a series of measures designed to reduce costs and improve productivity and recorded a charge of $10.0 million, consisting primarily of employee separation costs in connection with the termination of employment of approximately 400 software and information technology specialists and administrative professionals and for the write-off of leasehold improvements and rent obligations. The employee terminations occurred at various locations around the world. In addition, we implemented other cost reduction measures, including travel cuts and reductions in other discretionary costs.</w:t>
      </w:r>
    </w:p>
    <w:p>
      <w:pPr>
        <w:spacing w:after="0" w:line="99" w:lineRule="exact"/>
        <w:rPr>
          <w:sz w:val="20"/>
          <w:szCs w:val="20"/>
          <w:color w:val="auto"/>
        </w:rPr>
      </w:pPr>
    </w:p>
    <w:p>
      <w:pPr>
        <w:ind w:right="2099" w:firstLine="527"/>
        <w:spacing w:after="0" w:line="260" w:lineRule="auto"/>
        <w:rPr>
          <w:sz w:val="20"/>
          <w:szCs w:val="20"/>
          <w:color w:val="auto"/>
        </w:rPr>
      </w:pPr>
      <w:r>
        <w:rPr>
          <w:rFonts w:ascii="Courier New" w:cs="Courier New" w:eastAsia="Courier New" w:hAnsi="Courier New"/>
          <w:sz w:val="18"/>
          <w:szCs w:val="18"/>
          <w:color w:val="auto"/>
        </w:rPr>
        <w:t>This cost reduction program is in addition to the measures implemented during the first and fourth quarters of fiscal 2002. In the fourth quarter of fiscal 2002, we recorded a charge of $20.9 million, consisting primarily of employee separation costs in connection with the termination of employment of approximately 1,000 software and information technology specialists and administrative professionals and</w:t>
      </w:r>
    </w:p>
    <w:p>
      <w:pPr>
        <w:spacing w:after="0" w:line="9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28</w:t>
      </w:r>
    </w:p>
    <w:p>
      <w:pPr>
        <w:sectPr>
          <w:pgSz w:w="11900" w:h="16838" w:orient="portrait"/>
          <w:cols w:equalWidth="0" w:num="1">
            <w:col w:w="10219"/>
          </w:cols>
          <w:pgMar w:left="240" w:top="691" w:right="1440" w:bottom="793" w:gutter="0" w:footer="0" w:header="0"/>
        </w:sectPr>
      </w:pPr>
    </w:p>
    <w:bookmarkStart w:id="31" w:name="page32"/>
    <w:bookmarkEnd w:id="31"/>
    <w:p>
      <w:pPr>
        <w:ind w:right="1999"/>
        <w:spacing w:after="0" w:line="256" w:lineRule="auto"/>
        <w:rPr>
          <w:sz w:val="20"/>
          <w:szCs w:val="20"/>
          <w:color w:val="auto"/>
        </w:rPr>
      </w:pPr>
      <w:r>
        <w:rPr>
          <w:rFonts w:ascii="Courier New" w:cs="Courier New" w:eastAsia="Courier New" w:hAnsi="Courier New"/>
          <w:sz w:val="18"/>
          <w:szCs w:val="18"/>
          <w:color w:val="auto"/>
        </w:rPr>
        <w:t>for the write-off of leasehold improvements and rent obligations. In the first quarter of fiscal 2002, we consolidated our Stamford, Connecticut data center into our Champaign, Illinois facility, and closed the Stamford facility. As a direct result of this closure, we recorded a restructuring charge of $13.3 million in the first quarter of fiscal 2002, primarily for the write-off of leasehold improvements and rent obligations, with the remainder for employee separation costs.</w:t>
      </w:r>
    </w:p>
    <w:p>
      <w:pPr>
        <w:spacing w:after="0" w:line="98" w:lineRule="exact"/>
        <w:rPr>
          <w:sz w:val="20"/>
          <w:szCs w:val="20"/>
          <w:color w:val="auto"/>
        </w:rPr>
      </w:pPr>
    </w:p>
    <w:p>
      <w:pPr>
        <w:ind w:right="1999" w:firstLine="527"/>
        <w:spacing w:after="0" w:line="292" w:lineRule="auto"/>
        <w:rPr>
          <w:sz w:val="20"/>
          <w:szCs w:val="20"/>
          <w:color w:val="auto"/>
        </w:rPr>
      </w:pPr>
      <w:r>
        <w:rPr>
          <w:rFonts w:ascii="Courier New" w:cs="Courier New" w:eastAsia="Courier New" w:hAnsi="Courier New"/>
          <w:sz w:val="18"/>
          <w:szCs w:val="18"/>
          <w:color w:val="auto"/>
        </w:rPr>
        <w:t>All of these charges are included in "restructuring charges, in-process research and development and other" for the years ended September 30, 2003 and 2002.</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ACQUISITIONS</w:t>
      </w:r>
    </w:p>
    <w:p>
      <w:pPr>
        <w:spacing w:after="0" w:line="201" w:lineRule="exact"/>
        <w:rPr>
          <w:sz w:val="20"/>
          <w:szCs w:val="20"/>
          <w:color w:val="auto"/>
        </w:rPr>
      </w:pPr>
    </w:p>
    <w:p>
      <w:pPr>
        <w:ind w:right="1999" w:firstLine="527"/>
        <w:spacing w:after="0" w:line="292" w:lineRule="auto"/>
        <w:rPr>
          <w:sz w:val="20"/>
          <w:szCs w:val="20"/>
          <w:color w:val="auto"/>
        </w:rPr>
      </w:pPr>
      <w:r>
        <w:rPr>
          <w:rFonts w:ascii="Courier New" w:cs="Courier New" w:eastAsia="Courier New" w:hAnsi="Courier New"/>
          <w:sz w:val="18"/>
          <w:szCs w:val="18"/>
          <w:color w:val="auto"/>
        </w:rPr>
        <w:t>As part of our strategy, we may pursue acquisitions in order to offer new products or services or otherwise enhance our market position or strategic strengths.</w:t>
      </w:r>
    </w:p>
    <w:p>
      <w:pPr>
        <w:spacing w:after="0" w:line="66" w:lineRule="exact"/>
        <w:rPr>
          <w:sz w:val="20"/>
          <w:szCs w:val="20"/>
          <w:color w:val="auto"/>
        </w:rPr>
      </w:pPr>
    </w:p>
    <w:p>
      <w:pPr>
        <w:ind w:right="1779" w:firstLine="527"/>
        <w:spacing w:after="0" w:line="281" w:lineRule="auto"/>
        <w:rPr>
          <w:sz w:val="20"/>
          <w:szCs w:val="20"/>
          <w:color w:val="auto"/>
        </w:rPr>
      </w:pPr>
      <w:r>
        <w:rPr>
          <w:rFonts w:ascii="Courier New" w:cs="Courier New" w:eastAsia="Courier New" w:hAnsi="Courier New"/>
          <w:sz w:val="16"/>
          <w:szCs w:val="16"/>
          <w:color w:val="auto"/>
        </w:rPr>
        <w:t>On November 28, 2001, we purchased from Nortel Networks Corporation substantially all of the assets of its Clarify business, a leading provider of CRM software to communications companies and other enterprise sectors. This acquisition positioned us as a leading provider of CRM software to the communications industry and, through our addition of Clarify's CRM software to our portfolio of product offerings, reinforced our leadership in delivering Integrated Customer Management software applications. Following the acquisition, we have continued to sell Clarify's CRM software to customers other than communications service providers. The total purchase price for Clarify, as of September 30, 2002, was $212.0 million in cash, including transaction costs of $8.3 million. The purchase price was subject to final price adjustments that were settled in October 2002 and resulted in an $11.1 million reduction of the purchase price to $200.9 million in the first quarter of fiscal 2003.</w:t>
      </w:r>
    </w:p>
    <w:p>
      <w:pPr>
        <w:spacing w:after="0" w:line="290" w:lineRule="exact"/>
        <w:rPr>
          <w:sz w:val="20"/>
          <w:szCs w:val="20"/>
          <w:color w:val="auto"/>
        </w:rPr>
      </w:pPr>
    </w:p>
    <w:p>
      <w:pPr>
        <w:ind w:right="1779" w:firstLine="527"/>
        <w:spacing w:after="0" w:line="277" w:lineRule="auto"/>
        <w:rPr>
          <w:sz w:val="20"/>
          <w:szCs w:val="20"/>
          <w:color w:val="auto"/>
        </w:rPr>
      </w:pPr>
      <w:r>
        <w:rPr>
          <w:rFonts w:ascii="Courier New" w:cs="Courier New" w:eastAsia="Courier New" w:hAnsi="Courier New"/>
          <w:sz w:val="16"/>
          <w:szCs w:val="16"/>
          <w:color w:val="auto"/>
        </w:rPr>
        <w:t>We accounted for the Clarify acquisition using the purchase method of accounting. We have included the fair market value of the assets and liabilities acquired in our consolidated balance sheet and the results of operations for Clarify in our consolidated statements of operations as of the closing date of the acquisition. We obtained a valuation of the intangible assets acquired and the acquired technology, including both existing technology and in-process research and development. The valuation of these items was estimated by applying the income forecast method, which considered the present value of cash flows by product lines. We amortized the fair value of existing technology products over two years, commencing as of the closing date of the acquisition. We charged as an expense in-process research and development immediately following the completion of the acquisition in accordance with the Financial Accounting Standards Board ("FASB") Interpretation No. 4, "Applicability of FASB Statement No. 2 to Business Combinations Accounted for by the Purchase Method", because the technology had not reached technological feasibility and had no alternative use. As of the closing date of the acquisition, we commenced amortization of the fair value of customer arrangements over three years.</w:t>
      </w:r>
    </w:p>
    <w:p>
      <w:pPr>
        <w:spacing w:after="0" w:line="299" w:lineRule="exact"/>
        <w:rPr>
          <w:sz w:val="20"/>
          <w:szCs w:val="20"/>
          <w:color w:val="auto"/>
        </w:rPr>
      </w:pPr>
    </w:p>
    <w:p>
      <w:pPr>
        <w:ind w:right="1779" w:firstLine="527"/>
        <w:spacing w:after="0" w:line="247" w:lineRule="auto"/>
        <w:rPr>
          <w:sz w:val="20"/>
          <w:szCs w:val="20"/>
          <w:color w:val="auto"/>
        </w:rPr>
      </w:pPr>
      <w:r>
        <w:rPr>
          <w:rFonts w:ascii="Courier New" w:cs="Courier New" w:eastAsia="Courier New" w:hAnsi="Courier New"/>
          <w:sz w:val="18"/>
          <w:szCs w:val="18"/>
          <w:color w:val="auto"/>
        </w:rPr>
        <w:t>On July 2, 2003, we acquired from Bell Canada its 90% ownership interest in Certen, which we formed with Bell Canada in January 2001 to provide customer care and billing solutions to Bell Canada and a number of Bell Canada's affiliated companies. This acquisition expanded our Managed Services offerings and positioned us as a leading provider of Managed Services to the communications industry. Prior to this acquisition, we owned 10% of Certen. As a result of the acquisition, Certen is now our wholly owned subsidiary. Since Certen's inception, we have provided customer care and billing software required by Certen, including related customization, installation, maintenance and other services. We now have a major billing operations Managed Services agreement with Bell Canada through December 2010. The total purchase price for Certen was approximately $66.0 million in cash. In addition, we incurred transaction related costs of approximately $5.0 million.</w:t>
      </w:r>
    </w:p>
    <w:p>
      <w:pPr>
        <w:spacing w:after="0" w:line="108" w:lineRule="exact"/>
        <w:rPr>
          <w:sz w:val="20"/>
          <w:szCs w:val="20"/>
          <w:color w:val="auto"/>
        </w:rPr>
      </w:pPr>
    </w:p>
    <w:p>
      <w:pPr>
        <w:ind w:right="1779" w:firstLine="527"/>
        <w:spacing w:after="0" w:line="242" w:lineRule="auto"/>
        <w:rPr>
          <w:sz w:val="20"/>
          <w:szCs w:val="20"/>
          <w:color w:val="auto"/>
        </w:rPr>
      </w:pPr>
      <w:r>
        <w:rPr>
          <w:rFonts w:ascii="Courier New" w:cs="Courier New" w:eastAsia="Courier New" w:hAnsi="Courier New"/>
          <w:sz w:val="18"/>
          <w:szCs w:val="18"/>
          <w:color w:val="auto"/>
        </w:rPr>
        <w:t>We accounted for the Certen acquisition using the purchase method of accounting. We have included the fair market value of the assets and liabilities acquired in this transaction in our consolidated balance sheet and the results of operations for Certen in our consolidated statement of operations as of the closing date of the acquisition. We are in the process of obtaining a valuation of the intangible assets acquired. A final determination of purchase accounting adjustments will be made following the completion of the valuation. The total purchase price is being allocated to Certen's assets and liabilities, including the</w:t>
      </w:r>
    </w:p>
    <w:p>
      <w:pPr>
        <w:spacing w:after="0" w:line="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29</w:t>
      </w:r>
    </w:p>
    <w:p>
      <w:pPr>
        <w:sectPr>
          <w:pgSz w:w="11900" w:h="16838" w:orient="portrait"/>
          <w:cols w:equalWidth="0" w:num="1">
            <w:col w:w="10219"/>
          </w:cols>
          <w:pgMar w:left="240" w:top="691" w:right="1440" w:bottom="559" w:gutter="0" w:footer="0" w:header="0"/>
        </w:sectPr>
      </w:pPr>
    </w:p>
    <w:bookmarkStart w:id="32" w:name="page33"/>
    <w:bookmarkEnd w:id="32"/>
    <w:p>
      <w:pPr>
        <w:ind w:right="1779"/>
        <w:spacing w:after="0" w:line="252" w:lineRule="auto"/>
        <w:rPr>
          <w:sz w:val="20"/>
          <w:szCs w:val="20"/>
          <w:color w:val="auto"/>
        </w:rPr>
      </w:pPr>
      <w:r>
        <w:rPr>
          <w:rFonts w:ascii="Courier New" w:cs="Courier New" w:eastAsia="Courier New" w:hAnsi="Courier New"/>
          <w:sz w:val="18"/>
          <w:szCs w:val="18"/>
          <w:color w:val="auto"/>
        </w:rPr>
        <w:t>identifiable intangibles, based on their respective estimated fair values, on the date the transaction was consummated. We allocated to goodwill the excess of the purchase price over the fair value of the net assets acquired, including the identifiable intangibles. In addition, deferred taxes were recognized for the difference between the book and tax basis of certain assets and liabilities, including the acquired identifiable intangibles. We are amortizing the fair value of the customer arrangement over seven and half years commencing on the closing date of the acquisition (the remaining life of the Managed Services agreement).</w:t>
      </w:r>
    </w:p>
    <w:p>
      <w:pPr>
        <w:spacing w:after="0" w:line="99" w:lineRule="exact"/>
        <w:rPr>
          <w:sz w:val="20"/>
          <w:szCs w:val="20"/>
          <w:color w:val="auto"/>
        </w:rPr>
      </w:pPr>
    </w:p>
    <w:p>
      <w:pPr>
        <w:ind w:right="1779" w:firstLine="527"/>
        <w:spacing w:after="0" w:line="287" w:lineRule="auto"/>
        <w:rPr>
          <w:sz w:val="20"/>
          <w:szCs w:val="20"/>
          <w:color w:val="auto"/>
        </w:rPr>
      </w:pPr>
      <w:r>
        <w:rPr>
          <w:rFonts w:ascii="Courier New" w:cs="Courier New" w:eastAsia="Courier New" w:hAnsi="Courier New"/>
          <w:sz w:val="16"/>
          <w:szCs w:val="16"/>
          <w:color w:val="auto"/>
        </w:rPr>
        <w:t>The excess of the purchase price over the fair value of the net assets acquired, including the identifiable intangibles, constitutes goodwill. According to the transition provisions of Statements of Financial Accounting Standards ("SFAS") No. 142, "Goodwill and Other Intangible Assets", goodwill for acquisitions completed subsequent to June 30, 2001 is not amortized and goodwill for acquisitions completed prior to June 30, 2001 is amortized only through September 30, 2002. See the discussion below under the caption "Adoption of New Accounting Standards". In accordance with these provisions, the goodwill relating to the Clarify and Certen acquisitions has not been amortized.</w:t>
      </w:r>
    </w:p>
    <w:p>
      <w:pPr>
        <w:spacing w:after="0" w:line="75" w:lineRule="exact"/>
        <w:rPr>
          <w:sz w:val="20"/>
          <w:szCs w:val="20"/>
          <w:color w:val="auto"/>
        </w:rPr>
      </w:pPr>
    </w:p>
    <w:p>
      <w:pPr>
        <w:ind w:right="2099" w:firstLine="527"/>
        <w:spacing w:after="0" w:line="347" w:lineRule="auto"/>
        <w:rPr>
          <w:sz w:val="20"/>
          <w:szCs w:val="20"/>
          <w:color w:val="auto"/>
        </w:rPr>
      </w:pPr>
      <w:r>
        <w:rPr>
          <w:rFonts w:ascii="Courier New" w:cs="Courier New" w:eastAsia="Courier New" w:hAnsi="Courier New"/>
          <w:sz w:val="18"/>
          <w:szCs w:val="18"/>
          <w:color w:val="auto"/>
        </w:rPr>
        <w:t>For more information on our acquisitions, see Note 3 to the consolidated financial statements included in this document.</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RESEARCH AND DEVELOPMENT, PATENTS AND LICENSES</w:t>
      </w:r>
    </w:p>
    <w:p>
      <w:pPr>
        <w:spacing w:after="0" w:line="201"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Our research and development activities involve the development of new software modules and product offerings in response to an identified market demand, either in conjunction with a customer project or as part of our internal product development programs. We also expend additional amounts on applied research and software development activities to keep abreast of new technologies in the communications markets and to provide new and enhanced functionality to our existing product offerings. Research and development expenditures were $119.3 million, $124.1 million and $105.8 million in the fiscal years ended September 30, 2003, 2002 and 2001, respectively, representing 8.0%, 7.7% and</w:t>
      </w:r>
    </w:p>
    <w:p>
      <w:pPr>
        <w:spacing w:after="0" w:line="6" w:lineRule="exact"/>
        <w:rPr>
          <w:sz w:val="20"/>
          <w:szCs w:val="20"/>
          <w:color w:val="auto"/>
        </w:rPr>
      </w:pPr>
    </w:p>
    <w:p>
      <w:pPr>
        <w:ind w:right="1879"/>
        <w:spacing w:after="0" w:line="279" w:lineRule="auto"/>
        <w:rPr>
          <w:sz w:val="20"/>
          <w:szCs w:val="20"/>
          <w:color w:val="auto"/>
        </w:rPr>
      </w:pPr>
      <w:r>
        <w:rPr>
          <w:rFonts w:ascii="Courier New" w:cs="Courier New" w:eastAsia="Courier New" w:hAnsi="Courier New"/>
          <w:sz w:val="16"/>
          <w:szCs w:val="16"/>
          <w:color w:val="auto"/>
        </w:rPr>
        <w:t>6.9%, respectively, of our revenue in these fiscal years. We believe that our research and development efforts are a key element of our strategy and are essential to our success. Although we intend to continue to devote resources to research and development as required to maintain and further strengthen our market position, our research and development budget, like all of our costs, is sensitive to our overall financial condition. A decrease in our total revenue could, in certain circumstances, lead to reductions in the levels of our research and development expenditures. In the near-term, we intend to continue to make substantial investments in our research and development activities. We believe that this ongoing investment will position us to capitalize on future potential opportunities in the communications industry.</w:t>
      </w:r>
    </w:p>
    <w:p>
      <w:pPr>
        <w:spacing w:after="0" w:line="292" w:lineRule="exact"/>
        <w:rPr>
          <w:sz w:val="20"/>
          <w:szCs w:val="20"/>
          <w:color w:val="auto"/>
        </w:rPr>
      </w:pPr>
    </w:p>
    <w:p>
      <w:pPr>
        <w:ind w:right="1879" w:firstLine="527"/>
        <w:spacing w:after="0" w:line="249" w:lineRule="auto"/>
        <w:rPr>
          <w:sz w:val="20"/>
          <w:szCs w:val="20"/>
          <w:color w:val="auto"/>
        </w:rPr>
      </w:pPr>
      <w:r>
        <w:rPr>
          <w:rFonts w:ascii="Courier New" w:cs="Courier New" w:eastAsia="Courier New" w:hAnsi="Courier New"/>
          <w:sz w:val="18"/>
          <w:szCs w:val="18"/>
          <w:color w:val="auto"/>
        </w:rPr>
        <w:t>We regard significant portions of our software products and systems as proprietary. We rely on a combination of statutory and common law copyright, trademark and trade secret laws, customer licensing agreements, employee and third-party nondisclosure agreements and other methods to protect our proprietary rights. We generally enter into confidentiality agreements with our employees, consultants, subcontractors, customers and potential customers and limit access to, and distribution of, our proprietary information. We believe that the sophistication and complexity of our Integrated Customer Management offerings make it very difficult to copy such information or to subject such information to unauthorized use. We maintain sole ownership of our software products.</w:t>
      </w:r>
    </w:p>
    <w:p>
      <w:pPr>
        <w:spacing w:after="0" w:line="1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CONVERTIBLE NOTES</w:t>
      </w:r>
    </w:p>
    <w:p>
      <w:pPr>
        <w:spacing w:after="0" w:line="201" w:lineRule="exact"/>
        <w:rPr>
          <w:sz w:val="20"/>
          <w:szCs w:val="20"/>
          <w:color w:val="auto"/>
        </w:rPr>
      </w:pPr>
    </w:p>
    <w:p>
      <w:pPr>
        <w:ind w:right="1779" w:firstLine="527"/>
        <w:spacing w:after="0" w:line="250" w:lineRule="auto"/>
        <w:rPr>
          <w:sz w:val="20"/>
          <w:szCs w:val="20"/>
          <w:color w:val="auto"/>
        </w:rPr>
      </w:pPr>
      <w:r>
        <w:rPr>
          <w:rFonts w:ascii="Courier New" w:cs="Courier New" w:eastAsia="Courier New" w:hAnsi="Courier New"/>
          <w:sz w:val="18"/>
          <w:szCs w:val="18"/>
          <w:color w:val="auto"/>
        </w:rPr>
        <w:t>In May 2001, we issued $500.0 million aggregate principal amount of 2% Convertible Notes due June 1, 2008. We are obligated to pay interest on the Notes semi-annually on June 1 and December 1 of each year. The Notes are senior unsecured obligations and rank equal in right of payment with all of our existing and future senior unsecured indebtedness. The Notes are convertible, at the option of the holders at any time before the maturity date, into our ordinary shares at a conversion rate of 10.8587 shares per $1,000 principal amount of Notes, representing a conversion price of approximately $92.09 per share. The Notes are subject to redemption at any time on or after June 1, 2006, in whole or in part, at our option, at</w:t>
      </w:r>
    </w:p>
    <w:p>
      <w:pPr>
        <w:spacing w:after="0" w:line="1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30</w:t>
      </w:r>
    </w:p>
    <w:p>
      <w:pPr>
        <w:sectPr>
          <w:pgSz w:w="11900" w:h="16838" w:orient="portrait"/>
          <w:cols w:equalWidth="0" w:num="1">
            <w:col w:w="10219"/>
          </w:cols>
          <w:pgMar w:left="240" w:top="691" w:right="1440" w:bottom="996" w:gutter="0" w:footer="0" w:header="0"/>
        </w:sectPr>
      </w:pPr>
    </w:p>
    <w:bookmarkStart w:id="33" w:name="page34"/>
    <w:bookmarkEnd w:id="33"/>
    <w:p>
      <w:pPr>
        <w:ind w:right="1779"/>
        <w:spacing w:after="0" w:line="253" w:lineRule="auto"/>
        <w:rPr>
          <w:sz w:val="20"/>
          <w:szCs w:val="20"/>
          <w:color w:val="auto"/>
        </w:rPr>
      </w:pPr>
      <w:r>
        <w:rPr>
          <w:rFonts w:ascii="Courier New" w:cs="Courier New" w:eastAsia="Courier New" w:hAnsi="Courier New"/>
          <w:sz w:val="18"/>
          <w:szCs w:val="18"/>
          <w:color w:val="auto"/>
        </w:rPr>
        <w:t>a redemption price of 100% of the principal amount plus accrued and unpaid interest. The Notes are subject to repurchase, at the holder's option, on June 1, 2004 and June 1, 2006, at a repurchase price equal to 100% of the principal amount plus accrued and unpaid interest, if any, on such repurchase dates. Due to the high conversion price for the Notes, it is likely that the holders of the Notes will require us to redeem their Notes on June 1, 2004. We may choose to pay the repurchase price in cash, ordinary shares or a combination of cash and ordinary shares.</w:t>
      </w:r>
    </w:p>
    <w:p>
      <w:pPr>
        <w:spacing w:after="0" w:line="104" w:lineRule="exact"/>
        <w:rPr>
          <w:sz w:val="20"/>
          <w:szCs w:val="20"/>
          <w:color w:val="auto"/>
        </w:rPr>
      </w:pPr>
    </w:p>
    <w:p>
      <w:pPr>
        <w:ind w:right="1779" w:firstLine="527"/>
        <w:spacing w:after="0" w:line="283" w:lineRule="auto"/>
        <w:rPr>
          <w:sz w:val="20"/>
          <w:szCs w:val="20"/>
          <w:color w:val="auto"/>
        </w:rPr>
      </w:pPr>
      <w:r>
        <w:rPr>
          <w:rFonts w:ascii="Courier New" w:cs="Courier New" w:eastAsia="Courier New" w:hAnsi="Courier New"/>
          <w:sz w:val="16"/>
          <w:szCs w:val="16"/>
          <w:color w:val="auto"/>
        </w:rPr>
        <w:t>On July 23, 2002, our Board of Directors authorized us to repurchase Notes, in such amounts, at such prices and at such times considered appropriate. Such repurchases may be made on the open market, in privately negotiated transactions or otherwise, in accordance with any applicable laws and the terms of the Notes. In the fourth quarter of fiscal 2003, we repurchased $44.6 million aggregate principal amount of the Notes, at an average price of $990 per $1,000 principal amount. In the fourth quarter of fiscal 2002, we repurchased $54.9 million aggregate principal amount of the Notes, at an average price of $890 per $1,000 principal amount. We funded these repurchases, and intend to fund any future repurchases, with available funds. As of September 30, 2003, $400.5 million aggregate principal amount of the Notes was outstanding.</w:t>
      </w: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 REPURCHASE PROGRAM</w:t>
      </w:r>
    </w:p>
    <w:p>
      <w:pPr>
        <w:spacing w:after="0" w:line="201" w:lineRule="exact"/>
        <w:rPr>
          <w:sz w:val="20"/>
          <w:szCs w:val="20"/>
          <w:color w:val="auto"/>
        </w:rPr>
      </w:pPr>
    </w:p>
    <w:p>
      <w:pPr>
        <w:ind w:right="1779" w:firstLine="527"/>
        <w:spacing w:after="0" w:line="248" w:lineRule="auto"/>
        <w:rPr>
          <w:sz w:val="20"/>
          <w:szCs w:val="20"/>
          <w:color w:val="auto"/>
        </w:rPr>
      </w:pPr>
      <w:r>
        <w:rPr>
          <w:rFonts w:ascii="Courier New" w:cs="Courier New" w:eastAsia="Courier New" w:hAnsi="Courier New"/>
          <w:sz w:val="18"/>
          <w:szCs w:val="18"/>
          <w:color w:val="auto"/>
        </w:rPr>
        <w:t>On November 5, 2003, we announced that our Board of Directors had authorized a share repurchase program of up to five million ordinary shares over the next twelve months. The authorization permits us to purchase ordinary shares in open market or privately negotiated transactions and at prices we deem appropriate. We stated that one of the main purposes of the repurchase program was to offset the dilutive effect of any future share issuances, including issuances in connection with acquisitions or pursuant to employee equity plans. In accordance with this program, as of December 22, 2003, we had repurchased approximately 5.0 million ordinary shares, at an average price of $24.82 per share. Pursuant to a previous share repurchase program, in fiscal 2002 we purchased 7.7 million of our ordinary shares at a weighted average price of $14.13 per share.</w:t>
      </w:r>
    </w:p>
    <w:p>
      <w:pPr>
        <w:spacing w:after="0" w:line="1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ADJUSTMENT TO THE BASIS OF INVESTMENTS</w:t>
      </w:r>
    </w:p>
    <w:p>
      <w:pPr>
        <w:spacing w:after="0" w:line="201" w:lineRule="exact"/>
        <w:rPr>
          <w:sz w:val="20"/>
          <w:szCs w:val="20"/>
          <w:color w:val="auto"/>
        </w:rPr>
      </w:pPr>
    </w:p>
    <w:p>
      <w:pPr>
        <w:ind w:right="1779" w:firstLine="527"/>
        <w:spacing w:after="0" w:line="260" w:lineRule="auto"/>
        <w:rPr>
          <w:sz w:val="20"/>
          <w:szCs w:val="20"/>
          <w:color w:val="auto"/>
        </w:rPr>
      </w:pPr>
      <w:r>
        <w:rPr>
          <w:rFonts w:ascii="Courier New" w:cs="Courier New" w:eastAsia="Courier New" w:hAnsi="Courier New"/>
          <w:sz w:val="18"/>
          <w:szCs w:val="18"/>
          <w:color w:val="auto"/>
        </w:rPr>
        <w:t>We recorded pretax charges of $5.5 million and $6.8 million in fiscal 2002 and fiscal 2001, respectively, to adjust the carrying value of certain investments accounted for by us under the cost method. Following these adjustments and the Certen transaction, we had no investments accounted for under the cost method as of September 30, 2003, with a carrying value other than zero.</w:t>
      </w:r>
    </w:p>
    <w:p>
      <w:pPr>
        <w:spacing w:after="0" w:line="9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31</w:t>
      </w:r>
    </w:p>
    <w:p>
      <w:pPr>
        <w:sectPr>
          <w:pgSz w:w="11900" w:h="16838" w:orient="portrait"/>
          <w:cols w:equalWidth="0" w:num="1">
            <w:col w:w="10219"/>
          </w:cols>
          <w:pgMar w:left="240" w:top="691" w:right="1440" w:bottom="1440" w:gutter="0" w:footer="0" w:header="0"/>
        </w:sectPr>
      </w:pPr>
    </w:p>
    <w:bookmarkStart w:id="34" w:name="page35"/>
    <w:bookmarkEnd w:id="34"/>
    <w:p>
      <w:pPr>
        <w:spacing w:after="0"/>
        <w:rPr>
          <w:sz w:val="20"/>
          <w:szCs w:val="20"/>
          <w:color w:val="auto"/>
        </w:rPr>
      </w:pPr>
      <w:r>
        <w:rPr>
          <w:rFonts w:ascii="Courier New" w:cs="Courier New" w:eastAsia="Courier New" w:hAnsi="Courier New"/>
          <w:sz w:val="18"/>
          <w:szCs w:val="18"/>
          <w:color w:val="auto"/>
        </w:rPr>
        <w:t>OPERATING RESULTS</w:t>
      </w:r>
    </w:p>
    <w:p>
      <w:pPr>
        <w:spacing w:after="0" w:line="201" w:lineRule="exact"/>
        <w:rPr>
          <w:sz w:val="20"/>
          <w:szCs w:val="20"/>
          <w:color w:val="auto"/>
        </w:rPr>
      </w:pPr>
    </w:p>
    <w:p>
      <w:pPr>
        <w:ind w:right="1999" w:firstLine="527"/>
        <w:spacing w:after="0" w:line="292" w:lineRule="auto"/>
        <w:rPr>
          <w:sz w:val="20"/>
          <w:szCs w:val="20"/>
          <w:color w:val="auto"/>
        </w:rPr>
      </w:pPr>
      <w:r>
        <w:rPr>
          <w:rFonts w:ascii="Courier New" w:cs="Courier New" w:eastAsia="Courier New" w:hAnsi="Courier New"/>
          <w:sz w:val="18"/>
          <w:szCs w:val="18"/>
          <w:color w:val="auto"/>
        </w:rPr>
        <w:t>The following table sets forth for the fiscal years ended September 30, 2003, 2002 and 2001 certain items in our consolidated statements of operations reflected as a percentage of total revenue:</w:t>
      </w:r>
    </w:p>
    <w:p>
      <w:pPr>
        <w:spacing w:after="0" w:line="6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YEAR ENDED SEPTEMBER 30, --------------------------</w:t>
      </w:r>
    </w:p>
    <w:tbl>
      <w:tblPr>
        <w:tblLayout w:type="fixed"/>
        <w:tblInd w:w="0" w:type="dxa"/>
        <w:tblCellMar>
          <w:top w:w="0" w:type="dxa"/>
          <w:left w:w="0" w:type="dxa"/>
          <w:bottom w:w="0" w:type="dxa"/>
          <w:right w:w="0" w:type="dxa"/>
        </w:tblCellMar>
      </w:tblPr>
      <w:tr>
        <w:trPr>
          <w:trHeight w:val="201"/>
        </w:trPr>
        <w:tc>
          <w:tcPr>
            <w:tcW w:w="2640" w:type="dxa"/>
            <w:vAlign w:val="bottom"/>
          </w:tcPr>
          <w:p>
            <w:pPr>
              <w:jc w:val="right"/>
              <w:spacing w:after="0" w:line="201" w:lineRule="exact"/>
              <w:rPr>
                <w:sz w:val="20"/>
                <w:szCs w:val="20"/>
                <w:color w:val="auto"/>
              </w:rPr>
            </w:pPr>
            <w:r>
              <w:rPr>
                <w:rFonts w:ascii="Courier New" w:cs="Courier New" w:eastAsia="Courier New" w:hAnsi="Courier New"/>
                <w:sz w:val="18"/>
                <w:szCs w:val="18"/>
                <w:color w:val="auto"/>
              </w:rPr>
              <w:t>2003 2002 2001 ------</w:t>
            </w:r>
          </w:p>
        </w:tc>
        <w:tc>
          <w:tcPr>
            <w:tcW w:w="2580" w:type="dxa"/>
            <w:vAlign w:val="bottom"/>
          </w:tcPr>
          <w:p>
            <w:pPr>
              <w:jc w:val="right"/>
              <w:spacing w:after="0" w:line="201" w:lineRule="exact"/>
              <w:rPr>
                <w:sz w:val="20"/>
                <w:szCs w:val="20"/>
                <w:color w:val="auto"/>
              </w:rPr>
            </w:pPr>
            <w:r>
              <w:rPr>
                <w:rFonts w:ascii="Courier New" w:cs="Courier New" w:eastAsia="Courier New" w:hAnsi="Courier New"/>
                <w:sz w:val="18"/>
                <w:szCs w:val="18"/>
                <w:color w:val="auto"/>
              </w:rPr>
              <w:t>------ ------ Revenue:</w:t>
            </w:r>
          </w:p>
        </w:tc>
        <w:tc>
          <w:tcPr>
            <w:tcW w:w="0" w:type="dxa"/>
            <w:vAlign w:val="bottom"/>
          </w:tcPr>
          <w:p>
            <w:pPr>
              <w:spacing w:after="0"/>
              <w:rPr>
                <w:sz w:val="1"/>
                <w:szCs w:val="1"/>
                <w:color w:val="auto"/>
              </w:rPr>
            </w:pPr>
          </w:p>
        </w:tc>
      </w:tr>
      <w:tr>
        <w:trPr>
          <w:trHeight w:val="203"/>
        </w:trPr>
        <w:tc>
          <w:tcPr>
            <w:tcW w:w="2640" w:type="dxa"/>
            <w:vAlign w:val="bottom"/>
          </w:tcPr>
          <w:p>
            <w:pPr>
              <w:jc w:val="right"/>
              <w:spacing w:after="0"/>
              <w:rPr>
                <w:sz w:val="20"/>
                <w:szCs w:val="20"/>
                <w:color w:val="auto"/>
              </w:rPr>
            </w:pPr>
            <w:r>
              <w:rPr>
                <w:rFonts w:ascii="Courier New" w:cs="Courier New" w:eastAsia="Courier New" w:hAnsi="Courier New"/>
                <w:sz w:val="11"/>
                <w:szCs w:val="11"/>
                <w:color w:val="auto"/>
                <w:w w:val="72"/>
              </w:rPr>
              <w:t>License................................................</w:t>
            </w:r>
          </w:p>
        </w:tc>
        <w:tc>
          <w:tcPr>
            <w:tcW w:w="2580" w:type="dxa"/>
            <w:vAlign w:val="bottom"/>
            <w:vMerge w:val="restart"/>
          </w:tcPr>
          <w:p>
            <w:pPr>
              <w:jc w:val="right"/>
              <w:ind w:right="1432"/>
              <w:spacing w:after="0"/>
              <w:rPr>
                <w:sz w:val="20"/>
                <w:szCs w:val="20"/>
                <w:color w:val="auto"/>
              </w:rPr>
            </w:pPr>
            <w:r>
              <w:rPr>
                <w:rFonts w:ascii="Courier New" w:cs="Courier New" w:eastAsia="Courier New" w:hAnsi="Courier New"/>
                <w:sz w:val="18"/>
                <w:szCs w:val="18"/>
                <w:color w:val="auto"/>
                <w:w w:val="96"/>
              </w:rPr>
              <w:t>9.5% 11.2%</w:t>
            </w:r>
          </w:p>
        </w:tc>
        <w:tc>
          <w:tcPr>
            <w:tcW w:w="0" w:type="dxa"/>
            <w:vAlign w:val="bottom"/>
          </w:tcPr>
          <w:p>
            <w:pPr>
              <w:spacing w:after="0"/>
              <w:rPr>
                <w:sz w:val="1"/>
                <w:szCs w:val="1"/>
                <w:color w:val="auto"/>
              </w:rPr>
            </w:pPr>
          </w:p>
        </w:tc>
      </w:tr>
      <w:tr>
        <w:trPr>
          <w:trHeight w:val="203"/>
        </w:trPr>
        <w:tc>
          <w:tcPr>
            <w:tcW w:w="2640" w:type="dxa"/>
            <w:vAlign w:val="bottom"/>
          </w:tcPr>
          <w:p>
            <w:pPr>
              <w:jc w:val="right"/>
              <w:ind w:right="20"/>
              <w:spacing w:after="0" w:line="203" w:lineRule="exact"/>
              <w:rPr>
                <w:sz w:val="20"/>
                <w:szCs w:val="20"/>
                <w:color w:val="auto"/>
              </w:rPr>
            </w:pPr>
            <w:r>
              <w:rPr>
                <w:rFonts w:ascii="Courier New" w:cs="Courier New" w:eastAsia="Courier New" w:hAnsi="Courier New"/>
                <w:sz w:val="18"/>
                <w:szCs w:val="18"/>
                <w:color w:val="auto"/>
              </w:rPr>
              <w:t>4.4%</w:t>
            </w:r>
          </w:p>
        </w:tc>
        <w:tc>
          <w:tcPr>
            <w:tcW w:w="2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522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87"/>
              </w:rPr>
              <w:t>Service................................................</w:t>
            </w:r>
          </w:p>
        </w:tc>
        <w:tc>
          <w:tcPr>
            <w:tcW w:w="0" w:type="dxa"/>
            <w:vAlign w:val="bottom"/>
          </w:tcPr>
          <w:p>
            <w:pPr>
              <w:spacing w:after="0"/>
              <w:rPr>
                <w:sz w:val="1"/>
                <w:szCs w:val="1"/>
                <w:color w:val="auto"/>
              </w:rPr>
            </w:pPr>
          </w:p>
        </w:tc>
      </w:tr>
    </w:tbl>
    <w:p>
      <w:pPr>
        <w:ind w:left="60"/>
        <w:spacing w:after="0" w:line="238" w:lineRule="auto"/>
        <w:rPr>
          <w:sz w:val="20"/>
          <w:szCs w:val="20"/>
          <w:color w:val="auto"/>
        </w:rPr>
      </w:pPr>
      <w:r>
        <w:rPr>
          <w:rFonts w:ascii="Courier New" w:cs="Courier New" w:eastAsia="Courier New" w:hAnsi="Courier New"/>
          <w:sz w:val="18"/>
          <w:szCs w:val="18"/>
          <w:color w:val="auto"/>
        </w:rPr>
        <w:t>95.6 90.5 88.8 ----- ----- ----- 100.0 100.0 100.0 ---</w:t>
      </w:r>
    </w:p>
    <w:p>
      <w:pPr>
        <w:ind w:left="700"/>
        <w:spacing w:after="0"/>
        <w:rPr>
          <w:sz w:val="20"/>
          <w:szCs w:val="20"/>
          <w:color w:val="auto"/>
        </w:rPr>
      </w:pPr>
      <w:r>
        <w:rPr>
          <w:rFonts w:ascii="Courier New" w:cs="Courier New" w:eastAsia="Courier New" w:hAnsi="Courier New"/>
          <w:sz w:val="18"/>
          <w:szCs w:val="18"/>
          <w:color w:val="auto"/>
        </w:rPr>
        <w:t>-- ----- ----- Operating expenses: Cost of</w:t>
      </w:r>
    </w:p>
    <w:tbl>
      <w:tblPr>
        <w:tblLayout w:type="fixed"/>
        <w:tblInd w:w="60" w:type="dxa"/>
        <w:tblCellMar>
          <w:top w:w="0" w:type="dxa"/>
          <w:left w:w="0" w:type="dxa"/>
          <w:bottom w:w="0" w:type="dxa"/>
          <w:right w:w="0" w:type="dxa"/>
        </w:tblCellMar>
      </w:tblPr>
      <w:tr>
        <w:trPr>
          <w:trHeight w:val="171"/>
        </w:trPr>
        <w:tc>
          <w:tcPr>
            <w:tcW w:w="1580" w:type="dxa"/>
            <w:vAlign w:val="bottom"/>
          </w:tcPr>
          <w:p>
            <w:pPr>
              <w:jc w:val="right"/>
              <w:spacing w:after="0"/>
              <w:rPr>
                <w:sz w:val="20"/>
                <w:szCs w:val="20"/>
                <w:color w:val="auto"/>
              </w:rPr>
            </w:pPr>
            <w:r>
              <w:rPr>
                <w:rFonts w:ascii="Courier New" w:cs="Courier New" w:eastAsia="Courier New" w:hAnsi="Courier New"/>
                <w:sz w:val="3"/>
                <w:szCs w:val="3"/>
                <w:color w:val="auto"/>
                <w:w w:val="80"/>
              </w:rPr>
              <w:t>license...........................................</w:t>
            </w:r>
            <w:r>
              <w:rPr>
                <w:rFonts w:ascii="Courier New" w:cs="Courier New" w:eastAsia="Courier New" w:hAnsi="Courier New"/>
                <w:sz w:val="6"/>
                <w:szCs w:val="6"/>
                <w:color w:val="auto"/>
                <w:w w:val="80"/>
                <w:vertAlign w:val="subscript"/>
              </w:rPr>
              <w:t>...........................................</w:t>
            </w:r>
          </w:p>
        </w:tc>
        <w:tc>
          <w:tcPr>
            <w:tcW w:w="8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0.3</w:t>
            </w:r>
          </w:p>
        </w:tc>
        <w:tc>
          <w:tcPr>
            <w:tcW w:w="3260" w:type="dxa"/>
            <w:vAlign w:val="bottom"/>
          </w:tcPr>
          <w:p>
            <w:pPr>
              <w:jc w:val="right"/>
              <w:spacing w:after="0" w:line="170" w:lineRule="exact"/>
              <w:rPr>
                <w:sz w:val="20"/>
                <w:szCs w:val="20"/>
                <w:color w:val="auto"/>
              </w:rPr>
            </w:pPr>
            <w:r>
              <w:rPr>
                <w:rFonts w:ascii="Courier New" w:cs="Courier New" w:eastAsia="Courier New" w:hAnsi="Courier New"/>
                <w:sz w:val="18"/>
                <w:szCs w:val="18"/>
                <w:color w:val="auto"/>
              </w:rPr>
              <w:t>0.4</w:t>
            </w:r>
          </w:p>
        </w:tc>
        <w:tc>
          <w:tcPr>
            <w:tcW w:w="0" w:type="dxa"/>
            <w:vAlign w:val="bottom"/>
          </w:tcPr>
          <w:p>
            <w:pPr>
              <w:spacing w:after="0"/>
              <w:rPr>
                <w:sz w:val="1"/>
                <w:szCs w:val="1"/>
                <w:color w:val="auto"/>
              </w:rPr>
            </w:pPr>
          </w:p>
        </w:tc>
      </w:tr>
      <w:tr>
        <w:trPr>
          <w:trHeight w:val="296"/>
        </w:trPr>
        <w:tc>
          <w:tcPr>
            <w:tcW w:w="1580" w:type="dxa"/>
            <w:vAlign w:val="bottom"/>
            <w:vMerge w:val="restart"/>
          </w:tcPr>
          <w:p>
            <w:pPr>
              <w:jc w:val="right"/>
              <w:ind w:right="577"/>
              <w:spacing w:after="0"/>
              <w:rPr>
                <w:sz w:val="20"/>
                <w:szCs w:val="20"/>
                <w:color w:val="auto"/>
              </w:rPr>
            </w:pPr>
            <w:r>
              <w:rPr>
                <w:rFonts w:ascii="Courier New" w:cs="Courier New" w:eastAsia="Courier New" w:hAnsi="Courier New"/>
                <w:sz w:val="18"/>
                <w:szCs w:val="18"/>
                <w:color w:val="auto"/>
              </w:rPr>
              <w:t>service</w:t>
            </w:r>
          </w:p>
        </w:tc>
        <w:tc>
          <w:tcPr>
            <w:tcW w:w="840" w:type="dxa"/>
            <w:vAlign w:val="bottom"/>
            <w:vMerge w:val="continue"/>
          </w:tcPr>
          <w:p>
            <w:pPr>
              <w:spacing w:after="0"/>
              <w:rPr>
                <w:sz w:val="24"/>
                <w:szCs w:val="24"/>
                <w:color w:val="auto"/>
              </w:rPr>
            </w:pPr>
          </w:p>
        </w:tc>
        <w:tc>
          <w:tcPr>
            <w:tcW w:w="3260" w:type="dxa"/>
            <w:vAlign w:val="bottom"/>
          </w:tcPr>
          <w:p>
            <w:pPr>
              <w:ind w:left="60"/>
              <w:spacing w:after="0"/>
              <w:rPr>
                <w:sz w:val="20"/>
                <w:szCs w:val="20"/>
                <w:color w:val="auto"/>
              </w:rPr>
            </w:pPr>
            <w:r>
              <w:rPr>
                <w:rFonts w:ascii="Courier New" w:cs="Courier New" w:eastAsia="Courier New" w:hAnsi="Courier New"/>
                <w:sz w:val="18"/>
                <w:szCs w:val="18"/>
                <w:color w:val="auto"/>
              </w:rPr>
              <w:t>0.4 Cost of</w:t>
            </w:r>
          </w:p>
        </w:tc>
        <w:tc>
          <w:tcPr>
            <w:tcW w:w="0" w:type="dxa"/>
            <w:vAlign w:val="bottom"/>
          </w:tcPr>
          <w:p>
            <w:pPr>
              <w:spacing w:after="0"/>
              <w:rPr>
                <w:sz w:val="1"/>
                <w:szCs w:val="1"/>
                <w:color w:val="auto"/>
              </w:rPr>
            </w:pPr>
          </w:p>
        </w:tc>
      </w:tr>
      <w:tr>
        <w:trPr>
          <w:trHeight w:val="109"/>
        </w:trPr>
        <w:tc>
          <w:tcPr>
            <w:tcW w:w="158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326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55.3 Research and</w:t>
            </w:r>
          </w:p>
        </w:tc>
        <w:tc>
          <w:tcPr>
            <w:tcW w:w="0" w:type="dxa"/>
            <w:vAlign w:val="bottom"/>
          </w:tcPr>
          <w:p>
            <w:pPr>
              <w:spacing w:after="0"/>
              <w:rPr>
                <w:sz w:val="1"/>
                <w:szCs w:val="1"/>
                <w:color w:val="auto"/>
              </w:rPr>
            </w:pPr>
          </w:p>
        </w:tc>
      </w:tr>
      <w:tr>
        <w:trPr>
          <w:trHeight w:val="203"/>
        </w:trPr>
        <w:tc>
          <w:tcPr>
            <w:tcW w:w="2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61.2 57.5</w:t>
            </w:r>
          </w:p>
        </w:tc>
        <w:tc>
          <w:tcPr>
            <w:tcW w:w="3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2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4"/>
              </w:rPr>
              <w:t>development..................................</w:t>
            </w:r>
          </w:p>
        </w:tc>
        <w:tc>
          <w:tcPr>
            <w:tcW w:w="3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8.0 7.7</w:t>
            </w:r>
          </w:p>
        </w:tc>
        <w:tc>
          <w:tcPr>
            <w:tcW w:w="0" w:type="dxa"/>
            <w:vAlign w:val="bottom"/>
          </w:tcPr>
          <w:p>
            <w:pPr>
              <w:spacing w:after="0"/>
              <w:rPr>
                <w:sz w:val="1"/>
                <w:szCs w:val="1"/>
                <w:color w:val="auto"/>
              </w:rPr>
            </w:pPr>
          </w:p>
        </w:tc>
      </w:tr>
      <w:tr>
        <w:trPr>
          <w:trHeight w:val="203"/>
        </w:trPr>
        <w:tc>
          <w:tcPr>
            <w:tcW w:w="15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administrative</w:t>
            </w:r>
          </w:p>
        </w:tc>
        <w:tc>
          <w:tcPr>
            <w:tcW w:w="41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6.9 Selling, general and</w:t>
            </w:r>
          </w:p>
        </w:tc>
        <w:tc>
          <w:tcPr>
            <w:tcW w:w="0" w:type="dxa"/>
            <w:vAlign w:val="bottom"/>
          </w:tcPr>
          <w:p>
            <w:pPr>
              <w:spacing w:after="0"/>
              <w:rPr>
                <w:sz w:val="1"/>
                <w:szCs w:val="1"/>
                <w:color w:val="auto"/>
              </w:rPr>
            </w:pPr>
          </w:p>
        </w:tc>
      </w:tr>
      <w:tr>
        <w:trPr>
          <w:trHeight w:val="235"/>
        </w:trPr>
        <w:tc>
          <w:tcPr>
            <w:tcW w:w="2420" w:type="dxa"/>
            <w:vAlign w:val="bottom"/>
            <w:gridSpan w:val="2"/>
            <w:vMerge w:val="continue"/>
          </w:tcPr>
          <w:p>
            <w:pPr>
              <w:ind w:left="1580"/>
              <w:spacing w:after="0"/>
              <w:rPr>
                <w:sz w:val="20"/>
                <w:szCs w:val="20"/>
                <w:color w:val="auto"/>
              </w:rPr>
            </w:pPr>
            <w:r>
              <w:rPr>
                <w:rFonts w:ascii="Courier New" w:cs="Courier New" w:eastAsia="Courier New" w:hAnsi="Courier New"/>
                <w:sz w:val="8"/>
                <w:szCs w:val="8"/>
                <w:color w:val="auto"/>
                <w:w w:val="74"/>
              </w:rPr>
              <w:t>.......................</w:t>
            </w:r>
          </w:p>
        </w:tc>
        <w:tc>
          <w:tcPr>
            <w:tcW w:w="3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13.9 13.9 12.7</w:t>
            </w:r>
          </w:p>
        </w:tc>
        <w:tc>
          <w:tcPr>
            <w:tcW w:w="0" w:type="dxa"/>
            <w:vAlign w:val="bottom"/>
          </w:tcPr>
          <w:p>
            <w:pPr>
              <w:spacing w:after="0"/>
              <w:rPr>
                <w:sz w:val="1"/>
                <w:szCs w:val="1"/>
                <w:color w:val="auto"/>
              </w:rPr>
            </w:pPr>
          </w:p>
        </w:tc>
      </w:tr>
    </w:tbl>
    <w:p>
      <w:pPr>
        <w:jc w:val="center"/>
        <w:ind w:right="4419"/>
        <w:spacing w:after="0" w:line="238" w:lineRule="auto"/>
        <w:rPr>
          <w:sz w:val="20"/>
          <w:szCs w:val="20"/>
          <w:color w:val="auto"/>
        </w:rPr>
      </w:pPr>
      <w:r>
        <w:rPr>
          <w:rFonts w:ascii="Courier New" w:cs="Courier New" w:eastAsia="Courier New" w:hAnsi="Courier New"/>
          <w:sz w:val="18"/>
          <w:szCs w:val="18"/>
          <w:color w:val="auto"/>
        </w:rPr>
        <w:t>Amortization of goodwill and purchased intangible</w:t>
      </w:r>
    </w:p>
    <w:p>
      <w:pPr>
        <w:spacing w:after="0"/>
        <w:rPr>
          <w:sz w:val="20"/>
          <w:szCs w:val="20"/>
          <w:color w:val="auto"/>
        </w:rPr>
      </w:pPr>
      <w:r>
        <w:rPr>
          <w:rFonts w:ascii="Courier New" w:cs="Courier New" w:eastAsia="Courier New" w:hAnsi="Courier New"/>
          <w:sz w:val="18"/>
          <w:szCs w:val="18"/>
          <w:color w:val="auto"/>
        </w:rPr>
        <w:t>assets.................................................</w:t>
      </w:r>
    </w:p>
    <w:p>
      <w:pPr>
        <w:jc w:val="center"/>
        <w:ind w:right="4419"/>
        <w:spacing w:after="0" w:line="238" w:lineRule="auto"/>
        <w:rPr>
          <w:sz w:val="20"/>
          <w:szCs w:val="20"/>
          <w:color w:val="auto"/>
        </w:rPr>
      </w:pPr>
      <w:r>
        <w:rPr>
          <w:rFonts w:ascii="Courier New" w:cs="Courier New" w:eastAsia="Courier New" w:hAnsi="Courier New"/>
          <w:sz w:val="18"/>
          <w:szCs w:val="18"/>
          <w:color w:val="auto"/>
        </w:rPr>
        <w:t>1.4 14.4 14.3 Restructuring charges, in-process</w:t>
      </w:r>
    </w:p>
    <w:p>
      <w:pPr>
        <w:jc w:val="center"/>
        <w:ind w:right="4419"/>
        <w:spacing w:after="0"/>
        <w:rPr>
          <w:sz w:val="20"/>
          <w:szCs w:val="20"/>
          <w:color w:val="auto"/>
        </w:rPr>
      </w:pPr>
      <w:r>
        <w:rPr>
          <w:rFonts w:ascii="Courier New" w:cs="Courier New" w:eastAsia="Courier New" w:hAnsi="Courier New"/>
          <w:sz w:val="18"/>
          <w:szCs w:val="18"/>
          <w:color w:val="auto"/>
        </w:rPr>
        <w:t>research and development and</w:t>
      </w:r>
    </w:p>
    <w:p>
      <w:pPr>
        <w:ind w:left="220"/>
        <w:spacing w:after="0" w:line="238" w:lineRule="auto"/>
        <w:rPr>
          <w:sz w:val="20"/>
          <w:szCs w:val="20"/>
          <w:color w:val="auto"/>
        </w:rPr>
      </w:pPr>
      <w:r>
        <w:rPr>
          <w:rFonts w:ascii="Courier New" w:cs="Courier New" w:eastAsia="Courier New" w:hAnsi="Courier New"/>
          <w:sz w:val="18"/>
          <w:szCs w:val="18"/>
          <w:color w:val="auto"/>
        </w:rPr>
        <w:t>other..............................................</w:t>
      </w:r>
    </w:p>
    <w:p>
      <w:pPr>
        <w:ind w:left="60"/>
        <w:spacing w:after="0"/>
        <w:rPr>
          <w:sz w:val="20"/>
          <w:szCs w:val="20"/>
          <w:color w:val="auto"/>
        </w:rPr>
      </w:pPr>
      <w:r>
        <w:rPr>
          <w:rFonts w:ascii="Courier New" w:cs="Courier New" w:eastAsia="Courier New" w:hAnsi="Courier New"/>
          <w:sz w:val="18"/>
          <w:szCs w:val="18"/>
          <w:color w:val="auto"/>
        </w:rPr>
        <w:t>0.9 3.2 -- ----- ----- ----- 85.8 97.0 89.6 ----- ----</w:t>
      </w:r>
    </w:p>
    <w:p>
      <w:pPr>
        <w:ind w:left="2000"/>
        <w:spacing w:after="0" w:line="238" w:lineRule="auto"/>
        <w:rPr>
          <w:sz w:val="20"/>
          <w:szCs w:val="20"/>
          <w:color w:val="auto"/>
        </w:rPr>
      </w:pPr>
      <w:r>
        <w:rPr>
          <w:rFonts w:ascii="Courier New" w:cs="Courier New" w:eastAsia="Courier New" w:hAnsi="Courier New"/>
          <w:sz w:val="18"/>
          <w:szCs w:val="18"/>
          <w:color w:val="auto"/>
        </w:rPr>
        <w:t>- ----- Operating</w:t>
      </w:r>
    </w:p>
    <w:p>
      <w:pPr>
        <w:ind w:left="280"/>
        <w:spacing w:after="0"/>
        <w:rPr>
          <w:sz w:val="20"/>
          <w:szCs w:val="20"/>
          <w:color w:val="auto"/>
        </w:rPr>
      </w:pPr>
      <w:r>
        <w:rPr>
          <w:rFonts w:ascii="Courier New" w:cs="Courier New" w:eastAsia="Courier New" w:hAnsi="Courier New"/>
          <w:sz w:val="18"/>
          <w:szCs w:val="18"/>
          <w:color w:val="auto"/>
        </w:rPr>
        <w:t>income............................................</w:t>
      </w:r>
    </w:p>
    <w:tbl>
      <w:tblPr>
        <w:tblLayout w:type="fixed"/>
        <w:tblInd w:w="60" w:type="dxa"/>
        <w:tblCellMar>
          <w:top w:w="0" w:type="dxa"/>
          <w:left w:w="0" w:type="dxa"/>
          <w:bottom w:w="0" w:type="dxa"/>
          <w:right w:w="0" w:type="dxa"/>
        </w:tblCellMar>
      </w:tblPr>
      <w:tr>
        <w:trPr>
          <w:trHeight w:val="171"/>
        </w:trPr>
        <w:tc>
          <w:tcPr>
            <w:tcW w:w="740" w:type="dxa"/>
            <w:vAlign w:val="bottom"/>
            <w:vMerge w:val="restart"/>
          </w:tcPr>
          <w:p>
            <w:pPr>
              <w:spacing w:after="0"/>
              <w:rPr>
                <w:sz w:val="20"/>
                <w:szCs w:val="20"/>
                <w:color w:val="auto"/>
              </w:rPr>
            </w:pPr>
            <w:r>
              <w:rPr>
                <w:rFonts w:ascii="Courier New" w:cs="Courier New" w:eastAsia="Courier New" w:hAnsi="Courier New"/>
                <w:sz w:val="5"/>
                <w:szCs w:val="5"/>
                <w:color w:val="auto"/>
                <w:w w:val="72"/>
              </w:rPr>
              <w:t>net..............................</w:t>
            </w:r>
          </w:p>
        </w:tc>
        <w:tc>
          <w:tcPr>
            <w:tcW w:w="900" w:type="dxa"/>
            <w:vAlign w:val="bottom"/>
          </w:tcPr>
          <w:p>
            <w:pPr>
              <w:jc w:val="right"/>
              <w:spacing w:after="0" w:line="170" w:lineRule="exact"/>
              <w:rPr>
                <w:sz w:val="20"/>
                <w:szCs w:val="20"/>
                <w:color w:val="auto"/>
              </w:rPr>
            </w:pPr>
            <w:r>
              <w:rPr>
                <w:rFonts w:ascii="Courier New" w:cs="Courier New" w:eastAsia="Courier New" w:hAnsi="Courier New"/>
                <w:sz w:val="18"/>
                <w:szCs w:val="18"/>
                <w:color w:val="auto"/>
                <w:w w:val="94"/>
              </w:rPr>
              <w:t>14.2 3.0</w:t>
            </w:r>
          </w:p>
        </w:tc>
        <w:tc>
          <w:tcPr>
            <w:tcW w:w="4040" w:type="dxa"/>
            <w:vAlign w:val="bottom"/>
          </w:tcPr>
          <w:p>
            <w:pPr>
              <w:ind w:left="40"/>
              <w:spacing w:after="0" w:line="170" w:lineRule="exact"/>
              <w:rPr>
                <w:sz w:val="20"/>
                <w:szCs w:val="20"/>
                <w:color w:val="auto"/>
              </w:rPr>
            </w:pPr>
            <w:r>
              <w:rPr>
                <w:rFonts w:ascii="Courier New" w:cs="Courier New" w:eastAsia="Courier New" w:hAnsi="Courier New"/>
                <w:sz w:val="18"/>
                <w:szCs w:val="18"/>
                <w:color w:val="auto"/>
              </w:rPr>
              <w:t>10.4 Interest income and other,</w:t>
            </w:r>
          </w:p>
        </w:tc>
        <w:tc>
          <w:tcPr>
            <w:tcW w:w="0" w:type="dxa"/>
            <w:vAlign w:val="bottom"/>
          </w:tcPr>
          <w:p>
            <w:pPr>
              <w:spacing w:after="0"/>
              <w:rPr>
                <w:sz w:val="1"/>
                <w:szCs w:val="1"/>
                <w:color w:val="auto"/>
              </w:rPr>
            </w:pPr>
          </w:p>
        </w:tc>
      </w:tr>
      <w:tr>
        <w:trPr>
          <w:trHeight w:val="203"/>
        </w:trPr>
        <w:tc>
          <w:tcPr>
            <w:tcW w:w="740" w:type="dxa"/>
            <w:vAlign w:val="bottom"/>
            <w:vMerge w:val="continue"/>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4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 1.2 1.4 ----- --</w:t>
            </w:r>
          </w:p>
        </w:tc>
        <w:tc>
          <w:tcPr>
            <w:tcW w:w="0" w:type="dxa"/>
            <w:vAlign w:val="bottom"/>
          </w:tcPr>
          <w:p>
            <w:pPr>
              <w:spacing w:after="0"/>
              <w:rPr>
                <w:sz w:val="1"/>
                <w:szCs w:val="1"/>
                <w:color w:val="auto"/>
              </w:rPr>
            </w:pPr>
          </w:p>
        </w:tc>
      </w:tr>
      <w:tr>
        <w:trPr>
          <w:trHeight w:val="203"/>
        </w:trPr>
        <w:tc>
          <w:tcPr>
            <w:tcW w:w="74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taxes</w:t>
            </w:r>
          </w:p>
        </w:tc>
        <w:tc>
          <w:tcPr>
            <w:tcW w:w="900" w:type="dxa"/>
            <w:vAlign w:val="bottom"/>
            <w:vMerge w:val="continue"/>
          </w:tcPr>
          <w:p>
            <w:pPr>
              <w:spacing w:after="0"/>
              <w:rPr>
                <w:sz w:val="17"/>
                <w:szCs w:val="17"/>
                <w:color w:val="auto"/>
              </w:rPr>
            </w:pPr>
          </w:p>
        </w:tc>
        <w:tc>
          <w:tcPr>
            <w:tcW w:w="4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 Income before income</w:t>
            </w:r>
          </w:p>
        </w:tc>
        <w:tc>
          <w:tcPr>
            <w:tcW w:w="0" w:type="dxa"/>
            <w:vAlign w:val="bottom"/>
          </w:tcPr>
          <w:p>
            <w:pPr>
              <w:spacing w:after="0"/>
              <w:rPr>
                <w:sz w:val="1"/>
                <w:szCs w:val="1"/>
                <w:color w:val="auto"/>
              </w:rPr>
            </w:pPr>
          </w:p>
        </w:tc>
      </w:tr>
      <w:tr>
        <w:trPr>
          <w:trHeight w:val="235"/>
        </w:trPr>
        <w:tc>
          <w:tcPr>
            <w:tcW w:w="1640" w:type="dxa"/>
            <w:vAlign w:val="bottom"/>
            <w:gridSpan w:val="2"/>
            <w:vMerge w:val="continue"/>
          </w:tcPr>
          <w:p>
            <w:pPr>
              <w:jc w:val="right"/>
              <w:spacing w:after="0" w:line="178" w:lineRule="exact"/>
              <w:rPr>
                <w:sz w:val="20"/>
                <w:szCs w:val="20"/>
                <w:color w:val="auto"/>
              </w:rPr>
            </w:pPr>
            <w:r>
              <w:rPr>
                <w:rFonts w:ascii="Courier New" w:cs="Courier New" w:eastAsia="Courier New" w:hAnsi="Courier New"/>
                <w:sz w:val="18"/>
                <w:szCs w:val="18"/>
                <w:color w:val="auto"/>
              </w:rPr>
              <w:t>..................................</w:t>
            </w:r>
          </w:p>
        </w:tc>
        <w:tc>
          <w:tcPr>
            <w:tcW w:w="4040" w:type="dxa"/>
            <w:vAlign w:val="bottom"/>
          </w:tcPr>
          <w:p>
            <w:pPr>
              <w:jc w:val="right"/>
              <w:spacing w:after="0"/>
              <w:rPr>
                <w:sz w:val="20"/>
                <w:szCs w:val="20"/>
                <w:color w:val="auto"/>
              </w:rPr>
            </w:pPr>
            <w:r>
              <w:rPr>
                <w:rFonts w:ascii="Courier New" w:cs="Courier New" w:eastAsia="Courier New" w:hAnsi="Courier New"/>
                <w:sz w:val="18"/>
                <w:szCs w:val="18"/>
                <w:color w:val="auto"/>
              </w:rPr>
              <w:t>15.2 4.2 11.8</w:t>
            </w:r>
          </w:p>
        </w:tc>
        <w:tc>
          <w:tcPr>
            <w:tcW w:w="0" w:type="dxa"/>
            <w:vAlign w:val="bottom"/>
          </w:tcPr>
          <w:p>
            <w:pPr>
              <w:spacing w:after="0"/>
              <w:rPr>
                <w:sz w:val="1"/>
                <w:szCs w:val="1"/>
                <w:color w:val="auto"/>
              </w:rPr>
            </w:pPr>
          </w:p>
        </w:tc>
      </w:tr>
    </w:tbl>
    <w:p>
      <w:pPr>
        <w:jc w:val="center"/>
        <w:ind w:right="4419"/>
        <w:spacing w:after="0" w:line="238" w:lineRule="auto"/>
        <w:rPr>
          <w:sz w:val="20"/>
          <w:szCs w:val="20"/>
          <w:color w:val="auto"/>
        </w:rPr>
      </w:pPr>
      <w:r>
        <w:rPr>
          <w:rFonts w:ascii="Courier New" w:cs="Courier New" w:eastAsia="Courier New" w:hAnsi="Courier New"/>
          <w:sz w:val="18"/>
          <w:szCs w:val="18"/>
          <w:color w:val="auto"/>
        </w:rPr>
        <w:t>Income</w:t>
      </w:r>
    </w:p>
    <w:p>
      <w:pPr>
        <w:ind w:left="120"/>
        <w:spacing w:after="0"/>
        <w:rPr>
          <w:sz w:val="20"/>
          <w:szCs w:val="20"/>
          <w:color w:val="auto"/>
        </w:rPr>
      </w:pPr>
      <w:r>
        <w:rPr>
          <w:rFonts w:ascii="Courier New" w:cs="Courier New" w:eastAsia="Courier New" w:hAnsi="Courier New"/>
          <w:sz w:val="18"/>
          <w:szCs w:val="18"/>
          <w:color w:val="auto"/>
        </w:rPr>
        <w:t>taxes................................................</w:t>
      </w:r>
    </w:p>
    <w:p>
      <w:pPr>
        <w:ind w:left="800"/>
        <w:spacing w:after="0" w:line="238" w:lineRule="auto"/>
        <w:rPr>
          <w:sz w:val="20"/>
          <w:szCs w:val="20"/>
          <w:color w:val="auto"/>
        </w:rPr>
      </w:pPr>
      <w:r>
        <w:rPr>
          <w:rFonts w:ascii="Courier New" w:cs="Courier New" w:eastAsia="Courier New" w:hAnsi="Courier New"/>
          <w:sz w:val="18"/>
          <w:szCs w:val="18"/>
          <w:color w:val="auto"/>
        </w:rPr>
        <w:t>3.8 4.5 7.5 ----- ----- ----- Net income</w:t>
      </w:r>
    </w:p>
    <w:p>
      <w:pPr>
        <w:ind w:left="320"/>
        <w:spacing w:after="0"/>
        <w:rPr>
          <w:sz w:val="20"/>
          <w:szCs w:val="20"/>
          <w:color w:val="auto"/>
        </w:rPr>
      </w:pPr>
      <w:r>
        <w:rPr>
          <w:rFonts w:ascii="Courier New" w:cs="Courier New" w:eastAsia="Courier New" w:hAnsi="Courier New"/>
          <w:sz w:val="18"/>
          <w:szCs w:val="18"/>
          <w:color w:val="auto"/>
        </w:rPr>
        <w:t>(loss)...........................................</w:t>
      </w:r>
    </w:p>
    <w:p>
      <w:pPr>
        <w:ind w:left="1060"/>
        <w:spacing w:after="0"/>
        <w:rPr>
          <w:sz w:val="20"/>
          <w:szCs w:val="20"/>
          <w:color w:val="auto"/>
        </w:rPr>
      </w:pPr>
      <w:r>
        <w:rPr>
          <w:rFonts w:ascii="Courier New" w:cs="Courier New" w:eastAsia="Courier New" w:hAnsi="Courier New"/>
          <w:sz w:val="18"/>
          <w:szCs w:val="18"/>
          <w:color w:val="auto"/>
        </w:rPr>
        <w:t>11.4% (0.3)% 4.3% ===== ===== =====</w:t>
      </w:r>
    </w:p>
    <w:p>
      <w:pPr>
        <w:spacing w:after="0" w:line="37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FISCAL YEARS ENDED SEPTEMBER 30, 2003 AND 2002</w:t>
      </w:r>
    </w:p>
    <w:p>
      <w:pPr>
        <w:spacing w:after="0" w:line="201" w:lineRule="exact"/>
        <w:rPr>
          <w:sz w:val="20"/>
          <w:szCs w:val="20"/>
          <w:color w:val="auto"/>
        </w:rPr>
      </w:pPr>
    </w:p>
    <w:p>
      <w:pPr>
        <w:ind w:right="1879" w:firstLine="527"/>
        <w:spacing w:after="0" w:line="265" w:lineRule="auto"/>
        <w:rPr>
          <w:sz w:val="20"/>
          <w:szCs w:val="20"/>
          <w:color w:val="auto"/>
        </w:rPr>
      </w:pPr>
      <w:r>
        <w:rPr>
          <w:rFonts w:ascii="Courier New" w:cs="Courier New" w:eastAsia="Courier New" w:hAnsi="Courier New"/>
          <w:sz w:val="18"/>
          <w:szCs w:val="18"/>
          <w:color w:val="auto"/>
        </w:rPr>
        <w:t>Revenue. Total revenue for the year ended September 30, 2003 was $1,483.3 million, a decrease of $130.2 million, or 8.1%, from fiscal 2002. The decrease in revenue was primarily due to the slowdown in customer buying decisions, stemming from overall reductions in the capital investment budgets of many communications service providers.</w:t>
      </w:r>
    </w:p>
    <w:p>
      <w:pPr>
        <w:spacing w:after="0" w:line="90" w:lineRule="exact"/>
        <w:rPr>
          <w:sz w:val="20"/>
          <w:szCs w:val="20"/>
          <w:color w:val="auto"/>
        </w:rPr>
      </w:pPr>
    </w:p>
    <w:p>
      <w:pPr>
        <w:ind w:right="1779" w:firstLine="527"/>
        <w:spacing w:after="0" w:line="277" w:lineRule="auto"/>
        <w:rPr>
          <w:sz w:val="20"/>
          <w:szCs w:val="20"/>
          <w:color w:val="auto"/>
        </w:rPr>
      </w:pPr>
      <w:r>
        <w:rPr>
          <w:rFonts w:ascii="Courier New" w:cs="Courier New" w:eastAsia="Courier New" w:hAnsi="Courier New"/>
          <w:sz w:val="16"/>
          <w:szCs w:val="16"/>
          <w:color w:val="auto"/>
        </w:rPr>
        <w:t>License revenue decreased from $153.7 million in fiscal 2002 to $65.6 million in fiscal 2003, a decrease of 57.3%, and service revenue decreased by 2.9% from $1,459.9 million in fiscal 2002 to $1,417.7 million in fiscal 2003. The decrease in license revenue is attributable primarily to the reduction in capital investments by our communications customers, which resulted in our obtaining fewer new contracts than in fiscal 2002 and smaller initial spending commitments under contracts with some of our customers. The significant new contracts that we did obtain were for Managed Services arrangements, which contain only a small license revenue component. In addition, the current communications market environment has resulted in pricing pressure, particularly with respect to license fees. The decrease in service revenue is attributable to smaller initial spending commitments by our communications customers and reduced discretionary spending under contracts with some of our customers. Recently, there have been some increasing signs of stabilization in the market. During 2003, total quarterly revenue increased by 4.6% between the first and second quarters, by 6.2% between the second and third quarters and by 9.2% between the third and fourth quarters, primarily as a result of the new Managed Services agreements and our acquisition of Certen in the fourth quarter of fiscal 2003.</w:t>
      </w:r>
    </w:p>
    <w:p>
      <w:pPr>
        <w:spacing w:after="0" w:line="293" w:lineRule="exact"/>
        <w:rPr>
          <w:sz w:val="20"/>
          <w:szCs w:val="20"/>
          <w:color w:val="auto"/>
        </w:rPr>
      </w:pPr>
    </w:p>
    <w:p>
      <w:pPr>
        <w:ind w:right="1999" w:firstLine="527"/>
        <w:spacing w:after="0" w:line="347" w:lineRule="auto"/>
        <w:rPr>
          <w:sz w:val="20"/>
          <w:szCs w:val="20"/>
          <w:color w:val="auto"/>
        </w:rPr>
      </w:pPr>
      <w:r>
        <w:rPr>
          <w:rFonts w:ascii="Courier New" w:cs="Courier New" w:eastAsia="Courier New" w:hAnsi="Courier New"/>
          <w:sz w:val="18"/>
          <w:szCs w:val="18"/>
          <w:color w:val="auto"/>
        </w:rPr>
        <w:t>The recent quarterly trends in our total revenue are summarized below (in millions):</w:t>
      </w:r>
    </w:p>
    <w:p>
      <w:pPr>
        <w:spacing w:after="0" w:line="18" w:lineRule="exact"/>
        <w:rPr>
          <w:sz w:val="20"/>
          <w:szCs w:val="20"/>
          <w:color w:val="auto"/>
        </w:rPr>
      </w:pPr>
    </w:p>
    <w:p>
      <w:pPr>
        <w:ind w:left="280"/>
        <w:spacing w:after="0"/>
        <w:rPr>
          <w:sz w:val="20"/>
          <w:szCs w:val="20"/>
          <w:color w:val="auto"/>
        </w:rPr>
      </w:pPr>
      <w:r>
        <w:rPr>
          <w:rFonts w:ascii="Courier New" w:cs="Courier New" w:eastAsia="Courier New" w:hAnsi="Courier New"/>
          <w:sz w:val="18"/>
          <w:szCs w:val="18"/>
          <w:color w:val="auto"/>
        </w:rPr>
        <w:t>Q1 Q2 Q3 Q4 ------ ------ ------ ------</w:t>
      </w:r>
    </w:p>
    <w:p>
      <w:pPr>
        <w:spacing w:after="0" w:line="29" w:lineRule="exact"/>
        <w:rPr>
          <w:sz w:val="20"/>
          <w:szCs w:val="20"/>
          <w:color w:val="auto"/>
        </w:rPr>
      </w:pPr>
    </w:p>
    <w:p>
      <w:pPr>
        <w:jc w:val="center"/>
        <w:ind w:right="5579"/>
        <w:spacing w:after="0"/>
        <w:rPr>
          <w:sz w:val="20"/>
          <w:szCs w:val="20"/>
          <w:color w:val="auto"/>
        </w:rPr>
      </w:pPr>
      <w:r>
        <w:rPr>
          <w:rFonts w:ascii="Courier New" w:cs="Courier New" w:eastAsia="Courier New" w:hAnsi="Courier New"/>
          <w:sz w:val="18"/>
          <w:szCs w:val="18"/>
          <w:color w:val="auto"/>
        </w:rPr>
        <w:t>Fiscal</w:t>
      </w:r>
    </w:p>
    <w:p>
      <w:pPr>
        <w:spacing w:after="0" w:line="238" w:lineRule="auto"/>
        <w:rPr>
          <w:sz w:val="20"/>
          <w:szCs w:val="20"/>
          <w:color w:val="auto"/>
        </w:rPr>
      </w:pPr>
      <w:r>
        <w:rPr>
          <w:rFonts w:ascii="Courier New" w:cs="Courier New" w:eastAsia="Courier New" w:hAnsi="Courier New"/>
          <w:sz w:val="18"/>
          <w:szCs w:val="18"/>
          <w:color w:val="auto"/>
        </w:rPr>
        <w:t>2003........................................</w:t>
      </w:r>
    </w:p>
    <w:p>
      <w:pPr>
        <w:jc w:val="center"/>
        <w:ind w:right="5579"/>
        <w:spacing w:after="0"/>
        <w:rPr>
          <w:sz w:val="20"/>
          <w:szCs w:val="20"/>
          <w:color w:val="auto"/>
        </w:rPr>
      </w:pPr>
      <w:r>
        <w:rPr>
          <w:rFonts w:ascii="Courier New" w:cs="Courier New" w:eastAsia="Courier New" w:hAnsi="Courier New"/>
          <w:sz w:val="18"/>
          <w:szCs w:val="18"/>
          <w:color w:val="auto"/>
        </w:rPr>
        <w:t>$339.4 $355.0 $377.2 $411.7 Fiscal</w:t>
      </w:r>
    </w:p>
    <w:p>
      <w:pPr>
        <w:spacing w:after="0" w:line="238" w:lineRule="auto"/>
        <w:rPr>
          <w:sz w:val="20"/>
          <w:szCs w:val="20"/>
          <w:color w:val="auto"/>
        </w:rPr>
      </w:pPr>
      <w:r>
        <w:rPr>
          <w:rFonts w:ascii="Courier New" w:cs="Courier New" w:eastAsia="Courier New" w:hAnsi="Courier New"/>
          <w:sz w:val="18"/>
          <w:szCs w:val="18"/>
          <w:color w:val="auto"/>
        </w:rPr>
        <w:t>2002........................................</w:t>
      </w:r>
    </w:p>
    <w:p>
      <w:pPr>
        <w:ind w:left="900"/>
        <w:spacing w:after="0"/>
        <w:rPr>
          <w:sz w:val="20"/>
          <w:szCs w:val="20"/>
          <w:color w:val="auto"/>
        </w:rPr>
      </w:pPr>
      <w:r>
        <w:rPr>
          <w:rFonts w:ascii="Courier New" w:cs="Courier New" w:eastAsia="Courier New" w:hAnsi="Courier New"/>
          <w:sz w:val="18"/>
          <w:szCs w:val="18"/>
          <w:color w:val="auto"/>
        </w:rPr>
        <w:t>$422.6 $455.3 $380.2 $355.5</w:t>
      </w:r>
    </w:p>
    <w:p>
      <w:pPr>
        <w:spacing w:after="0" w:line="37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32</w:t>
      </w:r>
    </w:p>
    <w:p>
      <w:pPr>
        <w:sectPr>
          <w:pgSz w:w="11900" w:h="16838" w:orient="portrait"/>
          <w:cols w:equalWidth="0" w:num="1">
            <w:col w:w="10219"/>
          </w:cols>
          <w:pgMar w:left="240" w:top="691" w:right="1440" w:bottom="0" w:gutter="0" w:footer="0" w:header="0"/>
        </w:sectPr>
      </w:pPr>
    </w:p>
    <w:bookmarkStart w:id="35" w:name="page36"/>
    <w:bookmarkEnd w:id="35"/>
    <w:p>
      <w:pPr>
        <w:ind w:right="1879" w:firstLine="527"/>
        <w:spacing w:after="0" w:line="250" w:lineRule="auto"/>
        <w:rPr>
          <w:sz w:val="20"/>
          <w:szCs w:val="20"/>
          <w:color w:val="auto"/>
        </w:rPr>
      </w:pPr>
      <w:r>
        <w:rPr>
          <w:rFonts w:ascii="Courier New" w:cs="Courier New" w:eastAsia="Courier New" w:hAnsi="Courier New"/>
          <w:sz w:val="18"/>
          <w:szCs w:val="18"/>
          <w:color w:val="auto"/>
        </w:rPr>
        <w:t>The decline in our overall revenue in fiscal 2003 was primarily attributable to a decrease in revenue from CC&amp;B Systems. Total CC&amp;B Systems revenue for fiscal 2003 was $1,280.4 million, a decrease of $159.6 million, or 11.1%, from fiscal 2002. The demand for our CC&amp;B Systems is primarily driven by the need for communications companies to continue to upgrade their billing, CRM and order management systems. In fiscal 2003, many communications companies reduced or delayed expenditures on system upgrades as a result of the slowdown in the communications industry. Approximately $59.0 million of CC&amp;B Systems revenue for fiscal 2003 was derived from customers other than communications service providers.</w:t>
      </w:r>
    </w:p>
    <w:p>
      <w:pPr>
        <w:spacing w:after="0" w:line="104" w:lineRule="exact"/>
        <w:rPr>
          <w:sz w:val="20"/>
          <w:szCs w:val="20"/>
          <w:color w:val="auto"/>
        </w:rPr>
      </w:pPr>
    </w:p>
    <w:p>
      <w:pPr>
        <w:ind w:right="1879" w:firstLine="527"/>
        <w:spacing w:after="0" w:line="306" w:lineRule="auto"/>
        <w:rPr>
          <w:sz w:val="20"/>
          <w:szCs w:val="20"/>
          <w:color w:val="auto"/>
        </w:rPr>
      </w:pPr>
      <w:r>
        <w:rPr>
          <w:rFonts w:ascii="Courier New" w:cs="Courier New" w:eastAsia="Courier New" w:hAnsi="Courier New"/>
          <w:sz w:val="16"/>
          <w:szCs w:val="16"/>
          <w:color w:val="auto"/>
        </w:rPr>
        <w:t>Revenue from Directory Systems was $202.9 million for fiscal 2003, an increase of $29.3 million, or 16.9%, over fiscal 2002. The increase is attributable primarily to new Managed Services agreements as well as extensions of agreements with, and additional services rendered to, existing customers, which was partially offset by completion of some major implementation projects.</w:t>
      </w:r>
    </w:p>
    <w:p>
      <w:pPr>
        <w:spacing w:after="0" w:line="60" w:lineRule="exact"/>
        <w:rPr>
          <w:sz w:val="20"/>
          <w:szCs w:val="20"/>
          <w:color w:val="auto"/>
        </w:rPr>
      </w:pPr>
    </w:p>
    <w:p>
      <w:pPr>
        <w:ind w:right="1879" w:firstLine="527"/>
        <w:spacing w:after="0" w:line="344" w:lineRule="auto"/>
        <w:rPr>
          <w:sz w:val="20"/>
          <w:szCs w:val="20"/>
          <w:color w:val="auto"/>
        </w:rPr>
      </w:pPr>
      <w:r>
        <w:rPr>
          <w:rFonts w:ascii="Courier New" w:cs="Courier New" w:eastAsia="Courier New" w:hAnsi="Courier New"/>
          <w:sz w:val="16"/>
          <w:szCs w:val="16"/>
          <w:color w:val="auto"/>
        </w:rPr>
        <w:t>In fiscal 2003, revenue from customers in North America, Europe and the rest of the world accounted for 62.0%, 29.8% and 8.2% of our total revenue, respectively, compared to 61.9%, 28.9% and 9.2%, respectively, for fiscal 2002.</w:t>
      </w:r>
    </w:p>
    <w:p>
      <w:pPr>
        <w:spacing w:after="0" w:line="31" w:lineRule="exact"/>
        <w:rPr>
          <w:sz w:val="20"/>
          <w:szCs w:val="20"/>
          <w:color w:val="auto"/>
        </w:rPr>
      </w:pPr>
    </w:p>
    <w:p>
      <w:pPr>
        <w:jc w:val="both"/>
        <w:ind w:right="1779" w:firstLine="527"/>
        <w:spacing w:after="0" w:line="292" w:lineRule="auto"/>
        <w:rPr>
          <w:sz w:val="20"/>
          <w:szCs w:val="20"/>
          <w:color w:val="auto"/>
        </w:rPr>
      </w:pPr>
      <w:r>
        <w:rPr>
          <w:rFonts w:ascii="Courier New" w:cs="Courier New" w:eastAsia="Courier New" w:hAnsi="Courier New"/>
          <w:sz w:val="18"/>
          <w:szCs w:val="18"/>
          <w:color w:val="auto"/>
        </w:rPr>
        <w:t>Cost of License. Cost of license for fiscal 2003 was $5.8 million compared to $6.0 million for fiscal 2002. Cost of license mainly includes amortization of purchased computer software and intellectual property rights.</w:t>
      </w:r>
    </w:p>
    <w:p>
      <w:pPr>
        <w:spacing w:after="0" w:line="66" w:lineRule="exact"/>
        <w:rPr>
          <w:sz w:val="20"/>
          <w:szCs w:val="20"/>
          <w:color w:val="auto"/>
        </w:rPr>
      </w:pPr>
    </w:p>
    <w:p>
      <w:pPr>
        <w:ind w:right="1779" w:firstLine="527"/>
        <w:spacing w:after="0" w:line="281" w:lineRule="auto"/>
        <w:rPr>
          <w:sz w:val="20"/>
          <w:szCs w:val="20"/>
          <w:color w:val="auto"/>
        </w:rPr>
      </w:pPr>
      <w:r>
        <w:rPr>
          <w:rFonts w:ascii="Courier New" w:cs="Courier New" w:eastAsia="Courier New" w:hAnsi="Courier New"/>
          <w:sz w:val="16"/>
          <w:szCs w:val="16"/>
          <w:color w:val="auto"/>
        </w:rPr>
        <w:t>Cost of Service. Cost of service for fiscal 2003 was $907.6 million, a decrease of $19.7 million, or 2.1%, from the cost of service of $927.4 million for fiscal 2002. As a percentage of revenue, cost of service increased to 61.2% in fiscal 2003 from 57.5% in fiscal 2002. The decrease in cost of service is attributable to the cost reduction programs that we implemented in fiscal 2002 and in the first quarter of fiscal 2003. Although our cost of service decreased in fiscal 2003, our gross margin also decreased. The decrease in the gross margin is attributable to the decrease in license revenue and to the fact that our cost reductions were proportionally less than the decrease in our service revenue. Our gross margin was also affected by new Managed Services projects, which tend to be less profitable in their initial period. We have taken steps to decrease our costs and increase our gross margin. See the discussion above under the caption "Operational Efficiency and Cost Reduction Programs".</w:t>
      </w:r>
    </w:p>
    <w:p>
      <w:pPr>
        <w:spacing w:after="0" w:line="290" w:lineRule="exact"/>
        <w:rPr>
          <w:sz w:val="20"/>
          <w:szCs w:val="20"/>
          <w:color w:val="auto"/>
        </w:rPr>
      </w:pPr>
    </w:p>
    <w:p>
      <w:pPr>
        <w:ind w:right="1779" w:firstLine="527"/>
        <w:spacing w:after="0" w:line="250" w:lineRule="auto"/>
        <w:rPr>
          <w:sz w:val="20"/>
          <w:szCs w:val="20"/>
          <w:color w:val="auto"/>
        </w:rPr>
      </w:pPr>
      <w:r>
        <w:rPr>
          <w:rFonts w:ascii="Courier New" w:cs="Courier New" w:eastAsia="Courier New" w:hAnsi="Courier New"/>
          <w:sz w:val="18"/>
          <w:szCs w:val="18"/>
          <w:color w:val="auto"/>
        </w:rPr>
        <w:t>Research and Development. Research and development expense was primarily comprised of compensation expense attributable to research and development activities, either in conjunction with customer projects or as part of our internal product development program. In fiscal 2003, research and development expense was $119.3 million, or 8.0% of revenue, compared with $124.1 million, or 7.7% of revenue, in fiscal 2002. Our research and development budget, like all of our costs, is sensitive to our overall financial condition. A decrease in our total revenue could, in certain circumstances, lead to reductions in the levels of our research and development expenditures. See the discussion above under the caption "Research and Development, Patents and Licenses".</w:t>
      </w:r>
    </w:p>
    <w:p>
      <w:pPr>
        <w:spacing w:after="0" w:line="104" w:lineRule="exact"/>
        <w:rPr>
          <w:sz w:val="20"/>
          <w:szCs w:val="20"/>
          <w:color w:val="auto"/>
        </w:rPr>
      </w:pPr>
    </w:p>
    <w:p>
      <w:pPr>
        <w:ind w:right="1779" w:firstLine="527"/>
        <w:spacing w:after="0" w:line="289" w:lineRule="auto"/>
        <w:rPr>
          <w:sz w:val="20"/>
          <w:szCs w:val="20"/>
          <w:color w:val="auto"/>
        </w:rPr>
      </w:pPr>
      <w:r>
        <w:rPr>
          <w:rFonts w:ascii="Courier New" w:cs="Courier New" w:eastAsia="Courier New" w:hAnsi="Courier New"/>
          <w:sz w:val="16"/>
          <w:szCs w:val="16"/>
          <w:color w:val="auto"/>
        </w:rPr>
        <w:t>Selling, General and Administrative. Selling, general and administrative expense was primarily comprised of compensation expense and decreased by 7.7% to $206.3 million, or 13.9% of revenue, in fiscal 2003 from $223.6 million, or 13.9% of revenue, in fiscal 2002. The decrease in selling, general and administrative expense is attributable to the cost reduction programs that we implemented in fiscal 2002 and in the first quarter of fiscal 2003. Selling, general and administrative expense decreased in fiscal 2003 proportionally with our revenue, resulting in the same percentage of revenue as in fiscal 2002.</w:t>
      </w:r>
    </w:p>
    <w:p>
      <w:pPr>
        <w:spacing w:after="0" w:line="77" w:lineRule="exact"/>
        <w:rPr>
          <w:sz w:val="20"/>
          <w:szCs w:val="20"/>
          <w:color w:val="auto"/>
        </w:rPr>
      </w:pPr>
    </w:p>
    <w:p>
      <w:pPr>
        <w:ind w:right="1779" w:firstLine="527"/>
        <w:spacing w:after="0" w:line="288" w:lineRule="auto"/>
        <w:rPr>
          <w:sz w:val="20"/>
          <w:szCs w:val="20"/>
          <w:color w:val="auto"/>
        </w:rPr>
      </w:pPr>
      <w:r>
        <w:rPr>
          <w:rFonts w:ascii="Courier New" w:cs="Courier New" w:eastAsia="Courier New" w:hAnsi="Courier New"/>
          <w:sz w:val="16"/>
          <w:szCs w:val="16"/>
          <w:color w:val="auto"/>
        </w:rPr>
        <w:t>Amortization of Goodwill and Purchased Intangible Assets. Effective as of October 1, 2002, we adopted SFAS No. 142 and goodwill related to our acquisitions is no longer amortized. Instead, any such goodwill is subject only to periodic impairment tests. See the discussion below under the caption "Adoption of New Accounting Standards". Amortization of goodwill for fiscal 2002 was $204.6 million. Amortization of purchased intangible assets for fiscal 2003 was $19.9 million, compared to $27.2 million in fiscal 2002. Amortization of purchased intangible assets for fiscal 2002 included amortization of purchased intangible assets that were fully amortized in fiscal 2002.</w:t>
      </w:r>
    </w:p>
    <w:p>
      <w:pPr>
        <w:spacing w:after="0" w:line="28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33</w:t>
      </w:r>
    </w:p>
    <w:p>
      <w:pPr>
        <w:sectPr>
          <w:pgSz w:w="11900" w:h="16838" w:orient="portrait"/>
          <w:cols w:equalWidth="0" w:num="1">
            <w:col w:w="10219"/>
          </w:cols>
          <w:pgMar w:left="240" w:top="691" w:right="1440" w:bottom="1440" w:gutter="0" w:footer="0" w:header="0"/>
        </w:sectPr>
      </w:pPr>
    </w:p>
    <w:bookmarkStart w:id="36" w:name="page37"/>
    <w:bookmarkEnd w:id="36"/>
    <w:p>
      <w:pPr>
        <w:ind w:left="540"/>
        <w:spacing w:after="0"/>
        <w:rPr>
          <w:sz w:val="20"/>
          <w:szCs w:val="20"/>
          <w:color w:val="auto"/>
        </w:rPr>
      </w:pPr>
      <w:r>
        <w:rPr>
          <w:rFonts w:ascii="Courier New" w:cs="Courier New" w:eastAsia="Courier New" w:hAnsi="Courier New"/>
          <w:sz w:val="18"/>
          <w:szCs w:val="18"/>
          <w:color w:val="auto"/>
        </w:rPr>
        <w:t>Restructuring Charges, In-Process Research and Development and</w:t>
      </w:r>
    </w:p>
    <w:p>
      <w:pPr>
        <w:spacing w:after="0" w:line="31" w:lineRule="exact"/>
        <w:rPr>
          <w:sz w:val="20"/>
          <w:szCs w:val="20"/>
          <w:color w:val="auto"/>
        </w:rPr>
      </w:pPr>
    </w:p>
    <w:p>
      <w:pPr>
        <w:ind w:right="1879"/>
        <w:spacing w:after="0" w:line="244" w:lineRule="auto"/>
        <w:rPr>
          <w:sz w:val="20"/>
          <w:szCs w:val="20"/>
          <w:color w:val="auto"/>
        </w:rPr>
      </w:pPr>
      <w:r>
        <w:rPr>
          <w:rFonts w:ascii="Courier New" w:cs="Courier New" w:eastAsia="Courier New" w:hAnsi="Courier New"/>
          <w:sz w:val="18"/>
          <w:szCs w:val="18"/>
          <w:color w:val="auto"/>
        </w:rPr>
        <w:t>Other. Restructuring charges, in-process research and development and other in fiscal 2003 consisted of a restructuring charge of $10.0 million related to the cost reduction program we implemented in the first quarter of fiscal 2003 and the cumulative effect of our 10% share in Certen's pre-acquisition results of $4.1 million. Restructuring charges, in-process research and development and other in fiscal 2002 consisted of a one-time charge of $17.4 million for write-off of purchased in-process research and development resulting from the Clarify transaction, a restructuring charge of $13.3 million related to the consolidation of data centers and the resulting closure of our Stamford, Connecticut facility and a restructuring charge of $20.9 million related to the cost reduction program we implemented in the fourth quarter of fiscal 2002. See the discussion above under the caption "Operational Efficiency and Cost Reduction Programs".</w:t>
      </w:r>
    </w:p>
    <w:p>
      <w:pPr>
        <w:spacing w:after="0" w:line="109" w:lineRule="exact"/>
        <w:rPr>
          <w:sz w:val="20"/>
          <w:szCs w:val="20"/>
          <w:color w:val="auto"/>
        </w:rPr>
      </w:pPr>
    </w:p>
    <w:p>
      <w:pPr>
        <w:ind w:right="1779" w:firstLine="527"/>
        <w:spacing w:after="0" w:line="274" w:lineRule="auto"/>
        <w:rPr>
          <w:sz w:val="20"/>
          <w:szCs w:val="20"/>
          <w:color w:val="auto"/>
        </w:rPr>
      </w:pPr>
      <w:r>
        <w:rPr>
          <w:rFonts w:ascii="Courier New" w:cs="Courier New" w:eastAsia="Courier New" w:hAnsi="Courier New"/>
          <w:sz w:val="18"/>
          <w:szCs w:val="18"/>
          <w:color w:val="auto"/>
        </w:rPr>
        <w:t>Operating Income. Operating income for fiscal 2003, was $210.4 million, or 14.2% of revenue, compared to $49.2 million, or 3.0% of revenue, in fiscal 2002. The increase is attributable primarily to our adoption of SFAS No. 142, which resulted in no amortization of goodwill in fiscal 2003.</w:t>
      </w:r>
    </w:p>
    <w:p>
      <w:pPr>
        <w:spacing w:after="0" w:line="8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Operating income for fiscal 2002 included amortization of goodwill of</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$204.6 million, amortization of purchased intangible assets of $27.2 million,</w:t>
      </w:r>
    </w:p>
    <w:p>
      <w:pPr>
        <w:spacing w:after="0"/>
        <w:rPr>
          <w:sz w:val="20"/>
          <w:szCs w:val="20"/>
          <w:color w:val="auto"/>
        </w:rPr>
      </w:pPr>
      <w:r>
        <w:rPr>
          <w:rFonts w:ascii="Courier New" w:cs="Courier New" w:eastAsia="Courier New" w:hAnsi="Courier New"/>
          <w:sz w:val="16"/>
          <w:szCs w:val="16"/>
          <w:color w:val="auto"/>
        </w:rPr>
        <w:t>restructuring charges of $34.2 million and the write-off of in-process research</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development of $17.4 million. Excluding amortization of goodwill and</w:t>
      </w:r>
    </w:p>
    <w:p>
      <w:pPr>
        <w:spacing w:after="0" w:line="238" w:lineRule="auto"/>
        <w:rPr>
          <w:sz w:val="20"/>
          <w:szCs w:val="20"/>
          <w:color w:val="auto"/>
        </w:rPr>
      </w:pPr>
      <w:r>
        <w:rPr>
          <w:rFonts w:ascii="Courier New" w:cs="Courier New" w:eastAsia="Courier New" w:hAnsi="Courier New"/>
          <w:sz w:val="18"/>
          <w:szCs w:val="18"/>
          <w:color w:val="auto"/>
        </w:rPr>
        <w:t>purchased intangible assets and the write-off of in-process research and</w:t>
      </w:r>
    </w:p>
    <w:p>
      <w:pPr>
        <w:spacing w:after="0"/>
        <w:rPr>
          <w:sz w:val="20"/>
          <w:szCs w:val="20"/>
          <w:color w:val="auto"/>
        </w:rPr>
      </w:pPr>
      <w:r>
        <w:rPr>
          <w:rFonts w:ascii="Courier New" w:cs="Courier New" w:eastAsia="Courier New" w:hAnsi="Courier New"/>
          <w:sz w:val="18"/>
          <w:szCs w:val="18"/>
          <w:color w:val="auto"/>
        </w:rPr>
        <w:t>development, operating income for fiscal 2002 was $298.4 million, or 18.5% of</w:t>
      </w:r>
    </w:p>
    <w:p>
      <w:pPr>
        <w:spacing w:after="0" w:line="238" w:lineRule="auto"/>
        <w:rPr>
          <w:sz w:val="20"/>
          <w:szCs w:val="20"/>
          <w:color w:val="auto"/>
        </w:rPr>
      </w:pPr>
      <w:r>
        <w:rPr>
          <w:rFonts w:ascii="Courier New" w:cs="Courier New" w:eastAsia="Courier New" w:hAnsi="Courier New"/>
          <w:sz w:val="18"/>
          <w:szCs w:val="18"/>
          <w:color w:val="auto"/>
        </w:rPr>
        <w:t>revenue. Operating income for fiscal 2003 included amortization of purchased</w:t>
      </w:r>
    </w:p>
    <w:p>
      <w:pPr>
        <w:spacing w:after="0"/>
        <w:rPr>
          <w:sz w:val="20"/>
          <w:szCs w:val="20"/>
          <w:color w:val="auto"/>
        </w:rPr>
      </w:pPr>
      <w:r>
        <w:rPr>
          <w:rFonts w:ascii="Courier New" w:cs="Courier New" w:eastAsia="Courier New" w:hAnsi="Courier New"/>
          <w:sz w:val="18"/>
          <w:szCs w:val="18"/>
          <w:color w:val="auto"/>
        </w:rPr>
        <w:t>intangible assets of $19.9 million, restructuring charges of $10.0 million and</w:t>
      </w:r>
    </w:p>
    <w:p>
      <w:pPr>
        <w:spacing w:after="0" w:line="238" w:lineRule="auto"/>
        <w:rPr>
          <w:sz w:val="20"/>
          <w:szCs w:val="20"/>
          <w:color w:val="auto"/>
        </w:rPr>
      </w:pPr>
      <w:r>
        <w:rPr>
          <w:rFonts w:ascii="Courier New" w:cs="Courier New" w:eastAsia="Courier New" w:hAnsi="Courier New"/>
          <w:sz w:val="18"/>
          <w:szCs w:val="18"/>
          <w:color w:val="auto"/>
        </w:rPr>
        <w:t>the cumulative effect of our 10% share in Certen's pre-acquisition results of</w:t>
      </w:r>
    </w:p>
    <w:p>
      <w:pPr>
        <w:spacing w:after="0"/>
        <w:rPr>
          <w:sz w:val="20"/>
          <w:szCs w:val="20"/>
          <w:color w:val="auto"/>
        </w:rPr>
      </w:pPr>
      <w:r>
        <w:rPr>
          <w:rFonts w:ascii="Courier New" w:cs="Courier New" w:eastAsia="Courier New" w:hAnsi="Courier New"/>
          <w:sz w:val="18"/>
          <w:szCs w:val="18"/>
          <w:color w:val="auto"/>
        </w:rPr>
        <w:t>$4.1 million. Excluding amortization of purchased intangible assets and the</w:t>
      </w:r>
    </w:p>
    <w:p>
      <w:pPr>
        <w:spacing w:after="0" w:line="238" w:lineRule="auto"/>
        <w:rPr>
          <w:sz w:val="20"/>
          <w:szCs w:val="20"/>
          <w:color w:val="auto"/>
        </w:rPr>
      </w:pPr>
      <w:r>
        <w:rPr>
          <w:rFonts w:ascii="Courier New" w:cs="Courier New" w:eastAsia="Courier New" w:hAnsi="Courier New"/>
          <w:sz w:val="18"/>
          <w:szCs w:val="18"/>
          <w:color w:val="auto"/>
        </w:rPr>
        <w:t>cumulative effect of our 10% share in Certen's pre-acquisition results,</w:t>
      </w:r>
    </w:p>
    <w:p>
      <w:pPr>
        <w:spacing w:after="0"/>
        <w:rPr>
          <w:sz w:val="20"/>
          <w:szCs w:val="20"/>
          <w:color w:val="auto"/>
        </w:rPr>
      </w:pPr>
      <w:r>
        <w:rPr>
          <w:rFonts w:ascii="Courier New" w:cs="Courier New" w:eastAsia="Courier New" w:hAnsi="Courier New"/>
          <w:sz w:val="18"/>
          <w:szCs w:val="18"/>
          <w:color w:val="auto"/>
        </w:rPr>
        <w:t>operating income for fiscal 2003, was $234.5 million, or 15.8% of revenue, a</w:t>
      </w:r>
    </w:p>
    <w:p>
      <w:pPr>
        <w:spacing w:after="0" w:line="238" w:lineRule="auto"/>
        <w:rPr>
          <w:sz w:val="20"/>
          <w:szCs w:val="20"/>
          <w:color w:val="auto"/>
        </w:rPr>
      </w:pPr>
      <w:r>
        <w:rPr>
          <w:rFonts w:ascii="Courier New" w:cs="Courier New" w:eastAsia="Courier New" w:hAnsi="Courier New"/>
          <w:sz w:val="18"/>
          <w:szCs w:val="18"/>
          <w:color w:val="auto"/>
        </w:rPr>
        <w:t>decrease of 21.4% from the prior year. The decrease in our operating income,</w:t>
      </w:r>
    </w:p>
    <w:p>
      <w:pPr>
        <w:spacing w:after="0"/>
        <w:rPr>
          <w:sz w:val="20"/>
          <w:szCs w:val="20"/>
          <w:color w:val="auto"/>
        </w:rPr>
      </w:pPr>
      <w:r>
        <w:rPr>
          <w:rFonts w:ascii="Courier New" w:cs="Courier New" w:eastAsia="Courier New" w:hAnsi="Courier New"/>
          <w:sz w:val="18"/>
          <w:szCs w:val="18"/>
          <w:color w:val="auto"/>
        </w:rPr>
        <w:t>excluding amortization of purchased intangible assets and goodwill, the</w:t>
      </w:r>
    </w:p>
    <w:p>
      <w:pPr>
        <w:spacing w:after="0" w:line="238" w:lineRule="auto"/>
        <w:rPr>
          <w:sz w:val="20"/>
          <w:szCs w:val="20"/>
          <w:color w:val="auto"/>
        </w:rPr>
      </w:pPr>
      <w:r>
        <w:rPr>
          <w:rFonts w:ascii="Courier New" w:cs="Courier New" w:eastAsia="Courier New" w:hAnsi="Courier New"/>
          <w:sz w:val="18"/>
          <w:szCs w:val="18"/>
          <w:color w:val="auto"/>
        </w:rPr>
        <w:t>write-off of in-process research and development and the cumulative effect of</w:t>
      </w:r>
    </w:p>
    <w:p>
      <w:pPr>
        <w:spacing w:after="0"/>
        <w:rPr>
          <w:sz w:val="20"/>
          <w:szCs w:val="20"/>
          <w:color w:val="auto"/>
        </w:rPr>
      </w:pPr>
      <w:r>
        <w:rPr>
          <w:rFonts w:ascii="Courier New" w:cs="Courier New" w:eastAsia="Courier New" w:hAnsi="Courier New"/>
          <w:sz w:val="16"/>
          <w:szCs w:val="16"/>
          <w:color w:val="auto"/>
        </w:rPr>
        <w:t>our 10% share in Certen's pre-acquisition results, was due to a decrease in our</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revenue, mainly license revenue, in fiscal 2003, caused by the slowdown in our</w:t>
      </w:r>
    </w:p>
    <w:p>
      <w:pPr>
        <w:spacing w:after="0" w:line="238" w:lineRule="auto"/>
        <w:rPr>
          <w:sz w:val="20"/>
          <w:szCs w:val="20"/>
          <w:color w:val="auto"/>
        </w:rPr>
      </w:pPr>
      <w:r>
        <w:rPr>
          <w:rFonts w:ascii="Courier New" w:cs="Courier New" w:eastAsia="Courier New" w:hAnsi="Courier New"/>
          <w:sz w:val="18"/>
          <w:szCs w:val="18"/>
          <w:color w:val="auto"/>
        </w:rPr>
        <w:t>markets, which was not offset by a corresponding decrease in our operating</w:t>
      </w:r>
    </w:p>
    <w:p>
      <w:pPr>
        <w:spacing w:after="0"/>
        <w:rPr>
          <w:sz w:val="20"/>
          <w:szCs w:val="20"/>
          <w:color w:val="auto"/>
        </w:rPr>
      </w:pPr>
      <w:r>
        <w:rPr>
          <w:rFonts w:ascii="Courier New" w:cs="Courier New" w:eastAsia="Courier New" w:hAnsi="Courier New"/>
          <w:sz w:val="18"/>
          <w:szCs w:val="18"/>
          <w:color w:val="auto"/>
        </w:rPr>
        <w:t>costs. Our operating income was also affected by our new Managed Services</w:t>
      </w:r>
    </w:p>
    <w:p>
      <w:pPr>
        <w:spacing w:after="0"/>
        <w:rPr>
          <w:sz w:val="20"/>
          <w:szCs w:val="20"/>
          <w:color w:val="auto"/>
        </w:rPr>
      </w:pPr>
      <w:r>
        <w:rPr>
          <w:rFonts w:ascii="Courier New" w:cs="Courier New" w:eastAsia="Courier New" w:hAnsi="Courier New"/>
          <w:sz w:val="18"/>
          <w:szCs w:val="18"/>
          <w:color w:val="auto"/>
        </w:rPr>
        <w:t>projects that are less profitable in their initial period.</w:t>
      </w:r>
    </w:p>
    <w:p>
      <w:pPr>
        <w:spacing w:after="0" w:line="169" w:lineRule="exact"/>
        <w:rPr>
          <w:sz w:val="20"/>
          <w:szCs w:val="20"/>
          <w:color w:val="auto"/>
        </w:rPr>
      </w:pPr>
    </w:p>
    <w:p>
      <w:pPr>
        <w:ind w:right="1779" w:firstLine="527"/>
        <w:spacing w:after="0" w:line="293" w:lineRule="auto"/>
        <w:rPr>
          <w:sz w:val="20"/>
          <w:szCs w:val="20"/>
          <w:color w:val="auto"/>
        </w:rPr>
      </w:pPr>
      <w:r>
        <w:rPr>
          <w:rFonts w:ascii="Courier New" w:cs="Courier New" w:eastAsia="Courier New" w:hAnsi="Courier New"/>
          <w:sz w:val="16"/>
          <w:szCs w:val="16"/>
          <w:color w:val="auto"/>
        </w:rPr>
        <w:t>Interest Income and Other, Net. For fiscal 2003, interest income and other, net, was $14.8 million, a decrease of $4.5 million from fiscal 2002. The decrease in interest income and other, net, is primarily attributable to the decline in interest rates on our short-term interest-bearing investments, and to the gain recognized in the fourth quarter of fiscal 2002 from the repurchases of our Notes that was greater than the gain from our repurchases in the fourth quarter of 2003. See the discussion above under the caption "Convertible Notes".</w:t>
      </w:r>
    </w:p>
    <w:p>
      <w:pPr>
        <w:spacing w:after="0" w:line="72" w:lineRule="exact"/>
        <w:rPr>
          <w:sz w:val="20"/>
          <w:szCs w:val="20"/>
          <w:color w:val="auto"/>
        </w:rPr>
      </w:pPr>
    </w:p>
    <w:p>
      <w:pPr>
        <w:ind w:right="1879" w:firstLine="527"/>
        <w:spacing w:after="0" w:line="285" w:lineRule="auto"/>
        <w:rPr>
          <w:sz w:val="20"/>
          <w:szCs w:val="20"/>
          <w:color w:val="auto"/>
        </w:rPr>
      </w:pPr>
      <w:r>
        <w:rPr>
          <w:rFonts w:ascii="Courier New" w:cs="Courier New" w:eastAsia="Courier New" w:hAnsi="Courier New"/>
          <w:sz w:val="16"/>
          <w:szCs w:val="16"/>
          <w:color w:val="auto"/>
        </w:rPr>
        <w:t>Income Taxes. Income taxes for fiscal 2003 were $56.3 million on pretax income of $225.2 million. Our effective tax rate in fiscal 2003 was 25%. As a result of the adoption of SFAS No. 142 we no longer amortize goodwill resulting from acquisitions, thus goodwill amortization that is not tax-deductible no longer affects our effective tax rate. In fiscal 2002, income taxes were $73.5 million on pretax income of $68.5 million, or 107% of pretax income, resulting from the non-cash amortization of goodwill related to acquisitions, much of which is not tax-deductible. The effective tax rate for fiscal 2002, excluding amortization of purchased intangible assets and goodwill, was 28%. See the discussion below under the caption "Effective Tax Rate".</w:t>
      </w:r>
    </w:p>
    <w:p>
      <w:pPr>
        <w:spacing w:after="0" w:line="291" w:lineRule="exact"/>
        <w:rPr>
          <w:sz w:val="20"/>
          <w:szCs w:val="20"/>
          <w:color w:val="auto"/>
        </w:rPr>
      </w:pPr>
    </w:p>
    <w:p>
      <w:pPr>
        <w:ind w:right="1879" w:firstLine="527"/>
        <w:spacing w:after="0" w:line="283" w:lineRule="auto"/>
        <w:rPr>
          <w:sz w:val="20"/>
          <w:szCs w:val="20"/>
          <w:color w:val="auto"/>
        </w:rPr>
      </w:pPr>
      <w:r>
        <w:rPr>
          <w:rFonts w:ascii="Courier New" w:cs="Courier New" w:eastAsia="Courier New" w:hAnsi="Courier New"/>
          <w:sz w:val="16"/>
          <w:szCs w:val="16"/>
          <w:color w:val="auto"/>
        </w:rPr>
        <w:t>Net Income (Loss). Net income was $168.9 million in fiscal 2003, compared to a net loss of $5.1 million in fiscal 2002. Net income for fiscal 2003 included amortization of purchased intangible assets, restructuring charges and the cumulative effect of our 10% share in Certen's pre-acquisition results. Excluding amortization of purchased intangible assets and the cumulative effect of our 10% share in Certen's pre-acquisition results and related tax effects, net income was $186.9 million, representing 12.6% of revenue, a decrease of 16.7% from fiscal 2002. Net loss for fiscal 2002 included amortization of goodwill and purchased intangible assets, restructuring charges, the write-off of in-process research and development and the gain from the repurchase of our Notes. Excluding amortization of goodwill and purchased</w:t>
      </w:r>
    </w:p>
    <w:p>
      <w:pPr>
        <w:spacing w:after="0" w:line="8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34</w:t>
      </w:r>
    </w:p>
    <w:p>
      <w:pPr>
        <w:sectPr>
          <w:pgSz w:w="11900" w:h="16838" w:orient="portrait"/>
          <w:cols w:equalWidth="0" w:num="1">
            <w:col w:w="10219"/>
          </w:cols>
          <w:pgMar w:left="240" w:top="691" w:right="1440" w:bottom="793" w:gutter="0" w:footer="0" w:header="0"/>
        </w:sectPr>
      </w:pPr>
    </w:p>
    <w:bookmarkStart w:id="37" w:name="page38"/>
    <w:bookmarkEnd w:id="37"/>
    <w:p>
      <w:pPr>
        <w:ind w:right="1779"/>
        <w:spacing w:after="0" w:line="285" w:lineRule="auto"/>
        <w:rPr>
          <w:sz w:val="20"/>
          <w:szCs w:val="20"/>
          <w:color w:val="auto"/>
        </w:rPr>
      </w:pPr>
      <w:r>
        <w:rPr>
          <w:rFonts w:ascii="Courier New" w:cs="Courier New" w:eastAsia="Courier New" w:hAnsi="Courier New"/>
          <w:sz w:val="16"/>
          <w:szCs w:val="16"/>
          <w:color w:val="auto"/>
        </w:rPr>
        <w:t>intangible assets, the write-off of in-process research and development and the gain from the repurchase of our Notes and related tax effects, net income for fiscal 2002 was $224.4 million, or 13.9% of revenue. The decrease in our net income, excluding amortization of purchased intangible assets and goodwill, the write-off of in-process research and development, the gain from the repurchase of our Notes and the cumulative effect of our 10% share in Certen's pre-acquisition results, was due to a decrease in our revenue in fiscal 2003, caused by the slowdown in our markets, which was not offset by a corresponding decrease in our operating costs. Our net income was also affected by new Managed Services projects that are less profitable in their initial period.</w:t>
      </w:r>
    </w:p>
    <w:p>
      <w:pPr>
        <w:spacing w:after="0" w:line="291" w:lineRule="exact"/>
        <w:rPr>
          <w:sz w:val="20"/>
          <w:szCs w:val="20"/>
          <w:color w:val="auto"/>
        </w:rPr>
      </w:pPr>
    </w:p>
    <w:p>
      <w:pPr>
        <w:ind w:right="1779" w:firstLine="527"/>
        <w:spacing w:after="0" w:line="267" w:lineRule="auto"/>
        <w:rPr>
          <w:sz w:val="20"/>
          <w:szCs w:val="20"/>
          <w:color w:val="auto"/>
        </w:rPr>
      </w:pPr>
      <w:r>
        <w:rPr>
          <w:rFonts w:ascii="Courier New" w:cs="Courier New" w:eastAsia="Courier New" w:hAnsi="Courier New"/>
          <w:sz w:val="18"/>
          <w:szCs w:val="18"/>
          <w:color w:val="auto"/>
        </w:rPr>
        <w:t>Prior to fiscal 2003, goodwill was amortized using the straight-line method over its estimated period of benefit. Net income and earnings per share for fiscal 2002, adjusted to exclude amortization of goodwill and workforce-in-place, net of tax, are as follows (in millions, except per share data):</w:t>
      </w:r>
    </w:p>
    <w:p>
      <w:pPr>
        <w:spacing w:after="0" w:line="30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YEAR ENDED SEPTEMBER 30, 2002 -------------</w:t>
      </w:r>
    </w:p>
    <w:p>
      <w:pPr>
        <w:spacing w:after="0" w:line="29"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8"/>
          <w:szCs w:val="18"/>
          <w:color w:val="auto"/>
        </w:rPr>
        <w:t>Reported net</w:t>
      </w:r>
    </w:p>
    <w:p>
      <w:pPr>
        <w:spacing w:after="0" w:line="238" w:lineRule="auto"/>
        <w:rPr>
          <w:sz w:val="20"/>
          <w:szCs w:val="20"/>
          <w:color w:val="auto"/>
        </w:rPr>
      </w:pPr>
      <w:r>
        <w:rPr>
          <w:rFonts w:ascii="Courier New" w:cs="Courier New" w:eastAsia="Courier New" w:hAnsi="Courier New"/>
          <w:sz w:val="18"/>
          <w:szCs w:val="18"/>
          <w:color w:val="auto"/>
        </w:rPr>
        <w:t>loss...........................................</w:t>
      </w:r>
    </w:p>
    <w:p>
      <w:pPr>
        <w:ind w:left="160"/>
        <w:spacing w:after="0"/>
        <w:rPr>
          <w:sz w:val="20"/>
          <w:szCs w:val="20"/>
          <w:color w:val="auto"/>
        </w:rPr>
      </w:pPr>
      <w:r>
        <w:rPr>
          <w:rFonts w:ascii="Courier New" w:cs="Courier New" w:eastAsia="Courier New" w:hAnsi="Courier New"/>
          <w:sz w:val="18"/>
          <w:szCs w:val="18"/>
          <w:color w:val="auto"/>
        </w:rPr>
        <w:t>$ (5.1) Add back: goodwill and workforce-in-</w:t>
      </w:r>
    </w:p>
    <w:tbl>
      <w:tblPr>
        <w:tblLayout w:type="fixed"/>
        <w:tblInd w:w="0" w:type="dxa"/>
        <w:tblCellMar>
          <w:top w:w="0" w:type="dxa"/>
          <w:left w:w="0" w:type="dxa"/>
          <w:bottom w:w="0" w:type="dxa"/>
          <w:right w:w="0" w:type="dxa"/>
        </w:tblCellMar>
      </w:tblPr>
      <w:tr>
        <w:trPr>
          <w:trHeight w:val="171"/>
        </w:trPr>
        <w:tc>
          <w:tcPr>
            <w:tcW w:w="2120" w:type="dxa"/>
            <w:vAlign w:val="bottom"/>
          </w:tcPr>
          <w:p>
            <w:pPr>
              <w:jc w:val="right"/>
              <w:spacing w:after="0" w:line="170" w:lineRule="exact"/>
              <w:rPr>
                <w:sz w:val="20"/>
                <w:szCs w:val="20"/>
                <w:color w:val="auto"/>
              </w:rPr>
            </w:pPr>
            <w:r>
              <w:rPr>
                <w:rFonts w:ascii="Courier New" w:cs="Courier New" w:eastAsia="Courier New" w:hAnsi="Courier New"/>
                <w:sz w:val="18"/>
                <w:szCs w:val="18"/>
                <w:color w:val="auto"/>
              </w:rPr>
              <w:t>place amortization</w:t>
            </w:r>
          </w:p>
        </w:tc>
        <w:tc>
          <w:tcPr>
            <w:tcW w:w="2780" w:type="dxa"/>
            <w:vAlign w:val="bottom"/>
          </w:tcPr>
          <w:p>
            <w:pPr>
              <w:jc w:val="right"/>
              <w:ind w:right="72"/>
              <w:spacing w:after="0" w:line="170" w:lineRule="exact"/>
              <w:rPr>
                <w:sz w:val="20"/>
                <w:szCs w:val="20"/>
                <w:color w:val="auto"/>
              </w:rPr>
            </w:pPr>
            <w:r>
              <w:rPr>
                <w:rFonts w:ascii="Courier New" w:cs="Courier New" w:eastAsia="Courier New" w:hAnsi="Courier New"/>
                <w:sz w:val="18"/>
                <w:szCs w:val="18"/>
                <w:color w:val="auto"/>
                <w:w w:val="96"/>
              </w:rPr>
              <w:t>...... 204.6 Attributable</w:t>
            </w:r>
          </w:p>
        </w:tc>
        <w:tc>
          <w:tcPr>
            <w:tcW w:w="0" w:type="dxa"/>
            <w:vAlign w:val="bottom"/>
          </w:tcPr>
          <w:p>
            <w:pPr>
              <w:spacing w:after="0"/>
              <w:rPr>
                <w:sz w:val="1"/>
                <w:szCs w:val="1"/>
                <w:color w:val="auto"/>
              </w:rPr>
            </w:pPr>
          </w:p>
        </w:tc>
      </w:tr>
      <w:tr>
        <w:trPr>
          <w:trHeight w:val="296"/>
        </w:trPr>
        <w:tc>
          <w:tcPr>
            <w:tcW w:w="2120" w:type="dxa"/>
            <w:vAlign w:val="bottom"/>
            <w:vMerge w:val="restart"/>
          </w:tcPr>
          <w:p>
            <w:pPr>
              <w:jc w:val="right"/>
              <w:spacing w:after="0"/>
              <w:rPr>
                <w:sz w:val="20"/>
                <w:szCs w:val="20"/>
                <w:color w:val="auto"/>
              </w:rPr>
            </w:pPr>
            <w:r>
              <w:rPr>
                <w:rFonts w:ascii="Courier New" w:cs="Courier New" w:eastAsia="Courier New" w:hAnsi="Courier New"/>
                <w:sz w:val="10"/>
                <w:szCs w:val="10"/>
                <w:color w:val="auto"/>
                <w:w w:val="71"/>
              </w:rPr>
              <w:t>effect.....................................</w:t>
            </w:r>
            <w:r>
              <w:rPr>
                <w:rFonts w:ascii="Courier New" w:cs="Courier New" w:eastAsia="Courier New" w:hAnsi="Courier New"/>
                <w:sz w:val="15"/>
                <w:szCs w:val="15"/>
                <w:color w:val="auto"/>
                <w:w w:val="71"/>
                <w:vertAlign w:val="subscript"/>
              </w:rPr>
              <w:t>------</w:t>
            </w:r>
          </w:p>
        </w:tc>
        <w:tc>
          <w:tcPr>
            <w:tcW w:w="2780" w:type="dxa"/>
            <w:vAlign w:val="bottom"/>
          </w:tcPr>
          <w:p>
            <w:pPr>
              <w:jc w:val="center"/>
              <w:ind w:right="1972"/>
              <w:spacing w:after="0"/>
              <w:rPr>
                <w:sz w:val="20"/>
                <w:szCs w:val="20"/>
                <w:color w:val="auto"/>
              </w:rPr>
            </w:pPr>
            <w:r>
              <w:rPr>
                <w:rFonts w:ascii="Courier New" w:cs="Courier New" w:eastAsia="Courier New" w:hAnsi="Courier New"/>
                <w:sz w:val="18"/>
                <w:szCs w:val="18"/>
                <w:color w:val="auto"/>
                <w:w w:val="98"/>
              </w:rPr>
              <w:t>tax</w:t>
            </w:r>
          </w:p>
        </w:tc>
        <w:tc>
          <w:tcPr>
            <w:tcW w:w="0" w:type="dxa"/>
            <w:vAlign w:val="bottom"/>
          </w:tcPr>
          <w:p>
            <w:pPr>
              <w:spacing w:after="0"/>
              <w:rPr>
                <w:sz w:val="1"/>
                <w:szCs w:val="1"/>
                <w:color w:val="auto"/>
              </w:rPr>
            </w:pPr>
          </w:p>
        </w:tc>
      </w:tr>
      <w:tr>
        <w:trPr>
          <w:trHeight w:val="109"/>
        </w:trPr>
        <w:tc>
          <w:tcPr>
            <w:tcW w:w="2120" w:type="dxa"/>
            <w:vAlign w:val="bottom"/>
            <w:vMerge w:val="continue"/>
          </w:tcPr>
          <w:p>
            <w:pPr>
              <w:spacing w:after="0"/>
              <w:rPr>
                <w:sz w:val="9"/>
                <w:szCs w:val="9"/>
                <w:color w:val="auto"/>
              </w:rPr>
            </w:pPr>
          </w:p>
        </w:tc>
        <w:tc>
          <w:tcPr>
            <w:tcW w:w="2780" w:type="dxa"/>
            <w:vAlign w:val="bottom"/>
            <w:vMerge w:val="restart"/>
          </w:tcPr>
          <w:p>
            <w:pPr>
              <w:jc w:val="right"/>
              <w:ind w:right="1012"/>
              <w:spacing w:after="0"/>
              <w:rPr>
                <w:sz w:val="20"/>
                <w:szCs w:val="20"/>
                <w:color w:val="auto"/>
              </w:rPr>
            </w:pPr>
            <w:r>
              <w:rPr>
                <w:rFonts w:ascii="Courier New" w:cs="Courier New" w:eastAsia="Courier New" w:hAnsi="Courier New"/>
                <w:sz w:val="18"/>
                <w:szCs w:val="18"/>
                <w:color w:val="auto"/>
              </w:rPr>
              <w:t>Adjusted net</w:t>
            </w:r>
          </w:p>
        </w:tc>
        <w:tc>
          <w:tcPr>
            <w:tcW w:w="0" w:type="dxa"/>
            <w:vAlign w:val="bottom"/>
          </w:tcPr>
          <w:p>
            <w:pPr>
              <w:spacing w:after="0"/>
              <w:rPr>
                <w:sz w:val="1"/>
                <w:szCs w:val="1"/>
                <w:color w:val="auto"/>
              </w:rPr>
            </w:pPr>
          </w:p>
        </w:tc>
      </w:tr>
      <w:tr>
        <w:trPr>
          <w:trHeight w:val="203"/>
        </w:trPr>
        <w:tc>
          <w:tcPr>
            <w:tcW w:w="2120" w:type="dxa"/>
            <w:vAlign w:val="bottom"/>
          </w:tcPr>
          <w:p>
            <w:pPr>
              <w:jc w:val="right"/>
              <w:ind w:right="359"/>
              <w:spacing w:after="0" w:line="203" w:lineRule="exact"/>
              <w:rPr>
                <w:sz w:val="20"/>
                <w:szCs w:val="20"/>
                <w:color w:val="auto"/>
              </w:rPr>
            </w:pPr>
            <w:r>
              <w:rPr>
                <w:rFonts w:ascii="Courier New" w:cs="Courier New" w:eastAsia="Courier New" w:hAnsi="Courier New"/>
                <w:sz w:val="18"/>
                <w:szCs w:val="18"/>
                <w:color w:val="auto"/>
              </w:rPr>
              <w:t>(2.7)</w:t>
            </w:r>
          </w:p>
        </w:tc>
        <w:tc>
          <w:tcPr>
            <w:tcW w:w="2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income.........................................</w:t>
            </w:r>
          </w:p>
        </w:tc>
        <w:tc>
          <w:tcPr>
            <w:tcW w:w="0" w:type="dxa"/>
            <w:vAlign w:val="bottom"/>
          </w:tcPr>
          <w:p>
            <w:pPr>
              <w:spacing w:after="0"/>
              <w:rPr>
                <w:sz w:val="1"/>
                <w:szCs w:val="1"/>
                <w:color w:val="auto"/>
              </w:rPr>
            </w:pPr>
          </w:p>
        </w:tc>
      </w:tr>
      <w:tr>
        <w:trPr>
          <w:trHeight w:val="203"/>
        </w:trPr>
        <w:tc>
          <w:tcPr>
            <w:tcW w:w="49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$196.8 ====== Adjusted basic earnings per</w:t>
            </w:r>
          </w:p>
        </w:tc>
        <w:tc>
          <w:tcPr>
            <w:tcW w:w="0" w:type="dxa"/>
            <w:vAlign w:val="bottom"/>
          </w:tcPr>
          <w:p>
            <w:pPr>
              <w:spacing w:after="0"/>
              <w:rPr>
                <w:sz w:val="1"/>
                <w:szCs w:val="1"/>
                <w:color w:val="auto"/>
              </w:rPr>
            </w:pPr>
          </w:p>
        </w:tc>
      </w:tr>
      <w:tr>
        <w:trPr>
          <w:trHeight w:val="203"/>
        </w:trPr>
        <w:tc>
          <w:tcPr>
            <w:tcW w:w="2120" w:type="dxa"/>
            <w:vAlign w:val="bottom"/>
          </w:tcPr>
          <w:p>
            <w:pPr>
              <w:jc w:val="right"/>
              <w:spacing w:after="0"/>
              <w:rPr>
                <w:sz w:val="20"/>
                <w:szCs w:val="20"/>
                <w:color w:val="auto"/>
              </w:rPr>
            </w:pPr>
            <w:r>
              <w:rPr>
                <w:rFonts w:ascii="Courier New" w:cs="Courier New" w:eastAsia="Courier New" w:hAnsi="Courier New"/>
                <w:sz w:val="15"/>
                <w:szCs w:val="15"/>
                <w:color w:val="auto"/>
                <w:w w:val="72"/>
              </w:rPr>
              <w:t>share...........................</w:t>
            </w:r>
          </w:p>
        </w:tc>
        <w:tc>
          <w:tcPr>
            <w:tcW w:w="2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$ 0.89 ======</w:t>
            </w:r>
          </w:p>
        </w:tc>
        <w:tc>
          <w:tcPr>
            <w:tcW w:w="0" w:type="dxa"/>
            <w:vAlign w:val="bottom"/>
          </w:tcPr>
          <w:p>
            <w:pPr>
              <w:spacing w:after="0"/>
              <w:rPr>
                <w:sz w:val="1"/>
                <w:szCs w:val="1"/>
                <w:color w:val="auto"/>
              </w:rPr>
            </w:pPr>
          </w:p>
        </w:tc>
      </w:tr>
      <w:tr>
        <w:trPr>
          <w:trHeight w:val="203"/>
        </w:trPr>
        <w:tc>
          <w:tcPr>
            <w:tcW w:w="49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Adjusted diluted earnings per</w:t>
            </w:r>
          </w:p>
        </w:tc>
        <w:tc>
          <w:tcPr>
            <w:tcW w:w="0" w:type="dxa"/>
            <w:vAlign w:val="bottom"/>
          </w:tcPr>
          <w:p>
            <w:pPr>
              <w:spacing w:after="0"/>
              <w:rPr>
                <w:sz w:val="1"/>
                <w:szCs w:val="1"/>
                <w:color w:val="auto"/>
              </w:rPr>
            </w:pPr>
          </w:p>
        </w:tc>
      </w:tr>
      <w:tr>
        <w:trPr>
          <w:trHeight w:val="296"/>
        </w:trPr>
        <w:tc>
          <w:tcPr>
            <w:tcW w:w="2120" w:type="dxa"/>
            <w:vAlign w:val="bottom"/>
          </w:tcPr>
          <w:p>
            <w:pPr>
              <w:jc w:val="right"/>
              <w:spacing w:after="0"/>
              <w:rPr>
                <w:sz w:val="20"/>
                <w:szCs w:val="20"/>
                <w:color w:val="auto"/>
              </w:rPr>
            </w:pPr>
            <w:r>
              <w:rPr>
                <w:rFonts w:ascii="Courier New" w:cs="Courier New" w:eastAsia="Courier New" w:hAnsi="Courier New"/>
                <w:sz w:val="16"/>
                <w:szCs w:val="16"/>
                <w:color w:val="auto"/>
                <w:w w:val="72"/>
              </w:rPr>
              <w:t>share.........................</w:t>
            </w:r>
          </w:p>
        </w:tc>
        <w:tc>
          <w:tcPr>
            <w:tcW w:w="27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$ 0.88 ======</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right="1779" w:firstLine="527"/>
        <w:spacing w:after="0" w:line="293" w:lineRule="auto"/>
        <w:rPr>
          <w:sz w:val="20"/>
          <w:szCs w:val="20"/>
          <w:color w:val="auto"/>
        </w:rPr>
      </w:pPr>
      <w:r>
        <w:rPr>
          <w:rFonts w:ascii="Courier New" w:cs="Courier New" w:eastAsia="Courier New" w:hAnsi="Courier New"/>
          <w:sz w:val="16"/>
          <w:szCs w:val="16"/>
          <w:color w:val="auto"/>
        </w:rPr>
        <w:t>Diluted Earnings (Loss) Per Share. Diluted earnings per share were $0.77 for fiscal 2003, compared to net loss per share of $0.02 in fiscal 2002. Diluted earnings per share in fiscal 2003, excluding amortization of purchased intangible assets and goodwill, the write-off of in-process research and development, the gain from the repurchase of our Notes and the cumulative effect of our 10% share in Certen's pre-acquisition results and related tax effects, decreased by 15.8% from $1.01 in fiscal 2002, to $0.85 per diluted share.</w:t>
      </w:r>
    </w:p>
    <w:p>
      <w:pPr>
        <w:spacing w:after="0" w:line="7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FISCAL YEARS ENDED SEPTEMBER 30, 2002 AND 2001</w:t>
      </w:r>
    </w:p>
    <w:p>
      <w:pPr>
        <w:spacing w:after="0" w:line="201" w:lineRule="exact"/>
        <w:rPr>
          <w:sz w:val="20"/>
          <w:szCs w:val="20"/>
          <w:color w:val="auto"/>
        </w:rPr>
      </w:pPr>
    </w:p>
    <w:p>
      <w:pPr>
        <w:ind w:right="1779" w:firstLine="527"/>
        <w:spacing w:after="0" w:line="246" w:lineRule="auto"/>
        <w:rPr>
          <w:sz w:val="20"/>
          <w:szCs w:val="20"/>
          <w:color w:val="auto"/>
        </w:rPr>
      </w:pPr>
      <w:r>
        <w:rPr>
          <w:rFonts w:ascii="Courier New" w:cs="Courier New" w:eastAsia="Courier New" w:hAnsi="Courier New"/>
          <w:sz w:val="18"/>
          <w:szCs w:val="18"/>
          <w:color w:val="auto"/>
        </w:rPr>
        <w:t>Revenue. Total revenue for the year ended September 30, 2002 was $1,613.6 million, an increase of $79.7 million, or 5.2%, over fiscal 2001. This growth rate was significantly less than the 37.2% revenue increase we had been able to achieve between fiscal 2000 and 2001, primarily as a result of the pronounced decrease in our CC&amp;B Systems revenue in the second half of fiscal 2002, partially offset by revenue attributable to our acquisition of Clarify. While CC&amp;B Systems revenue levels in the first six months of fiscal 2002 were 23.8% higher than revenue levels for CC&amp;B Systems in the comparable period of fiscal 2001, and 6.3% higher sequentially based on a comparison of our second to our first fiscal quarters of 2002, CC&amp;B Systems revenue declined significantly in the second six months of fiscal 2002. We experienced a $130.6 million, or 16.6%, decline in revenue from our CC&amp;B Systems between the first half and second half of fiscal 2002 and sequential declines of $65.9 million or 16.3% and $23.0 million or 6.8%, between the second and third fiscal quarters and third and fourth fiscal quarters of 2002, respectively.</w:t>
      </w:r>
    </w:p>
    <w:p>
      <w:pPr>
        <w:spacing w:after="0" w:line="106" w:lineRule="exact"/>
        <w:rPr>
          <w:sz w:val="20"/>
          <w:szCs w:val="20"/>
          <w:color w:val="auto"/>
        </w:rPr>
      </w:pPr>
    </w:p>
    <w:p>
      <w:pPr>
        <w:ind w:right="2419" w:firstLine="527"/>
        <w:spacing w:after="0" w:line="347" w:lineRule="auto"/>
        <w:rPr>
          <w:sz w:val="20"/>
          <w:szCs w:val="20"/>
          <w:color w:val="auto"/>
        </w:rPr>
      </w:pPr>
      <w:r>
        <w:rPr>
          <w:rFonts w:ascii="Courier New" w:cs="Courier New" w:eastAsia="Courier New" w:hAnsi="Courier New"/>
          <w:sz w:val="18"/>
          <w:szCs w:val="18"/>
          <w:color w:val="auto"/>
        </w:rPr>
        <w:t>The quarterly trends in our total revenue in fiscal 2002 and 2001 are summarized below (in millions):</w:t>
      </w:r>
    </w:p>
    <w:p>
      <w:pPr>
        <w:spacing w:after="0" w:line="18"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Q1 Q2 Q3 Q4 ------ ------ ------ ------ Fiscal</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2002................................................</w:t>
      </w:r>
    </w:p>
    <w:p>
      <w:pPr>
        <w:jc w:val="center"/>
        <w:ind w:right="4739"/>
        <w:spacing w:after="0" w:line="238" w:lineRule="auto"/>
        <w:rPr>
          <w:sz w:val="20"/>
          <w:szCs w:val="20"/>
          <w:color w:val="auto"/>
        </w:rPr>
      </w:pPr>
      <w:r>
        <w:rPr>
          <w:rFonts w:ascii="Courier New" w:cs="Courier New" w:eastAsia="Courier New" w:hAnsi="Courier New"/>
          <w:sz w:val="18"/>
          <w:szCs w:val="18"/>
          <w:color w:val="auto"/>
        </w:rPr>
        <w:t>$422.6 $455.3 $380.2 $355.5 Fiscal</w:t>
      </w:r>
    </w:p>
    <w:p>
      <w:pPr>
        <w:spacing w:after="0"/>
        <w:rPr>
          <w:sz w:val="20"/>
          <w:szCs w:val="20"/>
          <w:color w:val="auto"/>
        </w:rPr>
      </w:pPr>
      <w:r>
        <w:rPr>
          <w:rFonts w:ascii="Courier New" w:cs="Courier New" w:eastAsia="Courier New" w:hAnsi="Courier New"/>
          <w:sz w:val="18"/>
          <w:szCs w:val="18"/>
          <w:color w:val="auto"/>
        </w:rPr>
        <w:t>2001................................................</w:t>
      </w:r>
    </w:p>
    <w:p>
      <w:pPr>
        <w:ind w:left="1320"/>
        <w:spacing w:after="0"/>
        <w:rPr>
          <w:sz w:val="20"/>
          <w:szCs w:val="20"/>
          <w:color w:val="auto"/>
        </w:rPr>
      </w:pPr>
      <w:r>
        <w:rPr>
          <w:rFonts w:ascii="Courier New" w:cs="Courier New" w:eastAsia="Courier New" w:hAnsi="Courier New"/>
          <w:sz w:val="18"/>
          <w:szCs w:val="18"/>
          <w:color w:val="auto"/>
        </w:rPr>
        <w:t>$342.2 $372.3 $404.0 $415.4</w:t>
      </w:r>
    </w:p>
    <w:p>
      <w:pPr>
        <w:spacing w:after="0" w:line="372" w:lineRule="exact"/>
        <w:rPr>
          <w:sz w:val="20"/>
          <w:szCs w:val="20"/>
          <w:color w:val="auto"/>
        </w:rPr>
      </w:pPr>
    </w:p>
    <w:p>
      <w:pPr>
        <w:ind w:right="1879" w:firstLine="527"/>
        <w:spacing w:after="0" w:line="260" w:lineRule="auto"/>
        <w:rPr>
          <w:sz w:val="20"/>
          <w:szCs w:val="20"/>
          <w:color w:val="auto"/>
        </w:rPr>
      </w:pPr>
      <w:r>
        <w:rPr>
          <w:rFonts w:ascii="Courier New" w:cs="Courier New" w:eastAsia="Courier New" w:hAnsi="Courier New"/>
          <w:sz w:val="18"/>
          <w:szCs w:val="18"/>
          <w:color w:val="auto"/>
        </w:rPr>
        <w:t>License revenue decreased from $171.4 million in fiscal 2001 to $153.7 million in fiscal 2002, a decrease of 10.4%, while service revenue increased by 7.2% to $1,459.9 million in fiscal 2002 from $1,362.5 million in fiscal 2001. The decrease in license revenue and the smaller than expected growth in service revenue are attributable primarily to the slowdown in customer buying decisions in the second half</w:t>
      </w:r>
    </w:p>
    <w:p>
      <w:pPr>
        <w:spacing w:after="0" w:line="9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35</w:t>
      </w:r>
    </w:p>
    <w:p>
      <w:pPr>
        <w:sectPr>
          <w:pgSz w:w="11900" w:h="16838" w:orient="portrait"/>
          <w:cols w:equalWidth="0" w:num="1">
            <w:col w:w="10219"/>
          </w:cols>
          <w:pgMar w:left="240" w:top="691" w:right="1440" w:bottom="186" w:gutter="0" w:footer="0" w:header="0"/>
        </w:sectPr>
      </w:pPr>
    </w:p>
    <w:bookmarkStart w:id="38" w:name="page39"/>
    <w:bookmarkEnd w:id="38"/>
    <w:p>
      <w:pPr>
        <w:ind w:right="1779"/>
        <w:spacing w:after="0" w:line="256" w:lineRule="auto"/>
        <w:rPr>
          <w:sz w:val="20"/>
          <w:szCs w:val="20"/>
          <w:color w:val="auto"/>
        </w:rPr>
      </w:pPr>
      <w:r>
        <w:rPr>
          <w:rFonts w:ascii="Courier New" w:cs="Courier New" w:eastAsia="Courier New" w:hAnsi="Courier New"/>
          <w:sz w:val="18"/>
          <w:szCs w:val="18"/>
          <w:color w:val="auto"/>
        </w:rPr>
        <w:t>of fiscal 2002, stemming from overall reductions in the capital investment budgets of many communications service providers. This reduction in investment by our customers resulted in our obtaining fewer new contracts than expected and smaller than expected initial spending commitments under contracts with some of our customers. The smaller than anticipated increase in service revenue was also attributable, in part, to reduced discretionary spending under contracts with some of our customers in the second half of fiscal 2002.</w:t>
      </w:r>
    </w:p>
    <w:p>
      <w:pPr>
        <w:spacing w:after="0" w:line="98" w:lineRule="exact"/>
        <w:rPr>
          <w:sz w:val="20"/>
          <w:szCs w:val="20"/>
          <w:color w:val="auto"/>
        </w:rPr>
      </w:pPr>
    </w:p>
    <w:p>
      <w:pPr>
        <w:ind w:right="1879" w:firstLine="527"/>
        <w:spacing w:after="0" w:line="282" w:lineRule="auto"/>
        <w:rPr>
          <w:sz w:val="20"/>
          <w:szCs w:val="20"/>
          <w:color w:val="auto"/>
        </w:rPr>
      </w:pPr>
      <w:r>
        <w:rPr>
          <w:rFonts w:ascii="Courier New" w:cs="Courier New" w:eastAsia="Courier New" w:hAnsi="Courier New"/>
          <w:sz w:val="16"/>
          <w:szCs w:val="16"/>
          <w:color w:val="auto"/>
        </w:rPr>
        <w:t>Total CC&amp;B Systems revenue for fiscal 2002 was $1,440.0 million, an increase of $60.3 million, or 4.4%, over fiscal 2001. During fiscal 2002, the demand for our CC&amp;B Systems was primarily driven by the need for communications companies to continue to upgrade their customer care and billing, CRM software and order management systems in response to competition in the subscriber markets, the need to offer new data services and the need to improve productivity and operational efficiency. In addition, demand for our CC&amp;B Systems was enhanced by our acquisition of Clarify, which added Clarify's CRM software to our CC&amp;B Systems portfolio of offerings. As a result of the Clarify acquisition, we derived a portion of our CC&amp;B Systems revenue in fiscal 2002 from customers other than communications service providers. For fiscal 2002, $59.9 million of our CC&amp;B Systems revenue was attributable to such customers.</w:t>
      </w:r>
    </w:p>
    <w:p>
      <w:pPr>
        <w:spacing w:after="0" w:line="291" w:lineRule="exact"/>
        <w:rPr>
          <w:sz w:val="20"/>
          <w:szCs w:val="20"/>
          <w:color w:val="auto"/>
        </w:rPr>
      </w:pPr>
    </w:p>
    <w:p>
      <w:pPr>
        <w:ind w:right="1779" w:firstLine="527"/>
        <w:spacing w:after="0" w:line="274" w:lineRule="auto"/>
        <w:rPr>
          <w:sz w:val="20"/>
          <w:szCs w:val="20"/>
          <w:color w:val="auto"/>
        </w:rPr>
      </w:pPr>
      <w:r>
        <w:rPr>
          <w:rFonts w:ascii="Courier New" w:cs="Courier New" w:eastAsia="Courier New" w:hAnsi="Courier New"/>
          <w:sz w:val="18"/>
          <w:szCs w:val="18"/>
          <w:color w:val="auto"/>
        </w:rPr>
        <w:t>Revenue from Directory Systems was $173.6 million for fiscal 2002, an increase of $19.3 million, or 12.5%, over fiscal 2001. The increase was attributable primarily to extensions of agreements with, and additional services rendered to, existing customers.</w:t>
      </w:r>
    </w:p>
    <w:p>
      <w:pPr>
        <w:spacing w:after="0" w:line="82" w:lineRule="exact"/>
        <w:rPr>
          <w:sz w:val="20"/>
          <w:szCs w:val="20"/>
          <w:color w:val="auto"/>
        </w:rPr>
      </w:pPr>
    </w:p>
    <w:p>
      <w:pPr>
        <w:ind w:right="1779" w:firstLine="527"/>
        <w:spacing w:after="0" w:line="265" w:lineRule="auto"/>
        <w:rPr>
          <w:sz w:val="20"/>
          <w:szCs w:val="20"/>
          <w:color w:val="auto"/>
        </w:rPr>
      </w:pPr>
      <w:r>
        <w:rPr>
          <w:rFonts w:ascii="Courier New" w:cs="Courier New" w:eastAsia="Courier New" w:hAnsi="Courier New"/>
          <w:sz w:val="18"/>
          <w:szCs w:val="18"/>
          <w:color w:val="auto"/>
        </w:rPr>
        <w:t>In fiscal 2002, revenue from customers in North America, Europe and the rest of the world accounted for 61.9%, 28.9% and 9.2%, respectively, compared to 53.8%, 35.8% and 10.4%, respectively, for fiscal 2001. The growth in North American revenue in fiscal 2002 was attributable primarily to increased activity from existing customers.</w:t>
      </w:r>
    </w:p>
    <w:p>
      <w:pPr>
        <w:spacing w:after="0" w:line="90" w:lineRule="exact"/>
        <w:rPr>
          <w:sz w:val="20"/>
          <w:szCs w:val="20"/>
          <w:color w:val="auto"/>
        </w:rPr>
      </w:pPr>
    </w:p>
    <w:p>
      <w:pPr>
        <w:ind w:right="1779" w:firstLine="527"/>
        <w:spacing w:after="0" w:line="265" w:lineRule="auto"/>
        <w:rPr>
          <w:sz w:val="20"/>
          <w:szCs w:val="20"/>
          <w:color w:val="auto"/>
        </w:rPr>
      </w:pPr>
      <w:r>
        <w:rPr>
          <w:rFonts w:ascii="Courier New" w:cs="Courier New" w:eastAsia="Courier New" w:hAnsi="Courier New"/>
          <w:sz w:val="18"/>
          <w:szCs w:val="18"/>
          <w:color w:val="auto"/>
        </w:rPr>
        <w:t>Cost of License. Cost of license for fiscal 2002 was $6.0 million, an increase of $0.3 million, or 5.9%, over the cost of license for fiscal 2001. Cost of license includes amortization of purchased computer software and intellectual property rights, and is decreasing as a result of our amortizing on a faster than straight-line basis.</w:t>
      </w:r>
    </w:p>
    <w:p>
      <w:pPr>
        <w:spacing w:after="0" w:line="90" w:lineRule="exact"/>
        <w:rPr>
          <w:sz w:val="20"/>
          <w:szCs w:val="20"/>
          <w:color w:val="auto"/>
        </w:rPr>
      </w:pPr>
    </w:p>
    <w:p>
      <w:pPr>
        <w:ind w:right="1879" w:firstLine="527"/>
        <w:spacing w:after="0" w:line="250" w:lineRule="auto"/>
        <w:rPr>
          <w:sz w:val="20"/>
          <w:szCs w:val="20"/>
          <w:color w:val="auto"/>
        </w:rPr>
      </w:pPr>
      <w:r>
        <w:rPr>
          <w:rFonts w:ascii="Courier New" w:cs="Courier New" w:eastAsia="Courier New" w:hAnsi="Courier New"/>
          <w:sz w:val="18"/>
          <w:szCs w:val="18"/>
          <w:color w:val="auto"/>
        </w:rPr>
        <w:t>Cost of Service. Cost of service for fiscal 2002 was $927.4 million, an increase of $79.8 million, or 9.4%, over the cost of service of $847.6 million for fiscal 2001. As a percentage of revenue, cost of service increased to 57.5% in fiscal 2002 from 55.3% in fiscal 2001. The increase in cost of service as a percentage of revenue was attributable to the decrease in license revenue and the slight decrease in the gross margin of our service revenue in the second half of fiscal 2002. As a result of general economic and other factors negatively impacting our markets, we took steps to decrease our costs. See the discussion above under the caption "Operational Efficiency and Cost Reduction Programs".</w:t>
      </w:r>
    </w:p>
    <w:p>
      <w:pPr>
        <w:spacing w:after="0" w:line="104" w:lineRule="exact"/>
        <w:rPr>
          <w:sz w:val="20"/>
          <w:szCs w:val="20"/>
          <w:color w:val="auto"/>
        </w:rPr>
      </w:pPr>
    </w:p>
    <w:p>
      <w:pPr>
        <w:ind w:right="1779" w:firstLine="527"/>
        <w:spacing w:after="0" w:line="248" w:lineRule="auto"/>
        <w:rPr>
          <w:sz w:val="20"/>
          <w:szCs w:val="20"/>
          <w:color w:val="auto"/>
        </w:rPr>
      </w:pPr>
      <w:r>
        <w:rPr>
          <w:rFonts w:ascii="Courier New" w:cs="Courier New" w:eastAsia="Courier New" w:hAnsi="Courier New"/>
          <w:sz w:val="18"/>
          <w:szCs w:val="18"/>
          <w:color w:val="auto"/>
        </w:rPr>
        <w:t>Research and Development. Research and development expense was primarily comprised of compensation expense attributable to research and development activities, either in conjunction with customer projects or as part of our internal product development program. For fiscal 2002, research and development expense was $124.1 million, or 7.7% of revenue, compared with $105.8 million, or 6.9% of revenue, in fiscal 2001. The increase in expense reflects ongoing expenditures primarily for CC&amp;B Systems. Our research and development budget, like all of our costs, is sensitive to our overall financial condition. A decrease in our total revenue could, in certain circumstances, lead to reductions in the levels of our research and development expenditures. See the discussion above under the caption "Research and Development, Patents and Licenses".</w:t>
      </w:r>
    </w:p>
    <w:p>
      <w:pPr>
        <w:spacing w:after="0" w:line="105" w:lineRule="exact"/>
        <w:rPr>
          <w:sz w:val="20"/>
          <w:szCs w:val="20"/>
          <w:color w:val="auto"/>
        </w:rPr>
      </w:pPr>
    </w:p>
    <w:p>
      <w:pPr>
        <w:ind w:right="1779" w:firstLine="527"/>
        <w:spacing w:after="0" w:line="253" w:lineRule="auto"/>
        <w:rPr>
          <w:sz w:val="20"/>
          <w:szCs w:val="20"/>
          <w:color w:val="auto"/>
        </w:rPr>
      </w:pPr>
      <w:r>
        <w:rPr>
          <w:rFonts w:ascii="Courier New" w:cs="Courier New" w:eastAsia="Courier New" w:hAnsi="Courier New"/>
          <w:sz w:val="18"/>
          <w:szCs w:val="18"/>
          <w:color w:val="auto"/>
        </w:rPr>
        <w:t>Selling, General and Administrative. Selling, general and administrative expense was primarily comprised of compensation expense and increased by 14.3% to $223.6 million, or 13.9% of revenue, in fiscal 2002 from $195.6 million, or 12.7% of revenue, in fiscal 2001. The increase in selling, general and administrative expense as a percentage of revenue was attributable primarily to the increase in our selling and marketing efforts in fiscal 2002 and, to a lesser degree, to the reduction in our revenue growth, which was not offset by a corresponding decrease in our selling, general and administrative expense.</w:t>
      </w:r>
    </w:p>
    <w:p>
      <w:pPr>
        <w:spacing w:after="0" w:line="1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36</w:t>
      </w:r>
    </w:p>
    <w:p>
      <w:pPr>
        <w:sectPr>
          <w:pgSz w:w="11900" w:h="16838" w:orient="portrait"/>
          <w:cols w:equalWidth="0" w:num="1">
            <w:col w:w="10219"/>
          </w:cols>
          <w:pgMar w:left="240" w:top="691" w:right="1440" w:bottom="996" w:gutter="0" w:footer="0" w:header="0"/>
        </w:sectPr>
      </w:pPr>
    </w:p>
    <w:bookmarkStart w:id="39" w:name="page40"/>
    <w:bookmarkEnd w:id="39"/>
    <w:p>
      <w:pPr>
        <w:ind w:right="1879" w:firstLine="527"/>
        <w:spacing w:after="0" w:line="280" w:lineRule="auto"/>
        <w:rPr>
          <w:sz w:val="20"/>
          <w:szCs w:val="20"/>
          <w:color w:val="auto"/>
        </w:rPr>
      </w:pPr>
      <w:r>
        <w:rPr>
          <w:rFonts w:ascii="Courier New" w:cs="Courier New" w:eastAsia="Courier New" w:hAnsi="Courier New"/>
          <w:sz w:val="16"/>
          <w:szCs w:val="16"/>
          <w:color w:val="auto"/>
        </w:rPr>
        <w:t>Amortization of Goodwill and Purchased Intangible Assets. Amortization of goodwill and purchased intangible assets for fiscal 2002 was $231.8 million, compared to $220.0 million in fiscal 2001. The increase in amortization expense in fiscal 2002 was due to non-goodwill related amortization resulting from the Clarify acquisition. In accordance with SFAS No. 142, goodwill related to Clarify, an acquisition completed after July 1, 2001, is not amortized, but is subject to periodic impairment tests. For acquisitions completed prior to July 1, 2001, under SFAS No. 142 amortization of goodwill and certain other intangibles, such as workforce-in-place, ceased on October 1, 2002. In fiscal 2002 and 2001, total amortization related to such goodwill and workforce-in-place was $204.6 million. Effective as of October 1, 2002, we adopted SFAS No. 142 and goodwill related to our acquisitions is no longer amortized. Instead, any such goodwill became subject only to the same periodic impairment tests applicable to Clarify-related goodwill.</w:t>
      </w:r>
    </w:p>
    <w:p>
      <w:pPr>
        <w:spacing w:after="0" w:line="29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Restructuring Charges, In-Process Research and Development and</w:t>
      </w:r>
    </w:p>
    <w:p>
      <w:pPr>
        <w:spacing w:after="0" w:line="31" w:lineRule="exact"/>
        <w:rPr>
          <w:sz w:val="20"/>
          <w:szCs w:val="20"/>
          <w:color w:val="auto"/>
        </w:rPr>
      </w:pPr>
    </w:p>
    <w:p>
      <w:pPr>
        <w:ind w:right="1879"/>
        <w:spacing w:after="0" w:line="247" w:lineRule="auto"/>
        <w:rPr>
          <w:sz w:val="20"/>
          <w:szCs w:val="20"/>
          <w:color w:val="auto"/>
        </w:rPr>
      </w:pPr>
      <w:r>
        <w:rPr>
          <w:rFonts w:ascii="Courier New" w:cs="Courier New" w:eastAsia="Courier New" w:hAnsi="Courier New"/>
          <w:sz w:val="18"/>
          <w:szCs w:val="18"/>
          <w:color w:val="auto"/>
        </w:rPr>
        <w:t>Other. Restructuring charges, in-process research and development and other in fiscal 2002 consisted of a one-time charge of $17.4 million for write-off of purchased in-process research and development resulting from the Clarify transaction, a restructuring charge of $13.3 million related to the consolidation of data centers and the resulting closure of our Stamford, Connecticut facility and a restructuring charge of $20.9 million related to the cost reduction program we implemented in the fourth quarter of fiscal 2002. See the discussion above under the caption "Operational Efficiency and Cost Reduction Programs".</w:t>
      </w:r>
    </w:p>
    <w:p>
      <w:pPr>
        <w:spacing w:after="0" w:line="105" w:lineRule="exact"/>
        <w:rPr>
          <w:sz w:val="20"/>
          <w:szCs w:val="20"/>
          <w:color w:val="auto"/>
        </w:rPr>
      </w:pPr>
    </w:p>
    <w:p>
      <w:pPr>
        <w:ind w:right="1879" w:firstLine="527"/>
        <w:spacing w:after="0" w:line="256" w:lineRule="auto"/>
        <w:rPr>
          <w:sz w:val="20"/>
          <w:szCs w:val="20"/>
          <w:color w:val="auto"/>
        </w:rPr>
      </w:pPr>
      <w:r>
        <w:rPr>
          <w:rFonts w:ascii="Courier New" w:cs="Courier New" w:eastAsia="Courier New" w:hAnsi="Courier New"/>
          <w:sz w:val="18"/>
          <w:szCs w:val="18"/>
          <w:color w:val="auto"/>
        </w:rPr>
        <w:t>Operating Income. Operating income for fiscal 2002 was $49.2 million, compared to $159.3 million for fiscal 2001, a decrease of 69.1%. The decrease resulted primarily from the reduction in our revenue growth in fiscal 2002, which was not offset by a corresponding decrease in our costs, as well as from the Clarify acquisition-related charges and the restructuring charges resulting from the Stamford facility closing and the implementation of our cost reduction program.</w:t>
      </w:r>
    </w:p>
    <w:p>
      <w:pPr>
        <w:spacing w:after="0" w:line="98" w:lineRule="exact"/>
        <w:rPr>
          <w:sz w:val="20"/>
          <w:szCs w:val="20"/>
          <w:color w:val="auto"/>
        </w:rPr>
      </w:pPr>
    </w:p>
    <w:p>
      <w:pPr>
        <w:ind w:right="1879" w:firstLine="527"/>
        <w:spacing w:after="0" w:line="246" w:lineRule="auto"/>
        <w:rPr>
          <w:sz w:val="20"/>
          <w:szCs w:val="20"/>
          <w:color w:val="auto"/>
        </w:rPr>
      </w:pPr>
      <w:r>
        <w:rPr>
          <w:rFonts w:ascii="Courier New" w:cs="Courier New" w:eastAsia="Courier New" w:hAnsi="Courier New"/>
          <w:sz w:val="18"/>
          <w:szCs w:val="18"/>
          <w:color w:val="auto"/>
        </w:rPr>
        <w:t>Operating income for fiscal 2001 included amortization of goodwill and purchased intangible assets of $220.0 million. Excluding amortization of goodwill and purchased intangible assets, operating income for fiscal 2001 was $379.3 million, or 24.7% of revenue. Operating income for fiscal 2002 included amortization of goodwill and purchased intangible assets of $231.8 million, restructuring charges of $34.2 million and the write-off of in-process research and development of $17.4 million. Excluding amortization of goodwill and purchased intangible assets and the write-off of in-process research and development, operating income for fiscal 2002 was $298.4 million, or 18.5% of revenue, a decrease of 21.3% from the prior year. The decrease in our operating income, excluding amortization of purchased intangible assets and goodwill and the write-off of in-process research and development, was due to a decrease in our revenue in fiscal 2002, caused by the slowdown in our market in the second half of fiscal 2002, which was not offset by a corresponding decrease in our operating costs.</w:t>
      </w:r>
    </w:p>
    <w:p>
      <w:pPr>
        <w:spacing w:after="0" w:line="106" w:lineRule="exact"/>
        <w:rPr>
          <w:sz w:val="20"/>
          <w:szCs w:val="20"/>
          <w:color w:val="auto"/>
        </w:rPr>
      </w:pPr>
    </w:p>
    <w:p>
      <w:pPr>
        <w:ind w:right="1879" w:firstLine="527"/>
        <w:spacing w:after="0" w:line="253" w:lineRule="auto"/>
        <w:rPr>
          <w:sz w:val="20"/>
          <w:szCs w:val="20"/>
          <w:color w:val="auto"/>
        </w:rPr>
      </w:pPr>
      <w:r>
        <w:rPr>
          <w:rFonts w:ascii="Courier New" w:cs="Courier New" w:eastAsia="Courier New" w:hAnsi="Courier New"/>
          <w:sz w:val="18"/>
          <w:szCs w:val="18"/>
          <w:color w:val="auto"/>
        </w:rPr>
        <w:t>Interest Income and Other, Net. For fiscal 2002, interest income and other, net, was $19.3 million, a decrease of $3.0 million from fiscal 2001. The decrease in interest income and other, net, was primarily attributable to the full-year interest expense and amortization of debt issuance costs related to our Notes, compared to four months of these costs in fiscal 2001. The decrease in interest income and other, net, was partially offset by gain of $6.0 million from the repurchase of our Notes. See the discussion above under the caption "Convertible Notes".</w:t>
      </w:r>
    </w:p>
    <w:p>
      <w:pPr>
        <w:spacing w:after="0" w:line="104" w:lineRule="exact"/>
        <w:rPr>
          <w:sz w:val="20"/>
          <w:szCs w:val="20"/>
          <w:color w:val="auto"/>
        </w:rPr>
      </w:pPr>
    </w:p>
    <w:p>
      <w:pPr>
        <w:ind w:right="1779" w:firstLine="527"/>
        <w:spacing w:after="0" w:line="283" w:lineRule="auto"/>
        <w:rPr>
          <w:sz w:val="20"/>
          <w:szCs w:val="20"/>
          <w:color w:val="auto"/>
        </w:rPr>
      </w:pPr>
      <w:r>
        <w:rPr>
          <w:rFonts w:ascii="Courier New" w:cs="Courier New" w:eastAsia="Courier New" w:hAnsi="Courier New"/>
          <w:sz w:val="16"/>
          <w:szCs w:val="16"/>
          <w:color w:val="auto"/>
        </w:rPr>
        <w:t>Income Taxes. Income taxes for fiscal 2002 were $73.5 million on pretax income of $68.5 million. Our effective tax rate for fiscal 2002 was 107%, resulting from the non-cash amortization of goodwill related to acquisitions, much of which is not tax deductible. See the discussion below under the caption "Effective Tax Rate". The effective tax rate for fiscal 2002, excluding the acquisition-related charges, and the gain from the repurchase of our Notes, was 28%. For the year ended September 30, 2001, income taxes were $115.2 million on income before income taxes of $181.6 million. The effective tax rate for fiscal 2001 was 63% (due to non-cash amortization of goodwill related to acquisitions, much of which is not tax deductible) and the effective tax rate for such period, excluding acquisition-related charges, was 30%.</w:t>
      </w:r>
    </w:p>
    <w:p>
      <w:pPr>
        <w:spacing w:after="0" w:line="294" w:lineRule="exact"/>
        <w:rPr>
          <w:sz w:val="20"/>
          <w:szCs w:val="20"/>
          <w:color w:val="auto"/>
        </w:rPr>
      </w:pPr>
    </w:p>
    <w:p>
      <w:pPr>
        <w:ind w:right="1879" w:firstLine="527"/>
        <w:spacing w:after="0" w:line="250" w:lineRule="auto"/>
        <w:rPr>
          <w:sz w:val="20"/>
          <w:szCs w:val="20"/>
          <w:color w:val="auto"/>
        </w:rPr>
      </w:pPr>
      <w:r>
        <w:rPr>
          <w:rFonts w:ascii="Courier New" w:cs="Courier New" w:eastAsia="Courier New" w:hAnsi="Courier New"/>
          <w:sz w:val="18"/>
          <w:szCs w:val="18"/>
          <w:color w:val="auto"/>
        </w:rPr>
        <w:t>Net (Loss) Income. We incurred a net loss of $5.1 million in fiscal 2002, compared to net income of $66.4 million in fiscal 2001. The net loss in fiscal 2002 resulted primarily from a decrease in our license</w:t>
      </w:r>
    </w:p>
    <w:p>
      <w:pPr>
        <w:spacing w:after="0" w:line="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37</w:t>
      </w:r>
    </w:p>
    <w:p>
      <w:pPr>
        <w:sectPr>
          <w:pgSz w:w="11900" w:h="16838" w:orient="portrait"/>
          <w:cols w:equalWidth="0" w:num="1">
            <w:col w:w="10219"/>
          </w:cols>
          <w:pgMar w:left="240" w:top="691" w:right="1440" w:bottom="356" w:gutter="0" w:footer="0" w:header="0"/>
        </w:sectPr>
      </w:pPr>
    </w:p>
    <w:bookmarkStart w:id="40" w:name="page41"/>
    <w:bookmarkEnd w:id="40"/>
    <w:p>
      <w:pPr>
        <w:ind w:right="1879"/>
        <w:spacing w:after="0" w:line="253" w:lineRule="auto"/>
        <w:rPr>
          <w:sz w:val="20"/>
          <w:szCs w:val="20"/>
          <w:color w:val="auto"/>
        </w:rPr>
      </w:pPr>
      <w:r>
        <w:rPr>
          <w:rFonts w:ascii="Courier New" w:cs="Courier New" w:eastAsia="Courier New" w:hAnsi="Courier New"/>
          <w:sz w:val="18"/>
          <w:szCs w:val="18"/>
          <w:color w:val="auto"/>
        </w:rPr>
        <w:t>revenue and the reduction in our revenue growth in fiscal 2002, which was not offset by a corresponding decrease in our costs, as well as from the Clarify acquisition-related charges and the restructuring charges resulting from the Stamford facility closing and the implementation of the cost reduction program. Our adoption of SFAS No. 142 as of October 1, 2002 had a positive impact on our results of operations in fiscal 2003. As a result of the adoption, we no longer amortize the goodwill from any of our acquisitions. Instead, any such goodwill is subject only to periodic impairment tests.</w:t>
      </w:r>
    </w:p>
    <w:p>
      <w:pPr>
        <w:spacing w:after="0" w:line="104" w:lineRule="exact"/>
        <w:rPr>
          <w:sz w:val="20"/>
          <w:szCs w:val="20"/>
          <w:color w:val="auto"/>
        </w:rPr>
      </w:pPr>
    </w:p>
    <w:p>
      <w:pPr>
        <w:ind w:right="1779" w:firstLine="527"/>
        <w:spacing w:after="0" w:line="246" w:lineRule="auto"/>
        <w:rPr>
          <w:sz w:val="20"/>
          <w:szCs w:val="20"/>
          <w:color w:val="auto"/>
        </w:rPr>
      </w:pPr>
      <w:r>
        <w:rPr>
          <w:rFonts w:ascii="Courier New" w:cs="Courier New" w:eastAsia="Courier New" w:hAnsi="Courier New"/>
          <w:sz w:val="18"/>
          <w:szCs w:val="18"/>
          <w:color w:val="auto"/>
        </w:rPr>
        <w:t>Net income for fiscal 2001 included amortization of goodwill and purchased intangible assets. Excluding amortization of goodwill and purchased intangible assets and related tax effects, net income for fiscal 2001 was $281.1 million, or 18.3% of revenue. Net income for fiscal 2002 included amortization of goodwill and purchased intangible assets, purchased in-process research and development, restructuring charges and the gain from the repurchase of our Notes. Excluding the aforementioned items, net income was $224.4 million, representing 13.9% of revenue, a decrease of 20.2% from the prior year. The decrease in our net income, excluding amortization of purchased intangible assets and goodwill, the write-off of in-process research and development and the gain from the repurchase of our Notes, was due to a decrease in our revenue in the year ended September 30, 2002, caused by the slowdown in our markets in the second half of fiscal 2002, which was not offset by a corresponding decrease in our operating costs.</w:t>
      </w:r>
    </w:p>
    <w:p>
      <w:pPr>
        <w:spacing w:after="0" w:line="113" w:lineRule="exact"/>
        <w:rPr>
          <w:sz w:val="20"/>
          <w:szCs w:val="20"/>
          <w:color w:val="auto"/>
        </w:rPr>
      </w:pPr>
    </w:p>
    <w:p>
      <w:pPr>
        <w:ind w:right="2839" w:firstLine="527"/>
        <w:spacing w:after="0" w:line="347" w:lineRule="auto"/>
        <w:rPr>
          <w:sz w:val="20"/>
          <w:szCs w:val="20"/>
          <w:color w:val="auto"/>
        </w:rPr>
      </w:pPr>
      <w:r>
        <w:rPr>
          <w:rFonts w:ascii="Courier New" w:cs="Courier New" w:eastAsia="Courier New" w:hAnsi="Courier New"/>
          <w:sz w:val="18"/>
          <w:szCs w:val="18"/>
          <w:color w:val="auto"/>
        </w:rPr>
        <w:t>Set forth below is the effect of non-amortization of goodwill and workforce-in-place (in millions, except per share data):</w:t>
      </w:r>
    </w:p>
    <w:p>
      <w:pPr>
        <w:spacing w:after="0" w:line="18"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YEAR ENDED SEPTEMBER 30, --------------- 2002</w:t>
      </w:r>
    </w:p>
    <w:p>
      <w:pPr>
        <w:spacing w:after="0" w:line="29"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8"/>
          <w:szCs w:val="18"/>
          <w:color w:val="auto"/>
        </w:rPr>
        <w:t>2001 ------ ------ Reported net (loss)</w:t>
      </w:r>
    </w:p>
    <w:p>
      <w:pPr>
        <w:jc w:val="center"/>
        <w:ind w:right="5259"/>
        <w:spacing w:after="0" w:line="238" w:lineRule="auto"/>
        <w:rPr>
          <w:sz w:val="20"/>
          <w:szCs w:val="20"/>
          <w:color w:val="auto"/>
        </w:rPr>
      </w:pPr>
      <w:r>
        <w:rPr>
          <w:rFonts w:ascii="Courier New" w:cs="Courier New" w:eastAsia="Courier New" w:hAnsi="Courier New"/>
          <w:sz w:val="18"/>
          <w:szCs w:val="18"/>
          <w:color w:val="auto"/>
        </w:rPr>
        <w:t>income.................................. $</w:t>
      </w:r>
    </w:p>
    <w:p>
      <w:pPr>
        <w:ind w:left="60"/>
        <w:spacing w:after="0"/>
        <w:rPr>
          <w:sz w:val="20"/>
          <w:szCs w:val="20"/>
          <w:color w:val="auto"/>
        </w:rPr>
      </w:pPr>
      <w:r>
        <w:rPr>
          <w:rFonts w:ascii="Courier New" w:cs="Courier New" w:eastAsia="Courier New" w:hAnsi="Courier New"/>
          <w:sz w:val="18"/>
          <w:szCs w:val="18"/>
          <w:color w:val="auto"/>
        </w:rPr>
        <w:t>(5.1) $ 66.4 Add back: goodwill and workforce-</w:t>
      </w:r>
    </w:p>
    <w:tbl>
      <w:tblPr>
        <w:tblLayout w:type="fixed"/>
        <w:tblInd w:w="0" w:type="dxa"/>
        <w:tblCellMar>
          <w:top w:w="0" w:type="dxa"/>
          <w:left w:w="0" w:type="dxa"/>
          <w:bottom w:w="0" w:type="dxa"/>
          <w:right w:w="0" w:type="dxa"/>
        </w:tblCellMar>
      </w:tblPr>
      <w:tr>
        <w:trPr>
          <w:trHeight w:val="171"/>
        </w:trPr>
        <w:tc>
          <w:tcPr>
            <w:tcW w:w="3340" w:type="dxa"/>
            <w:vAlign w:val="bottom"/>
            <w:gridSpan w:val="2"/>
          </w:tcPr>
          <w:p>
            <w:pPr>
              <w:ind w:left="420"/>
              <w:spacing w:after="0" w:line="170" w:lineRule="exact"/>
              <w:rPr>
                <w:sz w:val="20"/>
                <w:szCs w:val="20"/>
                <w:color w:val="auto"/>
              </w:rPr>
            </w:pPr>
            <w:r>
              <w:rPr>
                <w:rFonts w:ascii="Courier New" w:cs="Courier New" w:eastAsia="Courier New" w:hAnsi="Courier New"/>
                <w:sz w:val="18"/>
                <w:szCs w:val="18"/>
                <w:color w:val="auto"/>
                <w:w w:val="99"/>
              </w:rPr>
              <w:t>in-place amortizations.....</w:t>
            </w:r>
          </w:p>
        </w:tc>
        <w:tc>
          <w:tcPr>
            <w:tcW w:w="1360" w:type="dxa"/>
            <w:vAlign w:val="bottom"/>
          </w:tcPr>
          <w:p>
            <w:pPr>
              <w:jc w:val="right"/>
              <w:ind w:right="72"/>
              <w:spacing w:after="0" w:line="170" w:lineRule="exact"/>
              <w:rPr>
                <w:sz w:val="20"/>
                <w:szCs w:val="20"/>
                <w:color w:val="auto"/>
              </w:rPr>
            </w:pPr>
            <w:r>
              <w:rPr>
                <w:rFonts w:ascii="Courier New" w:cs="Courier New" w:eastAsia="Courier New" w:hAnsi="Courier New"/>
                <w:sz w:val="18"/>
                <w:szCs w:val="18"/>
                <w:color w:val="auto"/>
                <w:w w:val="99"/>
              </w:rPr>
              <w:t>204.6 204.6</w:t>
            </w:r>
          </w:p>
        </w:tc>
        <w:tc>
          <w:tcPr>
            <w:tcW w:w="0" w:type="dxa"/>
            <w:vAlign w:val="bottom"/>
          </w:tcPr>
          <w:p>
            <w:pPr>
              <w:spacing w:after="0"/>
              <w:rPr>
                <w:sz w:val="1"/>
                <w:szCs w:val="1"/>
                <w:color w:val="auto"/>
              </w:rPr>
            </w:pPr>
          </w:p>
        </w:tc>
      </w:tr>
      <w:tr>
        <w:trPr>
          <w:trHeight w:val="296"/>
        </w:trPr>
        <w:tc>
          <w:tcPr>
            <w:tcW w:w="1640" w:type="dxa"/>
            <w:vAlign w:val="bottom"/>
            <w:vMerge w:val="restart"/>
          </w:tcPr>
          <w:p>
            <w:pPr>
              <w:jc w:val="right"/>
              <w:spacing w:after="0"/>
              <w:rPr>
                <w:sz w:val="20"/>
                <w:szCs w:val="20"/>
                <w:color w:val="auto"/>
              </w:rPr>
            </w:pPr>
            <w:r>
              <w:rPr>
                <w:rFonts w:ascii="Courier New" w:cs="Courier New" w:eastAsia="Courier New" w:hAnsi="Courier New"/>
                <w:sz w:val="8"/>
                <w:szCs w:val="8"/>
                <w:color w:val="auto"/>
                <w:w w:val="78"/>
              </w:rPr>
              <w:t>effect.....................................</w:t>
            </w:r>
          </w:p>
        </w:tc>
        <w:tc>
          <w:tcPr>
            <w:tcW w:w="1700" w:type="dxa"/>
            <w:vAlign w:val="bottom"/>
          </w:tcPr>
          <w:p>
            <w:pPr>
              <w:spacing w:after="0"/>
              <w:rPr>
                <w:sz w:val="20"/>
                <w:szCs w:val="20"/>
                <w:color w:val="auto"/>
              </w:rPr>
            </w:pPr>
            <w:r>
              <w:rPr>
                <w:rFonts w:ascii="Courier New" w:cs="Courier New" w:eastAsia="Courier New" w:hAnsi="Courier New"/>
                <w:sz w:val="18"/>
                <w:szCs w:val="18"/>
                <w:color w:val="auto"/>
                <w:w w:val="97"/>
              </w:rPr>
              <w:t>Attributable tax</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1640" w:type="dxa"/>
            <w:vAlign w:val="bottom"/>
            <w:vMerge w:val="continue"/>
          </w:tcPr>
          <w:p>
            <w:pPr>
              <w:spacing w:after="0"/>
              <w:rPr>
                <w:sz w:val="9"/>
                <w:szCs w:val="9"/>
                <w:color w:val="auto"/>
              </w:rPr>
            </w:pPr>
          </w:p>
        </w:tc>
        <w:tc>
          <w:tcPr>
            <w:tcW w:w="3060" w:type="dxa"/>
            <w:vAlign w:val="bottom"/>
            <w:gridSpan w:val="2"/>
            <w:vMerge w:val="restart"/>
          </w:tcPr>
          <w:p>
            <w:pPr>
              <w:ind w:left="100"/>
              <w:spacing w:after="0"/>
              <w:rPr>
                <w:sz w:val="20"/>
                <w:szCs w:val="20"/>
                <w:color w:val="auto"/>
              </w:rPr>
            </w:pPr>
            <w:r>
              <w:rPr>
                <w:rFonts w:ascii="Courier New" w:cs="Courier New" w:eastAsia="Courier New" w:hAnsi="Courier New"/>
                <w:sz w:val="18"/>
                <w:szCs w:val="18"/>
                <w:color w:val="auto"/>
              </w:rPr>
              <w:t>------ ------ Adjusted net</w:t>
            </w:r>
          </w:p>
        </w:tc>
        <w:tc>
          <w:tcPr>
            <w:tcW w:w="0" w:type="dxa"/>
            <w:vAlign w:val="bottom"/>
          </w:tcPr>
          <w:p>
            <w:pPr>
              <w:spacing w:after="0"/>
              <w:rPr>
                <w:sz w:val="1"/>
                <w:szCs w:val="1"/>
                <w:color w:val="auto"/>
              </w:rPr>
            </w:pPr>
          </w:p>
        </w:tc>
      </w:tr>
      <w:tr>
        <w:trPr>
          <w:trHeight w:val="203"/>
        </w:trPr>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 (2.7)</w:t>
            </w:r>
          </w:p>
        </w:tc>
        <w:tc>
          <w:tcPr>
            <w:tcW w:w="30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40" w:type="dxa"/>
            <w:vAlign w:val="bottom"/>
          </w:tcPr>
          <w:p>
            <w:pPr>
              <w:jc w:val="right"/>
              <w:spacing w:after="0"/>
              <w:rPr>
                <w:sz w:val="20"/>
                <w:szCs w:val="20"/>
                <w:color w:val="auto"/>
              </w:rPr>
            </w:pPr>
            <w:r>
              <w:rPr>
                <w:rFonts w:ascii="Courier New" w:cs="Courier New" w:eastAsia="Courier New" w:hAnsi="Courier New"/>
                <w:sz w:val="8"/>
                <w:szCs w:val="8"/>
                <w:color w:val="auto"/>
                <w:w w:val="71"/>
              </w:rPr>
              <w:t>income.........................................</w:t>
            </w:r>
          </w:p>
        </w:tc>
        <w:tc>
          <w:tcPr>
            <w:tcW w:w="3060" w:type="dxa"/>
            <w:vAlign w:val="bottom"/>
            <w:gridSpan w:val="2"/>
            <w:vMerge w:val="restart"/>
          </w:tcPr>
          <w:p>
            <w:pPr>
              <w:ind w:left="100"/>
              <w:spacing w:after="0"/>
              <w:rPr>
                <w:sz w:val="20"/>
                <w:szCs w:val="20"/>
                <w:color w:val="auto"/>
              </w:rPr>
            </w:pPr>
            <w:r>
              <w:rPr>
                <w:rFonts w:ascii="Courier New" w:cs="Courier New" w:eastAsia="Courier New" w:hAnsi="Courier New"/>
                <w:sz w:val="18"/>
                <w:szCs w:val="18"/>
                <w:color w:val="auto"/>
                <w:w w:val="97"/>
              </w:rPr>
              <w:t>====== ====== Adjusted basic</w:t>
            </w:r>
          </w:p>
        </w:tc>
        <w:tc>
          <w:tcPr>
            <w:tcW w:w="0" w:type="dxa"/>
            <w:vAlign w:val="bottom"/>
          </w:tcPr>
          <w:p>
            <w:pPr>
              <w:spacing w:after="0"/>
              <w:rPr>
                <w:sz w:val="1"/>
                <w:szCs w:val="1"/>
                <w:color w:val="auto"/>
              </w:rPr>
            </w:pPr>
          </w:p>
        </w:tc>
      </w:tr>
      <w:tr>
        <w:trPr>
          <w:trHeight w:val="235"/>
        </w:trPr>
        <w:tc>
          <w:tcPr>
            <w:tcW w:w="1640" w:type="dxa"/>
            <w:vAlign w:val="bottom"/>
          </w:tcPr>
          <w:p>
            <w:pPr>
              <w:jc w:val="right"/>
              <w:spacing w:after="0"/>
              <w:rPr>
                <w:sz w:val="20"/>
                <w:szCs w:val="20"/>
                <w:color w:val="auto"/>
              </w:rPr>
            </w:pPr>
            <w:r>
              <w:rPr>
                <w:rFonts w:ascii="Courier New" w:cs="Courier New" w:eastAsia="Courier New" w:hAnsi="Courier New"/>
                <w:sz w:val="18"/>
                <w:szCs w:val="18"/>
                <w:color w:val="auto"/>
              </w:rPr>
              <w:t>$196.8 $268.3</w:t>
            </w:r>
          </w:p>
        </w:tc>
        <w:tc>
          <w:tcPr>
            <w:tcW w:w="30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bl>
    <w:p>
      <w:pPr>
        <w:ind w:left="100"/>
        <w:spacing w:after="0" w:line="238" w:lineRule="auto"/>
        <w:rPr>
          <w:sz w:val="20"/>
          <w:szCs w:val="20"/>
          <w:color w:val="auto"/>
        </w:rPr>
      </w:pPr>
      <w:r>
        <w:rPr>
          <w:rFonts w:ascii="Courier New" w:cs="Courier New" w:eastAsia="Courier New" w:hAnsi="Courier New"/>
          <w:sz w:val="18"/>
          <w:szCs w:val="18"/>
          <w:color w:val="auto"/>
        </w:rPr>
        <w:t>earnings per share...........................</w:t>
      </w:r>
    </w:p>
    <w:p>
      <w:pPr>
        <w:ind w:left="100" w:right="5359" w:firstLine="62"/>
        <w:spacing w:after="0" w:line="323" w:lineRule="auto"/>
        <w:tabs>
          <w:tab w:leader="none" w:pos="364"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0.89 $ 1.21 ====== ====== Adjusted diluted earnings per share......................... $ 0.88 $ 1.18 ====== ======</w:t>
      </w:r>
    </w:p>
    <w:p>
      <w:pPr>
        <w:spacing w:after="0" w:line="249" w:lineRule="exact"/>
        <w:rPr>
          <w:sz w:val="20"/>
          <w:szCs w:val="20"/>
          <w:color w:val="auto"/>
        </w:rPr>
      </w:pPr>
    </w:p>
    <w:p>
      <w:pPr>
        <w:ind w:right="1999" w:firstLine="527"/>
        <w:spacing w:after="0" w:line="253" w:lineRule="auto"/>
        <w:rPr>
          <w:sz w:val="20"/>
          <w:szCs w:val="20"/>
          <w:color w:val="auto"/>
        </w:rPr>
      </w:pPr>
      <w:r>
        <w:rPr>
          <w:rFonts w:ascii="Courier New" w:cs="Courier New" w:eastAsia="Courier New" w:hAnsi="Courier New"/>
          <w:sz w:val="18"/>
          <w:szCs w:val="18"/>
          <w:color w:val="auto"/>
        </w:rPr>
        <w:t>Diluted (Loss) Earnings Per Share. Diluted loss per share was $0.02 for fiscal 2002, compared to diluted earnings per share of $0.29 in fiscal 2001. Diluted earnings per share in fiscal 2002, excluding amortization of purchased intangible assets and goodwill, the write-off of in-process research and development and the gain from the repurchase of our Notes and related tax effects, decreased by 18.5% from $1.24 in fiscal 2001, to $1.01 per diluted share. See the discussion above under the caption "Operational Efficiency and Cost Reduction Programs".</w:t>
      </w:r>
    </w:p>
    <w:p>
      <w:pPr>
        <w:spacing w:after="0" w:line="1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Cash, cash equivalents and short-term interest-bearing investments totaled</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$1,290.9 million as of September 30, 2003, compared to $1,047.8 million as of</w:t>
      </w:r>
    </w:p>
    <w:p>
      <w:pPr>
        <w:spacing w:after="0" w:line="238" w:lineRule="auto"/>
        <w:rPr>
          <w:sz w:val="20"/>
          <w:szCs w:val="20"/>
          <w:color w:val="auto"/>
        </w:rPr>
      </w:pPr>
      <w:r>
        <w:rPr>
          <w:rFonts w:ascii="Courier New" w:cs="Courier New" w:eastAsia="Courier New" w:hAnsi="Courier New"/>
          <w:sz w:val="18"/>
          <w:szCs w:val="18"/>
          <w:color w:val="auto"/>
        </w:rPr>
        <w:t>September 30, 2002. The increase is attributable primarily to cash flows from</w:t>
      </w:r>
    </w:p>
    <w:p>
      <w:pPr>
        <w:spacing w:after="0"/>
        <w:rPr>
          <w:sz w:val="20"/>
          <w:szCs w:val="20"/>
          <w:color w:val="auto"/>
        </w:rPr>
      </w:pPr>
      <w:r>
        <w:rPr>
          <w:rFonts w:ascii="Courier New" w:cs="Courier New" w:eastAsia="Courier New" w:hAnsi="Courier New"/>
          <w:sz w:val="18"/>
          <w:szCs w:val="18"/>
          <w:color w:val="auto"/>
        </w:rPr>
        <w:t>operations which was partially offset by the use of $67.6 million in cash in</w:t>
      </w:r>
    </w:p>
    <w:p>
      <w:pPr>
        <w:spacing w:after="0" w:line="238" w:lineRule="auto"/>
        <w:rPr>
          <w:sz w:val="20"/>
          <w:szCs w:val="20"/>
          <w:color w:val="auto"/>
        </w:rPr>
      </w:pPr>
      <w:r>
        <w:rPr>
          <w:rFonts w:ascii="Courier New" w:cs="Courier New" w:eastAsia="Courier New" w:hAnsi="Courier New"/>
          <w:sz w:val="18"/>
          <w:szCs w:val="18"/>
          <w:color w:val="auto"/>
        </w:rPr>
        <w:t>connection with the acquisition of Certen, less $25.5 million in cash received</w:t>
      </w:r>
    </w:p>
    <w:p>
      <w:pPr>
        <w:spacing w:after="0"/>
        <w:rPr>
          <w:sz w:val="20"/>
          <w:szCs w:val="20"/>
          <w:color w:val="auto"/>
        </w:rPr>
      </w:pPr>
      <w:r>
        <w:rPr>
          <w:rFonts w:ascii="Courier New" w:cs="Courier New" w:eastAsia="Courier New" w:hAnsi="Courier New"/>
          <w:sz w:val="18"/>
          <w:szCs w:val="18"/>
          <w:color w:val="auto"/>
        </w:rPr>
        <w:t>in connection with that acquisition, and $44.2 million in cash to repurchase a</w:t>
      </w:r>
    </w:p>
    <w:p>
      <w:pPr>
        <w:spacing w:after="0" w:line="238" w:lineRule="auto"/>
        <w:rPr>
          <w:sz w:val="20"/>
          <w:szCs w:val="20"/>
          <w:color w:val="auto"/>
        </w:rPr>
      </w:pPr>
      <w:r>
        <w:rPr>
          <w:rFonts w:ascii="Courier New" w:cs="Courier New" w:eastAsia="Courier New" w:hAnsi="Courier New"/>
          <w:sz w:val="18"/>
          <w:szCs w:val="18"/>
          <w:color w:val="auto"/>
        </w:rPr>
        <w:t>portion of our Notes. Net cash provided by operating activities amounted to</w:t>
      </w:r>
    </w:p>
    <w:p>
      <w:pPr>
        <w:spacing w:after="0"/>
        <w:rPr>
          <w:sz w:val="20"/>
          <w:szCs w:val="20"/>
          <w:color w:val="auto"/>
        </w:rPr>
      </w:pPr>
      <w:r>
        <w:rPr>
          <w:rFonts w:ascii="Courier New" w:cs="Courier New" w:eastAsia="Courier New" w:hAnsi="Courier New"/>
          <w:sz w:val="16"/>
          <w:szCs w:val="16"/>
          <w:color w:val="auto"/>
        </w:rPr>
        <w:t>$382.0 million for fiscal 2003 and $412.3 million for fiscal 2002. The decrease</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cash flows from operations was primarily due to decreased net income before</w:t>
      </w:r>
    </w:p>
    <w:p>
      <w:pPr>
        <w:spacing w:after="0" w:line="238" w:lineRule="auto"/>
        <w:rPr>
          <w:sz w:val="20"/>
          <w:szCs w:val="20"/>
          <w:color w:val="auto"/>
        </w:rPr>
      </w:pPr>
      <w:r>
        <w:rPr>
          <w:rFonts w:ascii="Courier New" w:cs="Courier New" w:eastAsia="Courier New" w:hAnsi="Courier New"/>
          <w:sz w:val="18"/>
          <w:szCs w:val="18"/>
          <w:color w:val="auto"/>
        </w:rPr>
        <w:t>depreciation and amortization, which was partially offset by a decrease in</w:t>
      </w:r>
    </w:p>
    <w:p>
      <w:pPr>
        <w:spacing w:after="0"/>
        <w:rPr>
          <w:sz w:val="20"/>
          <w:szCs w:val="20"/>
          <w:color w:val="auto"/>
        </w:rPr>
      </w:pPr>
      <w:r>
        <w:rPr>
          <w:rFonts w:ascii="Courier New" w:cs="Courier New" w:eastAsia="Courier New" w:hAnsi="Courier New"/>
          <w:sz w:val="18"/>
          <w:szCs w:val="18"/>
          <w:color w:val="auto"/>
        </w:rPr>
        <w:t>working capital excluding cash. We currently intend to retain our future</w:t>
      </w:r>
    </w:p>
    <w:p>
      <w:pPr>
        <w:spacing w:after="0"/>
        <w:rPr>
          <w:sz w:val="20"/>
          <w:szCs w:val="20"/>
          <w:color w:val="auto"/>
        </w:rPr>
      </w:pPr>
      <w:r>
        <w:rPr>
          <w:rFonts w:ascii="Courier New" w:cs="Courier New" w:eastAsia="Courier New" w:hAnsi="Courier New"/>
          <w:sz w:val="16"/>
          <w:szCs w:val="16"/>
          <w:color w:val="auto"/>
        </w:rPr>
        <w:t>operating cash flows to support the further expansion of our business including</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investments related to new Managed Services projects and acquisitions, although</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 may also use a portion of our cash for future repurchases of our outstanding</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securities. See the discussions above under the captions "Share Repurchase</w:t>
      </w:r>
    </w:p>
    <w:p>
      <w:pPr>
        <w:spacing w:after="0"/>
        <w:rPr>
          <w:sz w:val="20"/>
          <w:szCs w:val="20"/>
          <w:color w:val="auto"/>
        </w:rPr>
      </w:pPr>
      <w:r>
        <w:rPr>
          <w:rFonts w:ascii="Courier New" w:cs="Courier New" w:eastAsia="Courier New" w:hAnsi="Courier New"/>
          <w:sz w:val="18"/>
          <w:szCs w:val="18"/>
          <w:color w:val="auto"/>
        </w:rPr>
        <w:t>Program" and "Convertible Notes".</w:t>
      </w:r>
    </w:p>
    <w:p>
      <w:pPr>
        <w:spacing w:after="0" w:line="16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38</w:t>
      </w:r>
    </w:p>
    <w:p>
      <w:pPr>
        <w:sectPr>
          <w:pgSz w:w="11900" w:h="16838" w:orient="portrait"/>
          <w:cols w:equalWidth="0" w:num="1">
            <w:col w:w="10219"/>
          </w:cols>
          <w:pgMar w:left="240" w:top="691" w:right="1440" w:bottom="996" w:gutter="0" w:footer="0" w:header="0"/>
        </w:sectPr>
      </w:pPr>
    </w:p>
    <w:bookmarkStart w:id="41" w:name="page42"/>
    <w:bookmarkEnd w:id="41"/>
    <w:p>
      <w:pPr>
        <w:ind w:right="1879" w:firstLine="527"/>
        <w:spacing w:after="0" w:line="287" w:lineRule="auto"/>
        <w:rPr>
          <w:sz w:val="20"/>
          <w:szCs w:val="20"/>
          <w:color w:val="auto"/>
        </w:rPr>
      </w:pPr>
      <w:r>
        <w:rPr>
          <w:rFonts w:ascii="Courier New" w:cs="Courier New" w:eastAsia="Courier New" w:hAnsi="Courier New"/>
          <w:sz w:val="16"/>
          <w:szCs w:val="16"/>
          <w:color w:val="auto"/>
        </w:rPr>
        <w:t>As of September 30, 2003, we had positive working capital of $567.3 million, compared to positive working capital of $938.6 million as of September 30, 2002. The decrease is attributable primarily to the reclassification of the Notes as a short-term liability because the holders of the Notes may require us to redeem the Notes on June 1, 2004. The decrease was partially offset by the increase in cash, cash equivalents and short-term interest-bearing investments. We believe that our current cash balances, cash generated from operations and our current lines of credit will provide sufficient resources to meet our liquidity needs for at least the next fiscal year.</w:t>
      </w:r>
    </w:p>
    <w:p>
      <w:pPr>
        <w:spacing w:after="0" w:line="75" w:lineRule="exact"/>
        <w:rPr>
          <w:sz w:val="20"/>
          <w:szCs w:val="20"/>
          <w:color w:val="auto"/>
        </w:rPr>
      </w:pPr>
    </w:p>
    <w:p>
      <w:pPr>
        <w:ind w:right="1779" w:firstLine="527"/>
        <w:spacing w:after="0" w:line="281" w:lineRule="auto"/>
        <w:rPr>
          <w:sz w:val="20"/>
          <w:szCs w:val="20"/>
          <w:color w:val="auto"/>
        </w:rPr>
      </w:pPr>
      <w:r>
        <w:rPr>
          <w:rFonts w:ascii="Courier New" w:cs="Courier New" w:eastAsia="Courier New" w:hAnsi="Courier New"/>
          <w:sz w:val="16"/>
          <w:szCs w:val="16"/>
          <w:color w:val="auto"/>
        </w:rPr>
        <w:t>As of September 30, 2003, $400.5 million aggregate principal amount of the Notes was outstanding. In July 2002, our Board of Directors authorized us to repurchase outstanding Notes, in such amounts, at such prices and at such times considered appropriate by us. During the fourth quarter of fiscal 2002 and the fourth quarter of fiscal 2003 we repurchased $54.9 million and $44.6 million aggregate principal amount of the Notes, respectively. We funded these repurchases, and intend to fund any future repurchases, with available funds. On June 1, 2004, the holders of our Notes may require us to redeem their Notes at 100% of their principal amount plus accrued interest to the redemption date. Due to the high conversion price for the Notes, it is likely that the holders of the Notes will require us to redeem their Notes. We may choose to redeem the Notes in cash, in ordinary shares, or in a combination of cash and ordinary shares. See the discussion above under the caption "Convertible Notes".</w:t>
      </w:r>
    </w:p>
    <w:p>
      <w:pPr>
        <w:spacing w:after="0" w:line="290" w:lineRule="exact"/>
        <w:rPr>
          <w:sz w:val="20"/>
          <w:szCs w:val="20"/>
          <w:color w:val="auto"/>
        </w:rPr>
      </w:pPr>
    </w:p>
    <w:p>
      <w:pPr>
        <w:ind w:right="1779" w:firstLine="527"/>
        <w:spacing w:after="0" w:line="253" w:lineRule="auto"/>
        <w:rPr>
          <w:sz w:val="20"/>
          <w:szCs w:val="20"/>
          <w:color w:val="auto"/>
        </w:rPr>
      </w:pPr>
      <w:r>
        <w:rPr>
          <w:rFonts w:ascii="Courier New" w:cs="Courier New" w:eastAsia="Courier New" w:hAnsi="Courier New"/>
          <w:sz w:val="18"/>
          <w:szCs w:val="18"/>
          <w:color w:val="auto"/>
        </w:rPr>
        <w:t>As of September 30, 2003, we had available short-term general revolving lines of credit totaling $30.0 million, none of which were outstanding. In addition, as of September 30, 2003 we had credit facilities totaling $40.3 million, limited for the use of letters of credit and bank guarantees from various banks. Outstanding letters of credit and bank guarantees as of September 30, 2003 totaled $22.6 million. These were mostly supported by a combination of the credit facilities described above and compensating cash balances that we maintain with the issuing banks.</w:t>
      </w:r>
    </w:p>
    <w:p>
      <w:pPr>
        <w:spacing w:after="0" w:line="104" w:lineRule="exact"/>
        <w:rPr>
          <w:sz w:val="20"/>
          <w:szCs w:val="20"/>
          <w:color w:val="auto"/>
        </w:rPr>
      </w:pPr>
    </w:p>
    <w:p>
      <w:pPr>
        <w:ind w:right="1779" w:firstLine="527"/>
        <w:spacing w:after="0" w:line="347" w:lineRule="auto"/>
        <w:rPr>
          <w:sz w:val="20"/>
          <w:szCs w:val="20"/>
          <w:color w:val="auto"/>
        </w:rPr>
      </w:pPr>
      <w:r>
        <w:rPr>
          <w:rFonts w:ascii="Courier New" w:cs="Courier New" w:eastAsia="Courier New" w:hAnsi="Courier New"/>
          <w:sz w:val="18"/>
          <w:szCs w:val="18"/>
          <w:color w:val="auto"/>
        </w:rPr>
        <w:t>As of September 30, 2003, we had outstanding long-term obligations of $48.2 million in connection with leasing arrangements.</w:t>
      </w:r>
    </w:p>
    <w:p>
      <w:pPr>
        <w:spacing w:after="0" w:line="18" w:lineRule="exact"/>
        <w:rPr>
          <w:sz w:val="20"/>
          <w:szCs w:val="20"/>
          <w:color w:val="auto"/>
        </w:rPr>
      </w:pPr>
    </w:p>
    <w:p>
      <w:pPr>
        <w:ind w:right="1879" w:firstLine="527"/>
        <w:spacing w:after="0" w:line="292" w:lineRule="auto"/>
        <w:rPr>
          <w:sz w:val="20"/>
          <w:szCs w:val="20"/>
          <w:color w:val="auto"/>
        </w:rPr>
      </w:pPr>
      <w:r>
        <w:rPr>
          <w:rFonts w:ascii="Courier New" w:cs="Courier New" w:eastAsia="Courier New" w:hAnsi="Courier New"/>
          <w:sz w:val="18"/>
          <w:szCs w:val="18"/>
          <w:color w:val="auto"/>
        </w:rPr>
        <w:t>The following table summarizes our contractual obligations as of September 30, 2003 and the effect such obligations are expected to have on our liquidity and cash flows in future periods (in millions):</w:t>
      </w:r>
    </w:p>
    <w:p>
      <w:pPr>
        <w:spacing w:after="0" w:line="66"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CASH PAYMENTS DUE BY PERIOD ------</w:t>
      </w:r>
    </w:p>
    <w:p>
      <w:pPr>
        <w:spacing w:after="0" w:line="29"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 LESS THAN</w:t>
      </w:r>
    </w:p>
    <w:p>
      <w:pPr>
        <w:jc w:val="center"/>
        <w:ind w:right="6519"/>
        <w:spacing w:after="0"/>
        <w:rPr>
          <w:sz w:val="20"/>
          <w:szCs w:val="20"/>
          <w:color w:val="auto"/>
        </w:rPr>
      </w:pPr>
      <w:r>
        <w:rPr>
          <w:rFonts w:ascii="Courier New" w:cs="Courier New" w:eastAsia="Courier New" w:hAnsi="Courier New"/>
          <w:sz w:val="18"/>
          <w:szCs w:val="18"/>
          <w:color w:val="auto"/>
        </w:rPr>
        <w:t>CONTRACTUAL OBLIGATIONS TOTAL 1</w:t>
      </w:r>
    </w:p>
    <w:p>
      <w:pPr>
        <w:jc w:val="center"/>
        <w:ind w:right="6519"/>
        <w:spacing w:after="0" w:line="238" w:lineRule="auto"/>
        <w:rPr>
          <w:sz w:val="20"/>
          <w:szCs w:val="20"/>
          <w:color w:val="auto"/>
        </w:rPr>
      </w:pPr>
      <w:r>
        <w:rPr>
          <w:rFonts w:ascii="Courier New" w:cs="Courier New" w:eastAsia="Courier New" w:hAnsi="Courier New"/>
          <w:sz w:val="18"/>
          <w:szCs w:val="18"/>
          <w:color w:val="auto"/>
        </w:rPr>
        <w:t>YEAR 1-3 YEARS 4-5 YEARS OVER 5</w:t>
      </w:r>
    </w:p>
    <w:p>
      <w:pPr>
        <w:jc w:val="center"/>
        <w:ind w:right="6519"/>
        <w:spacing w:after="0"/>
        <w:rPr>
          <w:sz w:val="20"/>
          <w:szCs w:val="20"/>
          <w:color w:val="auto"/>
        </w:rPr>
      </w:pPr>
      <w:r>
        <w:rPr>
          <w:rFonts w:ascii="Courier New" w:cs="Courier New" w:eastAsia="Courier New" w:hAnsi="Courier New"/>
          <w:sz w:val="18"/>
          <w:szCs w:val="18"/>
          <w:color w:val="auto"/>
        </w:rPr>
        <w:t>YEARS - ----------------------- --</w:t>
      </w:r>
    </w:p>
    <w:p>
      <w:pPr>
        <w:ind w:left="60"/>
        <w:spacing w:after="0" w:line="238" w:lineRule="auto"/>
        <w:rPr>
          <w:sz w:val="20"/>
          <w:szCs w:val="20"/>
          <w:color w:val="auto"/>
        </w:rPr>
      </w:pPr>
      <w:r>
        <w:rPr>
          <w:rFonts w:ascii="Courier New" w:cs="Courier New" w:eastAsia="Courier New" w:hAnsi="Courier New"/>
          <w:sz w:val="18"/>
          <w:szCs w:val="18"/>
          <w:color w:val="auto"/>
        </w:rPr>
        <w:t>---- --------- --------- ---------</w:t>
      </w:r>
    </w:p>
    <w:tbl>
      <w:tblPr>
        <w:tblLayout w:type="fixed"/>
        <w:tblInd w:w="0" w:type="dxa"/>
        <w:tblCellMar>
          <w:top w:w="0" w:type="dxa"/>
          <w:left w:w="0" w:type="dxa"/>
          <w:bottom w:w="0" w:type="dxa"/>
          <w:right w:w="0" w:type="dxa"/>
        </w:tblCellMar>
      </w:tblPr>
      <w:tr>
        <w:trPr>
          <w:trHeight w:val="296"/>
        </w:trPr>
        <w:tc>
          <w:tcPr>
            <w:tcW w:w="1860" w:type="dxa"/>
            <w:vAlign w:val="bottom"/>
            <w:gridSpan w:val="2"/>
            <w:vMerge w:val="restart"/>
          </w:tcPr>
          <w:p>
            <w:pPr>
              <w:jc w:val="right"/>
              <w:spacing w:after="0"/>
              <w:rPr>
                <w:sz w:val="20"/>
                <w:szCs w:val="20"/>
                <w:color w:val="auto"/>
              </w:rPr>
            </w:pPr>
            <w:r>
              <w:rPr>
                <w:rFonts w:ascii="Courier New" w:cs="Courier New" w:eastAsia="Courier New" w:hAnsi="Courier New"/>
                <w:sz w:val="10"/>
                <w:szCs w:val="10"/>
                <w:color w:val="auto"/>
                <w:w w:val="70"/>
              </w:rPr>
              <w:t>notes(*)</w:t>
            </w:r>
            <w:r>
              <w:rPr>
                <w:rFonts w:ascii="Courier New" w:cs="Courier New" w:eastAsia="Courier New" w:hAnsi="Courier New"/>
                <w:sz w:val="13"/>
                <w:szCs w:val="13"/>
                <w:color w:val="auto"/>
                <w:w w:val="70"/>
                <w:vertAlign w:val="superscript"/>
              </w:rPr>
              <w:t>------------</w:t>
            </w:r>
            <w:r>
              <w:rPr>
                <w:rFonts w:ascii="Courier New" w:cs="Courier New" w:eastAsia="Courier New" w:hAnsi="Courier New"/>
                <w:sz w:val="10"/>
                <w:szCs w:val="10"/>
                <w:color w:val="auto"/>
                <w:w w:val="70"/>
              </w:rPr>
              <w:t>.........................</w:t>
            </w:r>
          </w:p>
        </w:tc>
        <w:tc>
          <w:tcPr>
            <w:tcW w:w="178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Convertible</w:t>
            </w:r>
          </w:p>
        </w:tc>
        <w:tc>
          <w:tcPr>
            <w:tcW w:w="0" w:type="dxa"/>
            <w:vAlign w:val="bottom"/>
          </w:tcPr>
          <w:p>
            <w:pPr>
              <w:spacing w:after="0"/>
              <w:rPr>
                <w:sz w:val="1"/>
                <w:szCs w:val="1"/>
                <w:color w:val="auto"/>
              </w:rPr>
            </w:pPr>
          </w:p>
        </w:tc>
      </w:tr>
      <w:tr>
        <w:trPr>
          <w:trHeight w:val="77"/>
        </w:trPr>
        <w:tc>
          <w:tcPr>
            <w:tcW w:w="1060" w:type="dxa"/>
            <w:vAlign w:val="bottom"/>
            <w:vMerge w:val="continue"/>
          </w:tcPr>
          <w:p>
            <w:pPr>
              <w:spacing w:after="0"/>
              <w:rPr>
                <w:sz w:val="6"/>
                <w:szCs w:val="6"/>
                <w:color w:val="auto"/>
              </w:rPr>
            </w:pPr>
          </w:p>
        </w:tc>
        <w:tc>
          <w:tcPr>
            <w:tcW w:w="80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$400.5</w:t>
            </w:r>
          </w:p>
        </w:tc>
        <w:tc>
          <w:tcPr>
            <w:tcW w:w="178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w w:val="95"/>
              </w:rPr>
              <w:t>$ -- $ -- $ --</w:t>
            </w:r>
          </w:p>
        </w:tc>
        <w:tc>
          <w:tcPr>
            <w:tcW w:w="0" w:type="dxa"/>
            <w:vAlign w:val="bottom"/>
          </w:tcPr>
          <w:p>
            <w:pPr>
              <w:spacing w:after="0"/>
              <w:rPr>
                <w:sz w:val="1"/>
                <w:szCs w:val="1"/>
                <w:color w:val="auto"/>
              </w:rPr>
            </w:pPr>
          </w:p>
        </w:tc>
      </w:tr>
      <w:tr>
        <w:trPr>
          <w:trHeight w:val="203"/>
        </w:trPr>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$400.5</w:t>
            </w:r>
          </w:p>
        </w:tc>
        <w:tc>
          <w:tcPr>
            <w:tcW w:w="800" w:type="dxa"/>
            <w:vAlign w:val="bottom"/>
            <w:vMerge w:val="continue"/>
          </w:tcPr>
          <w:p>
            <w:pPr>
              <w:spacing w:after="0"/>
              <w:rPr>
                <w:sz w:val="17"/>
                <w:szCs w:val="17"/>
                <w:color w:val="auto"/>
              </w:rPr>
            </w:pPr>
          </w:p>
        </w:tc>
        <w:tc>
          <w:tcPr>
            <w:tcW w:w="1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60" w:type="dxa"/>
            <w:vAlign w:val="bottom"/>
          </w:tcPr>
          <w:p>
            <w:pPr>
              <w:spacing w:after="0"/>
              <w:rPr>
                <w:sz w:val="17"/>
                <w:szCs w:val="17"/>
                <w:color w:val="auto"/>
              </w:rPr>
            </w:pPr>
          </w:p>
        </w:tc>
        <w:tc>
          <w:tcPr>
            <w:tcW w:w="2580" w:type="dxa"/>
            <w:vAlign w:val="bottom"/>
            <w:gridSpan w:val="2"/>
          </w:tcPr>
          <w:p>
            <w:pPr>
              <w:jc w:val="right"/>
              <w:ind w:right="1232"/>
              <w:spacing w:after="0" w:line="203" w:lineRule="exact"/>
              <w:rPr>
                <w:sz w:val="20"/>
                <w:szCs w:val="20"/>
                <w:color w:val="auto"/>
              </w:rPr>
            </w:pPr>
            <w:r>
              <w:rPr>
                <w:rFonts w:ascii="Courier New" w:cs="Courier New" w:eastAsia="Courier New" w:hAnsi="Courier New"/>
                <w:sz w:val="18"/>
                <w:szCs w:val="18"/>
                <w:color w:val="auto"/>
              </w:rPr>
              <w:t>Financing</w:t>
            </w:r>
          </w:p>
        </w:tc>
        <w:tc>
          <w:tcPr>
            <w:tcW w:w="0" w:type="dxa"/>
            <w:vAlign w:val="bottom"/>
          </w:tcPr>
          <w:p>
            <w:pPr>
              <w:spacing w:after="0"/>
              <w:rPr>
                <w:sz w:val="1"/>
                <w:szCs w:val="1"/>
                <w:color w:val="auto"/>
              </w:rPr>
            </w:pPr>
          </w:p>
        </w:tc>
      </w:tr>
      <w:tr>
        <w:trPr>
          <w:trHeight w:val="203"/>
        </w:trPr>
        <w:tc>
          <w:tcPr>
            <w:tcW w:w="3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5"/>
              </w:rPr>
              <w:t>arrangement........................</w:t>
            </w:r>
          </w:p>
        </w:tc>
        <w:tc>
          <w:tcPr>
            <w:tcW w:w="0" w:type="dxa"/>
            <w:vAlign w:val="bottom"/>
          </w:tcPr>
          <w:p>
            <w:pPr>
              <w:spacing w:after="0"/>
              <w:rPr>
                <w:sz w:val="1"/>
                <w:szCs w:val="1"/>
                <w:color w:val="auto"/>
              </w:rPr>
            </w:pPr>
          </w:p>
        </w:tc>
      </w:tr>
      <w:tr>
        <w:trPr>
          <w:trHeight w:val="203"/>
        </w:trPr>
        <w:tc>
          <w:tcPr>
            <w:tcW w:w="1060" w:type="dxa"/>
            <w:vAlign w:val="bottom"/>
          </w:tcPr>
          <w:p>
            <w:pPr>
              <w:jc w:val="right"/>
              <w:ind w:right="17"/>
              <w:spacing w:after="0" w:line="203" w:lineRule="exact"/>
              <w:rPr>
                <w:sz w:val="20"/>
                <w:szCs w:val="20"/>
                <w:color w:val="auto"/>
              </w:rPr>
            </w:pPr>
            <w:r>
              <w:rPr>
                <w:rFonts w:ascii="Courier New" w:cs="Courier New" w:eastAsia="Courier New" w:hAnsi="Courier New"/>
                <w:sz w:val="18"/>
                <w:szCs w:val="18"/>
                <w:color w:val="auto"/>
              </w:rPr>
              <w:t>2.8 2.2</w:t>
            </w:r>
          </w:p>
        </w:tc>
        <w:tc>
          <w:tcPr>
            <w:tcW w:w="25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0.6 -- -- Capital lease</w:t>
            </w:r>
          </w:p>
        </w:tc>
        <w:tc>
          <w:tcPr>
            <w:tcW w:w="0" w:type="dxa"/>
            <w:vAlign w:val="bottom"/>
          </w:tcPr>
          <w:p>
            <w:pPr>
              <w:spacing w:after="0"/>
              <w:rPr>
                <w:sz w:val="1"/>
                <w:szCs w:val="1"/>
                <w:color w:val="auto"/>
              </w:rPr>
            </w:pPr>
          </w:p>
        </w:tc>
      </w:tr>
      <w:tr>
        <w:trPr>
          <w:trHeight w:val="203"/>
        </w:trPr>
        <w:tc>
          <w:tcPr>
            <w:tcW w:w="3640" w:type="dxa"/>
            <w:vAlign w:val="bottom"/>
            <w:gridSpan w:val="3"/>
          </w:tcPr>
          <w:p>
            <w:pPr>
              <w:jc w:val="right"/>
              <w:ind w:right="72"/>
              <w:spacing w:after="0" w:line="203" w:lineRule="exact"/>
              <w:rPr>
                <w:sz w:val="20"/>
                <w:szCs w:val="20"/>
                <w:color w:val="auto"/>
              </w:rPr>
            </w:pPr>
            <w:r>
              <w:rPr>
                <w:rFonts w:ascii="Courier New" w:cs="Courier New" w:eastAsia="Courier New" w:hAnsi="Courier New"/>
                <w:sz w:val="18"/>
                <w:szCs w:val="18"/>
                <w:color w:val="auto"/>
              </w:rPr>
              <w:t>obligations....................</w:t>
            </w:r>
          </w:p>
        </w:tc>
        <w:tc>
          <w:tcPr>
            <w:tcW w:w="0" w:type="dxa"/>
            <w:vAlign w:val="bottom"/>
          </w:tcPr>
          <w:p>
            <w:pPr>
              <w:spacing w:after="0"/>
              <w:rPr>
                <w:sz w:val="1"/>
                <w:szCs w:val="1"/>
                <w:color w:val="auto"/>
              </w:rPr>
            </w:pPr>
          </w:p>
        </w:tc>
      </w:tr>
      <w:tr>
        <w:trPr>
          <w:trHeight w:val="203"/>
        </w:trPr>
        <w:tc>
          <w:tcPr>
            <w:tcW w:w="1060" w:type="dxa"/>
            <w:vAlign w:val="bottom"/>
          </w:tcPr>
          <w:p>
            <w:pPr>
              <w:jc w:val="right"/>
              <w:ind w:right="17"/>
              <w:spacing w:after="0" w:line="203" w:lineRule="exact"/>
              <w:rPr>
                <w:sz w:val="20"/>
                <w:szCs w:val="20"/>
                <w:color w:val="auto"/>
              </w:rPr>
            </w:pPr>
            <w:r>
              <w:rPr>
                <w:rFonts w:ascii="Courier New" w:cs="Courier New" w:eastAsia="Courier New" w:hAnsi="Courier New"/>
                <w:sz w:val="18"/>
                <w:szCs w:val="18"/>
                <w:color w:val="auto"/>
              </w:rPr>
              <w:t>48.2</w:t>
            </w:r>
          </w:p>
        </w:tc>
        <w:tc>
          <w:tcPr>
            <w:tcW w:w="258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w w:val="96"/>
              </w:rPr>
              <w:t>25.5 22.7 -- -- Non-</w:t>
            </w:r>
          </w:p>
        </w:tc>
        <w:tc>
          <w:tcPr>
            <w:tcW w:w="0" w:type="dxa"/>
            <w:vAlign w:val="bottom"/>
          </w:tcPr>
          <w:p>
            <w:pPr>
              <w:spacing w:after="0"/>
              <w:rPr>
                <w:sz w:val="1"/>
                <w:szCs w:val="1"/>
                <w:color w:val="auto"/>
              </w:rPr>
            </w:pPr>
          </w:p>
        </w:tc>
      </w:tr>
      <w:tr>
        <w:trPr>
          <w:trHeight w:val="203"/>
        </w:trPr>
        <w:tc>
          <w:tcPr>
            <w:tcW w:w="3640" w:type="dxa"/>
            <w:vAlign w:val="bottom"/>
            <w:gridSpan w:val="3"/>
          </w:tcPr>
          <w:p>
            <w:pPr>
              <w:jc w:val="right"/>
              <w:ind w:right="652"/>
              <w:spacing w:after="0" w:line="203" w:lineRule="exact"/>
              <w:rPr>
                <w:sz w:val="20"/>
                <w:szCs w:val="20"/>
                <w:color w:val="auto"/>
              </w:rPr>
            </w:pPr>
            <w:r>
              <w:rPr>
                <w:rFonts w:ascii="Courier New" w:cs="Courier New" w:eastAsia="Courier New" w:hAnsi="Courier New"/>
                <w:sz w:val="18"/>
                <w:szCs w:val="18"/>
                <w:color w:val="auto"/>
              </w:rPr>
              <w:t>cancelable operating</w:t>
            </w:r>
          </w:p>
        </w:tc>
        <w:tc>
          <w:tcPr>
            <w:tcW w:w="0" w:type="dxa"/>
            <w:vAlign w:val="bottom"/>
          </w:tcPr>
          <w:p>
            <w:pPr>
              <w:spacing w:after="0"/>
              <w:rPr>
                <w:sz w:val="1"/>
                <w:szCs w:val="1"/>
                <w:color w:val="auto"/>
              </w:rPr>
            </w:pPr>
          </w:p>
        </w:tc>
      </w:tr>
      <w:tr>
        <w:trPr>
          <w:trHeight w:val="203"/>
        </w:trPr>
        <w:tc>
          <w:tcPr>
            <w:tcW w:w="18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5"/>
              </w:rPr>
              <w:t>leases..............</w:t>
            </w:r>
          </w:p>
        </w:tc>
        <w:tc>
          <w:tcPr>
            <w:tcW w:w="1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146.5 38.8</w:t>
            </w:r>
          </w:p>
        </w:tc>
        <w:tc>
          <w:tcPr>
            <w:tcW w:w="0" w:type="dxa"/>
            <w:vAlign w:val="bottom"/>
          </w:tcPr>
          <w:p>
            <w:pPr>
              <w:spacing w:after="0"/>
              <w:rPr>
                <w:sz w:val="1"/>
                <w:szCs w:val="1"/>
                <w:color w:val="auto"/>
              </w:rPr>
            </w:pPr>
          </w:p>
        </w:tc>
      </w:tr>
      <w:tr>
        <w:trPr>
          <w:trHeight w:val="235"/>
        </w:trPr>
        <w:tc>
          <w:tcPr>
            <w:tcW w:w="18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81"/>
              </w:rPr>
              <w:t>55.2 33.5 19.0 ------</w:t>
            </w:r>
          </w:p>
        </w:tc>
        <w:tc>
          <w:tcPr>
            <w:tcW w:w="1780" w:type="dxa"/>
            <w:vAlign w:val="bottom"/>
          </w:tcPr>
          <w:p>
            <w:pPr>
              <w:jc w:val="right"/>
              <w:spacing w:after="0"/>
              <w:rPr>
                <w:sz w:val="20"/>
                <w:szCs w:val="20"/>
                <w:color w:val="auto"/>
              </w:rPr>
            </w:pPr>
            <w:r>
              <w:rPr>
                <w:rFonts w:ascii="Courier New" w:cs="Courier New" w:eastAsia="Courier New" w:hAnsi="Courier New"/>
                <w:sz w:val="18"/>
                <w:szCs w:val="18"/>
                <w:color w:val="auto"/>
              </w:rPr>
              <w:t>------ -----</w:t>
            </w:r>
          </w:p>
        </w:tc>
        <w:tc>
          <w:tcPr>
            <w:tcW w:w="0" w:type="dxa"/>
            <w:vAlign w:val="bottom"/>
          </w:tcPr>
          <w:p>
            <w:pPr>
              <w:spacing w:after="0"/>
              <w:rPr>
                <w:sz w:val="1"/>
                <w:szCs w:val="1"/>
                <w:color w:val="auto"/>
              </w:rPr>
            </w:pPr>
          </w:p>
        </w:tc>
      </w:tr>
    </w:tbl>
    <w:p>
      <w:pPr>
        <w:jc w:val="both"/>
        <w:ind w:left="220" w:right="6739" w:hanging="1"/>
        <w:spacing w:after="0" w:line="268" w:lineRule="auto"/>
        <w:tabs>
          <w:tab w:leader="none" w:pos="852" w:val="left"/>
        </w:tabs>
        <w:numPr>
          <w:ilvl w:val="1"/>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$598.0 $467.0 $78.5 $33.5 $19.0 ====== ====== =====</w:t>
      </w:r>
    </w:p>
    <w:p>
      <w:pPr>
        <w:ind w:left="1900" w:hanging="628"/>
        <w:spacing w:after="0"/>
        <w:tabs>
          <w:tab w:leader="none" w:pos="1900" w:val="left"/>
        </w:tabs>
        <w:numPr>
          <w:ilvl w:val="2"/>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37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420" w:right="1879" w:hanging="412"/>
        <w:spacing w:after="0" w:line="292" w:lineRule="auto"/>
        <w:tabs>
          <w:tab w:leader="none" w:pos="42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June 1, 2004 is the earliest date that the holders of our Notes may require us to redeem their Notes. See the discussion above under the caption "Convertible Notes".</w:t>
      </w:r>
    </w:p>
    <w:p>
      <w:pPr>
        <w:spacing w:after="0" w:line="66" w:lineRule="exact"/>
        <w:rPr>
          <w:sz w:val="20"/>
          <w:szCs w:val="20"/>
          <w:color w:val="auto"/>
        </w:rPr>
      </w:pPr>
    </w:p>
    <w:p>
      <w:pPr>
        <w:ind w:right="1999" w:firstLine="527"/>
        <w:spacing w:after="0" w:line="265" w:lineRule="auto"/>
        <w:rPr>
          <w:sz w:val="20"/>
          <w:szCs w:val="20"/>
          <w:color w:val="auto"/>
        </w:rPr>
      </w:pPr>
      <w:r>
        <w:rPr>
          <w:rFonts w:ascii="Courier New" w:cs="Courier New" w:eastAsia="Courier New" w:hAnsi="Courier New"/>
          <w:sz w:val="18"/>
          <w:szCs w:val="18"/>
          <w:color w:val="auto"/>
        </w:rPr>
        <w:t>Our capital expenditures were approximately $63.0 million in fiscal 2003. These expenditures consisted primarily of purchases of computer equipment and, to a lesser degree, leasehold improvements and vehicles. We funded our capital expenditures principally from operating cash flows. We do not anticipate any changes to this policy in the foreseeable future.</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NET DEFERRED TAX ASSETS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 September 2003, we released $13.3 million of valuation allowances</w:t>
      </w:r>
    </w:p>
    <w:p>
      <w:pPr>
        <w:sectPr>
          <w:pgSz w:w="11900" w:h="16838" w:orient="portrait"/>
          <w:cols w:equalWidth="0" w:num="1">
            <w:col w:w="10219"/>
          </w:cols>
          <w:pgMar w:left="240" w:top="691" w:right="1440" w:bottom="0" w:gutter="0" w:footer="0" w:header="0"/>
        </w:sectPr>
      </w:pPr>
    </w:p>
    <w:bookmarkStart w:id="42" w:name="page43"/>
    <w:bookmarkEnd w:id="42"/>
    <w:p>
      <w:pPr>
        <w:ind w:right="1779"/>
        <w:spacing w:after="0" w:line="260" w:lineRule="auto"/>
        <w:rPr>
          <w:sz w:val="20"/>
          <w:szCs w:val="20"/>
          <w:color w:val="auto"/>
        </w:rPr>
      </w:pPr>
      <w:r>
        <w:rPr>
          <w:rFonts w:ascii="Courier New" w:cs="Courier New" w:eastAsia="Courier New" w:hAnsi="Courier New"/>
          <w:sz w:val="18"/>
          <w:szCs w:val="18"/>
          <w:color w:val="auto"/>
        </w:rPr>
        <w:t>related to deferred tax assets derived from carry-forward operating losses incurred by our Canadian subsidiary. In September 2002, we released valuation allowances related to deferred tax assets derived from carry-forward operating losses relating to losses incurred by the subsidiary prior to our acquisition of that company in April 2000, resulting in an offsetting reduction of the goodwill recorded in the acquisition of approximately</w:t>
      </w:r>
    </w:p>
    <w:p>
      <w:pPr>
        <w:spacing w:after="0" w:line="9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39</w:t>
      </w:r>
    </w:p>
    <w:p>
      <w:pPr>
        <w:sectPr>
          <w:pgSz w:w="11900" w:h="16838" w:orient="portrait"/>
          <w:cols w:equalWidth="0" w:num="1">
            <w:col w:w="10219"/>
          </w:cols>
          <w:pgMar w:left="240" w:top="110" w:right="1440" w:bottom="1440" w:gutter="0" w:footer="0" w:header="0"/>
        </w:sectPr>
      </w:pPr>
    </w:p>
    <w:bookmarkStart w:id="43" w:name="page44"/>
    <w:bookmarkEnd w:id="43"/>
    <w:p>
      <w:pPr>
        <w:ind w:right="2099"/>
        <w:spacing w:after="0" w:line="292" w:lineRule="auto"/>
        <w:rPr>
          <w:sz w:val="20"/>
          <w:szCs w:val="20"/>
          <w:color w:val="auto"/>
        </w:rPr>
      </w:pPr>
      <w:r>
        <w:rPr>
          <w:rFonts w:ascii="Courier New" w:cs="Courier New" w:eastAsia="Courier New" w:hAnsi="Courier New"/>
          <w:sz w:val="18"/>
          <w:szCs w:val="18"/>
          <w:color w:val="auto"/>
        </w:rPr>
        <w:t>$9.0 million. The release of these valuation allowances was made based on our estimation that we will be able to realize the tax benefits associated with those net operating losses.</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EFFECTIVE TAX RATE</w:t>
      </w:r>
    </w:p>
    <w:p>
      <w:pPr>
        <w:spacing w:after="0" w:line="201" w:lineRule="exact"/>
        <w:rPr>
          <w:sz w:val="20"/>
          <w:szCs w:val="20"/>
          <w:color w:val="auto"/>
        </w:rPr>
      </w:pPr>
    </w:p>
    <w:p>
      <w:pPr>
        <w:ind w:right="1999" w:firstLine="527"/>
        <w:spacing w:after="0" w:line="292" w:lineRule="auto"/>
        <w:rPr>
          <w:sz w:val="20"/>
          <w:szCs w:val="20"/>
          <w:color w:val="auto"/>
        </w:rPr>
      </w:pPr>
      <w:r>
        <w:rPr>
          <w:rFonts w:ascii="Courier New" w:cs="Courier New" w:eastAsia="Courier New" w:hAnsi="Courier New"/>
          <w:sz w:val="18"/>
          <w:szCs w:val="18"/>
          <w:color w:val="auto"/>
        </w:rPr>
        <w:t>Our effective tax rate for fiscal year 2003 was 25% due to the corporate income tax rates in the various countries in which we operate and the relative magnitude of our business in those countries.</w:t>
      </w:r>
    </w:p>
    <w:p>
      <w:pPr>
        <w:spacing w:after="0" w:line="66" w:lineRule="exact"/>
        <w:rPr>
          <w:sz w:val="20"/>
          <w:szCs w:val="20"/>
          <w:color w:val="auto"/>
        </w:rPr>
      </w:pPr>
    </w:p>
    <w:p>
      <w:pPr>
        <w:ind w:right="1879" w:firstLine="527"/>
        <w:spacing w:after="0" w:line="265" w:lineRule="auto"/>
        <w:rPr>
          <w:sz w:val="20"/>
          <w:szCs w:val="20"/>
          <w:color w:val="auto"/>
        </w:rPr>
      </w:pPr>
      <w:r>
        <w:rPr>
          <w:rFonts w:ascii="Courier New" w:cs="Courier New" w:eastAsia="Courier New" w:hAnsi="Courier New"/>
          <w:sz w:val="18"/>
          <w:szCs w:val="18"/>
          <w:color w:val="auto"/>
        </w:rPr>
        <w:t>Effective October 1, 2002, following the adoption of SFAS No. 142, we no longer amortize goodwill resulting from acquisitions. See the discussion below under the caption "Adoption of New Accounting Standards". As a result, goodwill amortization that is not tax-deductible no longer affects our effective tax rate.</w:t>
      </w:r>
    </w:p>
    <w:p>
      <w:pPr>
        <w:spacing w:after="0" w:line="90" w:lineRule="exact"/>
        <w:rPr>
          <w:sz w:val="20"/>
          <w:szCs w:val="20"/>
          <w:color w:val="auto"/>
        </w:rPr>
      </w:pPr>
    </w:p>
    <w:p>
      <w:pPr>
        <w:ind w:right="1779" w:firstLine="527"/>
        <w:spacing w:after="0" w:line="256" w:lineRule="auto"/>
        <w:rPr>
          <w:sz w:val="20"/>
          <w:szCs w:val="20"/>
          <w:color w:val="auto"/>
        </w:rPr>
      </w:pPr>
      <w:r>
        <w:rPr>
          <w:rFonts w:ascii="Courier New" w:cs="Courier New" w:eastAsia="Courier New" w:hAnsi="Courier New"/>
          <w:sz w:val="18"/>
          <w:szCs w:val="18"/>
          <w:color w:val="auto"/>
        </w:rPr>
        <w:t>In fiscal 2002, our effective tax rate was 107%. This high effective tax rate was primarily attributable to amortization of goodwill related to our acquisitions, much of which was not tax deductible. In fiscal 2002 our effective tax rate was also adversely affected by the revision we made in our third quarter of fiscal 2002 to our annual estimated pretax income levels. Excluding the amortization related to our acquisitions, our overall effective tax rate would have been 28% for fiscal 2002.</w:t>
      </w:r>
    </w:p>
    <w:p>
      <w:pPr>
        <w:spacing w:after="0" w:line="98" w:lineRule="exact"/>
        <w:rPr>
          <w:sz w:val="20"/>
          <w:szCs w:val="20"/>
          <w:color w:val="auto"/>
        </w:rPr>
      </w:pPr>
    </w:p>
    <w:p>
      <w:pPr>
        <w:ind w:right="1879" w:firstLine="527"/>
        <w:spacing w:after="0" w:line="292" w:lineRule="auto"/>
        <w:rPr>
          <w:sz w:val="20"/>
          <w:szCs w:val="20"/>
          <w:color w:val="auto"/>
        </w:rPr>
      </w:pPr>
      <w:r>
        <w:rPr>
          <w:rFonts w:ascii="Courier New" w:cs="Courier New" w:eastAsia="Courier New" w:hAnsi="Courier New"/>
          <w:sz w:val="18"/>
          <w:szCs w:val="18"/>
          <w:color w:val="auto"/>
        </w:rPr>
        <w:t>We expect a reduction in our effective tax rate in fiscal 2004 from 25% to 23%. The reduction is due to our continued expansion into countries with lower effective tax rates.</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ADOPTION OF NEW ACCOUNTING STANDARDS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ACCOUNTING FOR REVENUE ARRANGEMENTS WITH MULTIPLE DELIVERABLES</w:t>
      </w:r>
    </w:p>
    <w:p>
      <w:pPr>
        <w:spacing w:after="0" w:line="201" w:lineRule="exact"/>
        <w:rPr>
          <w:sz w:val="20"/>
          <w:szCs w:val="20"/>
          <w:color w:val="auto"/>
        </w:rPr>
      </w:pPr>
    </w:p>
    <w:p>
      <w:pPr>
        <w:ind w:right="1779" w:firstLine="527"/>
        <w:spacing w:after="0" w:line="289" w:lineRule="auto"/>
        <w:rPr>
          <w:sz w:val="20"/>
          <w:szCs w:val="20"/>
          <w:color w:val="auto"/>
        </w:rPr>
      </w:pPr>
      <w:r>
        <w:rPr>
          <w:rFonts w:ascii="Courier New" w:cs="Courier New" w:eastAsia="Courier New" w:hAnsi="Courier New"/>
          <w:sz w:val="16"/>
          <w:szCs w:val="16"/>
          <w:color w:val="auto"/>
        </w:rPr>
        <w:t>In November 2002, the Emerging Issues Task Force ("EITF") reached a consensus on EITF Issue No. 00-21, "Revenue Arrangements With Multiple Deliverables" ("Issue 00-21"). Issue 00-21 provides guidance for determining the unit(s) of accounting in arrangements that include multiple products, services, and/or rights to use assets. Issue 00-21 is effective for revenue arrangements entered into in fiscal periods beginning after June 15, 2003. We have adopted Issue 00-21 effective July 1, 2003. The guidance in EITF 00-21 did not modify our previous accounting for transactions that includes multiple deliverables.</w:t>
      </w:r>
    </w:p>
    <w:p>
      <w:pPr>
        <w:spacing w:after="0" w:line="77"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ACCOUNTING FOR STOCK-BASED COMPENSATION</w:t>
      </w:r>
    </w:p>
    <w:p>
      <w:pPr>
        <w:spacing w:after="0" w:line="201" w:lineRule="exact"/>
        <w:rPr>
          <w:sz w:val="20"/>
          <w:szCs w:val="20"/>
          <w:color w:val="auto"/>
        </w:rPr>
      </w:pPr>
    </w:p>
    <w:p>
      <w:pPr>
        <w:ind w:right="1779" w:firstLine="527"/>
        <w:spacing w:after="0" w:line="245" w:lineRule="auto"/>
        <w:rPr>
          <w:sz w:val="20"/>
          <w:szCs w:val="20"/>
          <w:color w:val="auto"/>
        </w:rPr>
      </w:pPr>
      <w:r>
        <w:rPr>
          <w:rFonts w:ascii="Courier New" w:cs="Courier New" w:eastAsia="Courier New" w:hAnsi="Courier New"/>
          <w:sz w:val="18"/>
          <w:szCs w:val="18"/>
          <w:color w:val="auto"/>
        </w:rPr>
        <w:t>In June 2002 the FASB issued SFAS No. 148, "Accounting for Stock-Based Compensation -- Transition and Disclosure -- an Amendment of FASB Statement No. 123". SFAS No. 148 amends SFAS No. 123 to provide alternative methods of transition for a voluntary change to the fair value-based method of accounting for stock-based employee compensation. In addition, SFAS No. 148 amends the disclosure requirements of SFAS No. 123 to require more prominent disclosures in both annual and interim financial statements regarding the method of accounting for stock-based employee compensation and the effect of the method used on reported results. The alternative methods of transition of SFAS No. 148 were effective for fiscal years ending after December 15, 2002. The disclosure provision of SFAS No. 148 is effective for interim periods beginning after December 15, 2002. We follow Accounting Principles Board No. 25 in accounting for our employee stock options. The transition and annual disclosure requirements of SFAS No. 148 were effective for us commencing January 1, 2003. We adopted the interim disclosure provision in the quarter ended March 31, 2003, which is provided in Note 2 to the consolidated financial statements included in this Annual Report.</w:t>
      </w:r>
    </w:p>
    <w:p>
      <w:pPr>
        <w:spacing w:after="0" w:line="10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GOODWILL AND PURCHASED INTANGIBLE ASSETS</w:t>
      </w:r>
    </w:p>
    <w:p>
      <w:pPr>
        <w:spacing w:after="0" w:line="201" w:lineRule="exact"/>
        <w:rPr>
          <w:sz w:val="20"/>
          <w:szCs w:val="20"/>
          <w:color w:val="auto"/>
        </w:rPr>
      </w:pPr>
    </w:p>
    <w:p>
      <w:pPr>
        <w:ind w:right="1779" w:firstLine="527"/>
        <w:spacing w:after="0" w:line="242" w:lineRule="auto"/>
        <w:rPr>
          <w:sz w:val="20"/>
          <w:szCs w:val="20"/>
          <w:color w:val="auto"/>
        </w:rPr>
      </w:pPr>
      <w:r>
        <w:rPr>
          <w:rFonts w:ascii="Courier New" w:cs="Courier New" w:eastAsia="Courier New" w:hAnsi="Courier New"/>
          <w:sz w:val="18"/>
          <w:szCs w:val="18"/>
          <w:color w:val="auto"/>
        </w:rPr>
        <w:t>In June 2001, the FASB issued SFAS No. 141, "Business Combinations" ("SFAS No. 141"), and No. 142, "Goodwill and Other Intangible Assets" ("SFAS No. 142"). SFAS No. 141 requires that the purchase method of accounting be used for all business combinations initiated after June 30, 2001. SFAS No. 142 is effective for fiscal years beginning after December 15, 2001. Under SFAS No. 142, goodwill and intangible assets deemed to have indefinite lives will no longer be amortized but will be subject to periodic impairment tests in accordance with the Statement. Goodwill impairment is deemed to exist if the net book value of a reporting unit exceeds its estimated fair value. Certain intangible assets will continue</w:t>
      </w:r>
    </w:p>
    <w:p>
      <w:pPr>
        <w:spacing w:after="0" w:line="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40</w:t>
      </w:r>
    </w:p>
    <w:p>
      <w:pPr>
        <w:sectPr>
          <w:pgSz w:w="11900" w:h="16838" w:orient="portrait"/>
          <w:cols w:equalWidth="0" w:num="1">
            <w:col w:w="10219"/>
          </w:cols>
          <w:pgMar w:left="240" w:top="691" w:right="1440" w:bottom="559" w:gutter="0" w:footer="0" w:header="0"/>
        </w:sectPr>
      </w:pPr>
    </w:p>
    <w:bookmarkStart w:id="44" w:name="page45"/>
    <w:bookmarkEnd w:id="44"/>
    <w:p>
      <w:pPr>
        <w:ind w:right="2619"/>
        <w:spacing w:after="0" w:line="292" w:lineRule="auto"/>
        <w:rPr>
          <w:sz w:val="20"/>
          <w:szCs w:val="20"/>
          <w:color w:val="auto"/>
        </w:rPr>
      </w:pPr>
      <w:r>
        <w:rPr>
          <w:rFonts w:ascii="Courier New" w:cs="Courier New" w:eastAsia="Courier New" w:hAnsi="Courier New"/>
          <w:sz w:val="18"/>
          <w:szCs w:val="18"/>
          <w:color w:val="auto"/>
        </w:rPr>
        <w:t>to be amortized over their useful lives. According to SFAS No. 141's new definition of intangible assets, workforce-in-place was reclassified to goodwill.</w:t>
      </w:r>
    </w:p>
    <w:p>
      <w:pPr>
        <w:spacing w:after="0" w:line="66" w:lineRule="exact"/>
        <w:rPr>
          <w:sz w:val="20"/>
          <w:szCs w:val="20"/>
          <w:color w:val="auto"/>
        </w:rPr>
      </w:pPr>
    </w:p>
    <w:p>
      <w:pPr>
        <w:ind w:right="1779" w:firstLine="527"/>
        <w:spacing w:after="0" w:line="274" w:lineRule="auto"/>
        <w:rPr>
          <w:sz w:val="20"/>
          <w:szCs w:val="20"/>
          <w:color w:val="auto"/>
        </w:rPr>
      </w:pPr>
      <w:r>
        <w:rPr>
          <w:rFonts w:ascii="Courier New" w:cs="Courier New" w:eastAsia="Courier New" w:hAnsi="Courier New"/>
          <w:sz w:val="16"/>
          <w:szCs w:val="16"/>
          <w:color w:val="auto"/>
        </w:rPr>
        <w:t>Effective October 1, 2002 we adopted SFAS No. 142. Subsequent to the adoption of the new rules, we performed the transitional impairment tests of goodwill recorded as of October 1, 2002. Thereafter, an annual impairment test will be performed in the fourth quarter of each fiscal year, or more frequently if impairment indicators are present. As discussed in Note 1 to the consolidated financial statements included in this document, Amdocs and its subsidiaries operate in one operating segment, which is the reporting unit under SFAS No.</w:t>
      </w:r>
    </w:p>
    <w:p>
      <w:pPr>
        <w:spacing w:after="0" w:line="2" w:lineRule="exact"/>
        <w:rPr>
          <w:sz w:val="20"/>
          <w:szCs w:val="20"/>
          <w:color w:val="auto"/>
        </w:rPr>
      </w:pPr>
    </w:p>
    <w:p>
      <w:pPr>
        <w:ind w:right="1779" w:firstLine="8"/>
        <w:spacing w:after="0" w:line="273" w:lineRule="auto"/>
        <w:tabs>
          <w:tab w:leader="none" w:pos="527"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calculating the fair value of the reporting unit, we used a discounted cash flow methodology. There was no impairment of goodwill upon adoption of SFAS No. 142 and as a result of the annual impairment tests.</w:t>
      </w:r>
    </w:p>
    <w:p>
      <w:pPr>
        <w:spacing w:after="0" w:line="82" w:lineRule="exact"/>
        <w:rPr>
          <w:sz w:val="20"/>
          <w:szCs w:val="20"/>
          <w:color w:val="auto"/>
        </w:rPr>
      </w:pPr>
    </w:p>
    <w:p>
      <w:pPr>
        <w:ind w:right="1879" w:firstLine="527"/>
        <w:spacing w:after="0" w:line="274" w:lineRule="auto"/>
        <w:rPr>
          <w:sz w:val="20"/>
          <w:szCs w:val="20"/>
          <w:color w:val="auto"/>
        </w:rPr>
      </w:pPr>
      <w:r>
        <w:rPr>
          <w:rFonts w:ascii="Courier New" w:cs="Courier New" w:eastAsia="Courier New" w:hAnsi="Courier New"/>
          <w:sz w:val="18"/>
          <w:szCs w:val="18"/>
          <w:color w:val="auto"/>
        </w:rPr>
        <w:t>Prior to fiscal 2003, goodwill and workforce-in-place were amortized using the straight-line method over their estimated period of benefit. We recorded goodwill and workforce-in-place amortization of $204.6 million in fiscal 2002 and in fiscal 2001.</w:t>
      </w:r>
    </w:p>
    <w:p>
      <w:pPr>
        <w:spacing w:after="0" w:line="8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GAINS AND LOSSES FROM EXTINGUISHMENT OF DEBT</w:t>
      </w:r>
    </w:p>
    <w:p>
      <w:pPr>
        <w:spacing w:after="0" w:line="201" w:lineRule="exact"/>
        <w:rPr>
          <w:sz w:val="20"/>
          <w:szCs w:val="20"/>
          <w:color w:val="auto"/>
        </w:rPr>
      </w:pPr>
    </w:p>
    <w:p>
      <w:pPr>
        <w:ind w:right="1779" w:firstLine="527"/>
        <w:spacing w:after="0" w:line="250" w:lineRule="auto"/>
        <w:rPr>
          <w:sz w:val="20"/>
          <w:szCs w:val="20"/>
          <w:color w:val="auto"/>
        </w:rPr>
      </w:pPr>
      <w:r>
        <w:rPr>
          <w:rFonts w:ascii="Courier New" w:cs="Courier New" w:eastAsia="Courier New" w:hAnsi="Courier New"/>
          <w:sz w:val="18"/>
          <w:szCs w:val="18"/>
          <w:color w:val="auto"/>
        </w:rPr>
        <w:t>In April 2002, the FASB issued SFAS No. 145, "Rescission of FASB Statements No. 4, 44, and 64, Amendment of FASB Statement No. 13, and Technical Corrections" ("SFAS No. 145"). SFAS No. 145 eliminates previous requirements to classify gains and losses from extinguishment of debt as extraordinary items in earnings. Gains or losses from extinguishment of debt for fiscal years beginning after May 15, 2002 may not be classified as extraordinary items unless certain provisions are met. Early adoption was encouraged. We adopted SFAS No. 145 in the fourth quarter of fiscal 2002 in connection with the gains related to the repurchases of a portion of our Notes. See the discussion above under the caption "Convertible Notes".</w:t>
      </w:r>
    </w:p>
    <w:p>
      <w:pPr>
        <w:spacing w:after="0" w:line="1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GUARANTOR'S ACCOUNTING AND DISCLOSURE REQUIREMENTS FOR GUARANTEES</w:t>
      </w:r>
    </w:p>
    <w:p>
      <w:pPr>
        <w:spacing w:after="0" w:line="201" w:lineRule="exact"/>
        <w:rPr>
          <w:sz w:val="20"/>
          <w:szCs w:val="20"/>
          <w:color w:val="auto"/>
        </w:rPr>
      </w:pPr>
    </w:p>
    <w:p>
      <w:pPr>
        <w:ind w:right="1879" w:firstLine="527"/>
        <w:spacing w:after="0" w:line="250" w:lineRule="auto"/>
        <w:rPr>
          <w:sz w:val="20"/>
          <w:szCs w:val="20"/>
          <w:color w:val="auto"/>
        </w:rPr>
      </w:pPr>
      <w:r>
        <w:rPr>
          <w:rFonts w:ascii="Courier New" w:cs="Courier New" w:eastAsia="Courier New" w:hAnsi="Courier New"/>
          <w:sz w:val="18"/>
          <w:szCs w:val="18"/>
          <w:color w:val="auto"/>
        </w:rPr>
        <w:t>In November 2002 the FASB issued FASB Interpretation ("FIN") No. 45 "Guarantor's Accounting and Disclosure Requirements for Guarantees, Including Indirect Guarantees of Indebtedness of Others". FIN No. 45 requires that at the inception of certain types of guarantees, the guarantor must disclose and recognize a liability for the fair value of the obligation it assumes under the guarantee. The initial recognition and measurement requirements of FIN No. 45 are effective for guarantees issued or modified after December 31, 2002. The additional disclosure requirements of FIN No. 45 are effective for interim and annual periods ending after December 15, 2002, and are applicable to certain of our guarantees issued before December 31, 2002.</w:t>
      </w:r>
    </w:p>
    <w:p>
      <w:pPr>
        <w:spacing w:after="0" w:line="104" w:lineRule="exact"/>
        <w:rPr>
          <w:sz w:val="20"/>
          <w:szCs w:val="20"/>
          <w:color w:val="auto"/>
        </w:rPr>
      </w:pPr>
    </w:p>
    <w:p>
      <w:pPr>
        <w:ind w:right="1779" w:firstLine="527"/>
        <w:spacing w:after="0" w:line="256" w:lineRule="auto"/>
        <w:rPr>
          <w:sz w:val="20"/>
          <w:szCs w:val="20"/>
          <w:color w:val="auto"/>
        </w:rPr>
      </w:pPr>
      <w:r>
        <w:rPr>
          <w:rFonts w:ascii="Courier New" w:cs="Courier New" w:eastAsia="Courier New" w:hAnsi="Courier New"/>
          <w:sz w:val="18"/>
          <w:szCs w:val="18"/>
          <w:color w:val="auto"/>
        </w:rPr>
        <w:t>We are a party to an agreement entered into prior to December 31, 2002 that includes an indemnification of one of our customers for any withholding tax that might be required under the customer's local tax laws from certain payments made to us under this agreement. The indemnification under this agreement expires in December 2005. As of September 30, 2003 and September 30, 2002, the maximum potential amount of our future exposure under this guarantee pursuant to FIN No. 45 was $4.7 million.</w:t>
      </w:r>
    </w:p>
    <w:p>
      <w:pPr>
        <w:spacing w:after="0" w:line="98" w:lineRule="exact"/>
        <w:rPr>
          <w:sz w:val="20"/>
          <w:szCs w:val="20"/>
          <w:color w:val="auto"/>
        </w:rPr>
      </w:pPr>
    </w:p>
    <w:p>
      <w:pPr>
        <w:ind w:right="1879" w:firstLine="527"/>
        <w:spacing w:after="0" w:line="265" w:lineRule="auto"/>
        <w:rPr>
          <w:sz w:val="20"/>
          <w:szCs w:val="20"/>
          <w:color w:val="auto"/>
        </w:rPr>
      </w:pPr>
      <w:r>
        <w:rPr>
          <w:rFonts w:ascii="Courier New" w:cs="Courier New" w:eastAsia="Courier New" w:hAnsi="Courier New"/>
          <w:sz w:val="18"/>
          <w:szCs w:val="18"/>
          <w:color w:val="auto"/>
        </w:rPr>
        <w:t>We generally sell our ClarifyCRM products with a limited warranty for a period of 90 days. Our policy is to accrue for warranty costs, if needed, based on historical trends in product failure. Based on our experience, only minimal warranty services have been required and, as a result, we did not accrue any amounts for product warranty liability during fiscal 2003.</w:t>
      </w:r>
    </w:p>
    <w:p>
      <w:pPr>
        <w:spacing w:after="0" w:line="90" w:lineRule="exact"/>
        <w:rPr>
          <w:sz w:val="20"/>
          <w:szCs w:val="20"/>
          <w:color w:val="auto"/>
        </w:rPr>
      </w:pPr>
    </w:p>
    <w:p>
      <w:pPr>
        <w:ind w:right="1779" w:firstLine="527"/>
        <w:spacing w:after="0" w:line="265" w:lineRule="auto"/>
        <w:rPr>
          <w:sz w:val="20"/>
          <w:szCs w:val="20"/>
          <w:color w:val="auto"/>
        </w:rPr>
      </w:pPr>
      <w:r>
        <w:rPr>
          <w:rFonts w:ascii="Courier New" w:cs="Courier New" w:eastAsia="Courier New" w:hAnsi="Courier New"/>
          <w:sz w:val="18"/>
          <w:szCs w:val="18"/>
          <w:color w:val="auto"/>
        </w:rPr>
        <w:t>We generally indemnify our customers against claims of intellectual property infringement made by third parties arising from the use of our software. To date, we have incurred only minimal costs as a result of such obligations and have not accrued any liabilities related to such indemnification in our financial statements.</w:t>
      </w:r>
    </w:p>
    <w:p>
      <w:pPr>
        <w:spacing w:after="0" w:line="9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41</w:t>
      </w:r>
    </w:p>
    <w:p>
      <w:pPr>
        <w:sectPr>
          <w:pgSz w:w="11900" w:h="16838" w:orient="portrait"/>
          <w:cols w:equalWidth="0" w:num="1">
            <w:col w:w="10219"/>
          </w:cols>
          <w:pgMar w:left="240" w:top="691" w:right="1440" w:bottom="1440" w:gutter="0" w:footer="0" w:header="0"/>
        </w:sectPr>
      </w:pPr>
    </w:p>
    <w:bookmarkStart w:id="45" w:name="page46"/>
    <w:bookmarkEnd w:id="45"/>
    <w:p>
      <w:pPr>
        <w:spacing w:after="0"/>
        <w:rPr>
          <w:sz w:val="20"/>
          <w:szCs w:val="20"/>
          <w:color w:val="auto"/>
        </w:rPr>
      </w:pPr>
      <w:r>
        <w:rPr>
          <w:rFonts w:ascii="Courier New" w:cs="Courier New" w:eastAsia="Courier New" w:hAnsi="Courier New"/>
          <w:sz w:val="18"/>
          <w:szCs w:val="18"/>
          <w:color w:val="auto"/>
        </w:rPr>
        <w:t>RECENT ACCOUNTING PRONOUNCEMENTS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COSTS ASSOCIATED WITH EXIT OR DISPOSAL ACTIVITIES</w:t>
      </w:r>
    </w:p>
    <w:p>
      <w:pPr>
        <w:spacing w:after="0" w:line="201" w:lineRule="exact"/>
        <w:rPr>
          <w:sz w:val="20"/>
          <w:szCs w:val="20"/>
          <w:color w:val="auto"/>
        </w:rPr>
      </w:pPr>
    </w:p>
    <w:p>
      <w:pPr>
        <w:ind w:right="1779" w:firstLine="527"/>
        <w:spacing w:after="0" w:line="250" w:lineRule="auto"/>
        <w:rPr>
          <w:sz w:val="20"/>
          <w:szCs w:val="20"/>
          <w:color w:val="auto"/>
        </w:rPr>
      </w:pPr>
      <w:r>
        <w:rPr>
          <w:rFonts w:ascii="Courier New" w:cs="Courier New" w:eastAsia="Courier New" w:hAnsi="Courier New"/>
          <w:sz w:val="18"/>
          <w:szCs w:val="18"/>
          <w:color w:val="auto"/>
        </w:rPr>
        <w:t>In June 2002 the FASB issued SFAS No. 146, "Accounting for Costs Associated with Exit or Disposal Activities". SFAS No. 146 requires that a liability for costs associated with an exit or disposal activity, including restructuring activities, be recognized and measured initially at fair value only when the liability is incurred, or for certain one-time employee termination costs over a future service period. Previously, a liability for an exit cost was recognized when a company committed to an exit plan. As a result, SFAS No. 146 may affect both the timing and amounts of the recognition of future restructuring costs. SFAS No. 146 was effective for exit or disposal activities that were initiated after December 31, 2002.</w:t>
      </w:r>
    </w:p>
    <w:p>
      <w:pPr>
        <w:spacing w:after="0" w:line="1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NON-SOFTWARE ELEMENTS IN AN ARRANGEMENT CONTAINING SOFTWARE</w:t>
      </w:r>
    </w:p>
    <w:p>
      <w:pPr>
        <w:spacing w:after="0" w:line="201" w:lineRule="exact"/>
        <w:rPr>
          <w:sz w:val="20"/>
          <w:szCs w:val="20"/>
          <w:color w:val="auto"/>
        </w:rPr>
      </w:pPr>
    </w:p>
    <w:p>
      <w:pPr>
        <w:ind w:right="1779" w:firstLine="527"/>
        <w:spacing w:after="0" w:line="241" w:lineRule="auto"/>
        <w:rPr>
          <w:sz w:val="20"/>
          <w:szCs w:val="20"/>
          <w:color w:val="auto"/>
        </w:rPr>
      </w:pPr>
      <w:r>
        <w:rPr>
          <w:rFonts w:ascii="Courier New" w:cs="Courier New" w:eastAsia="Courier New" w:hAnsi="Courier New"/>
          <w:sz w:val="18"/>
          <w:szCs w:val="18"/>
          <w:color w:val="auto"/>
        </w:rPr>
        <w:t>In July 2003, the EITF reached a consensus on EITF Issue No. 03-05, "Applicability of AICPA Statement of Position ("SOP") 97-2, Software Revenue Recognition, to Non-Software Deliverables in an Arrangement Containing More-Than Incidental Software" ("Issue 03-05"). Issue 03-05 is regarding whether non-software deliverables (e.g., non-software related equipment or services) included in an arrangement that contains software that is more than incidental to the products or services as a whole are included within the scope of Statement of Position 97-2, "Software Revenue Recognition". Software-related elements include software products, upgrades/enhancements, post-contract customer support, and services as well as any non-software deliverables for which a software deliverable is essential to its functionality. Under Issue</w:t>
      </w:r>
    </w:p>
    <w:p>
      <w:pPr>
        <w:spacing w:after="0" w:line="8"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03-05, in an arrangement that includes software, computer hardware that will contain the software, and additional unrelated equipment, if the software is essential to the functionality of the hardware, the hardware would be considered software-related and, therefore, included within the scope of SOP 97-2. Issue</w:t>
      </w:r>
    </w:p>
    <w:p>
      <w:pPr>
        <w:spacing w:after="0" w:line="1" w:lineRule="exact"/>
        <w:rPr>
          <w:sz w:val="20"/>
          <w:szCs w:val="20"/>
          <w:color w:val="auto"/>
        </w:rPr>
      </w:pPr>
    </w:p>
    <w:p>
      <w:pPr>
        <w:ind w:right="1999"/>
        <w:spacing w:after="0" w:line="262" w:lineRule="auto"/>
        <w:rPr>
          <w:sz w:val="20"/>
          <w:szCs w:val="20"/>
          <w:color w:val="auto"/>
        </w:rPr>
      </w:pPr>
      <w:r>
        <w:rPr>
          <w:rFonts w:ascii="Courier New" w:cs="Courier New" w:eastAsia="Courier New" w:hAnsi="Courier New"/>
          <w:sz w:val="18"/>
          <w:szCs w:val="18"/>
          <w:color w:val="auto"/>
        </w:rPr>
        <w:t>03-05 is effective for arrangements entered into in the first reporting period (annual or interim) beginning after August 13, 2003. We are in the process of analyzing the effect of Issue 03-05 on our consolidated financial position and results of operations and believe it will not be significant.</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CRITICAL ACCOUNTING POLICIES</w:t>
      </w:r>
    </w:p>
    <w:p>
      <w:pPr>
        <w:spacing w:after="0" w:line="201" w:lineRule="exact"/>
        <w:rPr>
          <w:sz w:val="20"/>
          <w:szCs w:val="20"/>
          <w:color w:val="auto"/>
        </w:rPr>
      </w:pPr>
    </w:p>
    <w:p>
      <w:pPr>
        <w:ind w:right="1779" w:firstLine="527"/>
        <w:spacing w:after="0" w:line="282" w:lineRule="auto"/>
        <w:rPr>
          <w:sz w:val="20"/>
          <w:szCs w:val="20"/>
          <w:color w:val="auto"/>
        </w:rPr>
      </w:pPr>
      <w:r>
        <w:rPr>
          <w:rFonts w:ascii="Courier New" w:cs="Courier New" w:eastAsia="Courier New" w:hAnsi="Courier New"/>
          <w:sz w:val="16"/>
          <w:szCs w:val="16"/>
          <w:color w:val="auto"/>
        </w:rPr>
        <w:t>Our discussion and analysis of our financial condition and results of operations are based upon our consolidated financial statements, which have been prepared in accordance with accounting principles generally accepted in the United States. The preparation of these financial statements requires us to make estimates, assumptions and judgments that affect the reported amounts of assets, liabilities, revenue and expenses, and related disclosure of contingent liabilities. On a regular basis, we evaluate and may revise our estimates. We base our estimates on historical experience and various other assumptions that we believe to be reasonable under the circumstances, the results of which form the basis for making judgments about the carrying values of assets and liabilities that are not readily apparent. Actual results could differ materially from the estimates under different assumptions or conditions.</w:t>
      </w:r>
    </w:p>
    <w:p>
      <w:pPr>
        <w:spacing w:after="0" w:line="291" w:lineRule="exact"/>
        <w:rPr>
          <w:sz w:val="20"/>
          <w:szCs w:val="20"/>
          <w:color w:val="auto"/>
        </w:rPr>
      </w:pPr>
    </w:p>
    <w:p>
      <w:pPr>
        <w:ind w:right="2099" w:firstLine="527"/>
        <w:spacing w:after="0" w:line="265" w:lineRule="auto"/>
        <w:rPr>
          <w:sz w:val="20"/>
          <w:szCs w:val="20"/>
          <w:color w:val="auto"/>
        </w:rPr>
      </w:pPr>
      <w:r>
        <w:rPr>
          <w:rFonts w:ascii="Courier New" w:cs="Courier New" w:eastAsia="Courier New" w:hAnsi="Courier New"/>
          <w:sz w:val="18"/>
          <w:szCs w:val="18"/>
          <w:color w:val="auto"/>
        </w:rPr>
        <w:t>We believe that the estimates, assumptions and judgments involved in the accounting policies described below have the greatest potential impact on our financial statements, so we consider these to be our critical accounting policies. These policies require that we make estimates in the preparation of our financial statements as of a given date.</w:t>
      </w:r>
    </w:p>
    <w:p>
      <w:pPr>
        <w:spacing w:after="0" w:line="9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Our critical accounting policies are as follows:</w:t>
      </w:r>
    </w:p>
    <w:p>
      <w:pPr>
        <w:spacing w:after="0" w:line="201" w:lineRule="exact"/>
        <w:rPr>
          <w:sz w:val="20"/>
          <w:szCs w:val="20"/>
          <w:color w:val="auto"/>
        </w:rPr>
      </w:pPr>
    </w:p>
    <w:p>
      <w:pPr>
        <w:ind w:left="740" w:hanging="205"/>
        <w:spacing w:after="0"/>
        <w:tabs>
          <w:tab w:leader="none" w:pos="7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Revenue recognition and contract accounting</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Doubtful accounts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Tax accounting</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Derivative and hedge accounting</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Realizability of long-lived assets</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42</w:t>
      </w:r>
    </w:p>
    <w:p>
      <w:pPr>
        <w:sectPr>
          <w:pgSz w:w="11900" w:h="16838" w:orient="portrait"/>
          <w:cols w:equalWidth="0" w:num="1">
            <w:col w:w="10219"/>
          </w:cols>
          <w:pgMar w:left="240" w:top="691" w:right="1440" w:bottom="1440" w:gutter="0" w:footer="0" w:header="0"/>
        </w:sectPr>
      </w:pPr>
    </w:p>
    <w:bookmarkStart w:id="46" w:name="page47"/>
    <w:bookmarkEnd w:id="46"/>
    <w:p>
      <w:pPr>
        <w:ind w:right="1779" w:firstLine="527"/>
        <w:spacing w:after="0" w:line="298" w:lineRule="auto"/>
        <w:rPr>
          <w:sz w:val="20"/>
          <w:szCs w:val="20"/>
          <w:color w:val="auto"/>
        </w:rPr>
      </w:pPr>
      <w:r>
        <w:rPr>
          <w:rFonts w:ascii="Courier New" w:cs="Courier New" w:eastAsia="Courier New" w:hAnsi="Courier New"/>
          <w:sz w:val="16"/>
          <w:szCs w:val="16"/>
          <w:color w:val="auto"/>
        </w:rPr>
        <w:t>Below, we discuss these policies further, as well as the estimates and judgments involved. We also have other key accounting policies. We believe that, compared to the critical accounting policies listed above, the other policies either do not generally require us to make estimates and judgments that are as difficult or as subjective, or it is less likely that they would have a material impact on our reported consolidated results of operations for a given period.</w:t>
      </w:r>
    </w:p>
    <w:p>
      <w:pPr>
        <w:spacing w:after="0" w:line="68"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REVENUE RECOGNITION AND CONTRACT ACCOUNTING</w:t>
      </w:r>
    </w:p>
    <w:p>
      <w:pPr>
        <w:spacing w:after="0" w:line="201" w:lineRule="exact"/>
        <w:rPr>
          <w:sz w:val="20"/>
          <w:szCs w:val="20"/>
          <w:color w:val="auto"/>
        </w:rPr>
      </w:pPr>
    </w:p>
    <w:p>
      <w:pPr>
        <w:ind w:right="1779" w:firstLine="527"/>
        <w:spacing w:after="0" w:line="318" w:lineRule="auto"/>
        <w:rPr>
          <w:sz w:val="20"/>
          <w:szCs w:val="20"/>
          <w:color w:val="auto"/>
        </w:rPr>
      </w:pPr>
      <w:r>
        <w:rPr>
          <w:rFonts w:ascii="Courier New" w:cs="Courier New" w:eastAsia="Courier New" w:hAnsi="Courier New"/>
          <w:sz w:val="16"/>
          <w:szCs w:val="16"/>
          <w:color w:val="auto"/>
        </w:rPr>
        <w:t>Our revenue recognition policy is significant because our revenue is a key component of our results of operations. We follow very specific and detailed guidelines, several of which are discussed above, in measuring revenue; however, certain judgments affect the application of our revenue recognition policy.</w:t>
      </w:r>
    </w:p>
    <w:p>
      <w:pPr>
        <w:spacing w:after="0" w:line="52" w:lineRule="exact"/>
        <w:rPr>
          <w:sz w:val="20"/>
          <w:szCs w:val="20"/>
          <w:color w:val="auto"/>
        </w:rPr>
      </w:pPr>
    </w:p>
    <w:p>
      <w:pPr>
        <w:ind w:right="1779" w:firstLine="527"/>
        <w:spacing w:after="0" w:line="265" w:lineRule="auto"/>
        <w:rPr>
          <w:sz w:val="20"/>
          <w:szCs w:val="20"/>
          <w:color w:val="auto"/>
        </w:rPr>
      </w:pPr>
      <w:r>
        <w:rPr>
          <w:rFonts w:ascii="Courier New" w:cs="Courier New" w:eastAsia="Courier New" w:hAnsi="Courier New"/>
          <w:sz w:val="18"/>
          <w:szCs w:val="18"/>
          <w:color w:val="auto"/>
        </w:rPr>
        <w:t>A significant portion of our revenue is recognized over the course of long-term projects, under the percentage of completion method of accounting. The percentage of completion method requires significant judgment, such as estimations of progress-to-completion, contract revenue, loss contracts and contract costs.</w:t>
      </w:r>
    </w:p>
    <w:p>
      <w:pPr>
        <w:spacing w:after="0" w:line="90" w:lineRule="exact"/>
        <w:rPr>
          <w:sz w:val="20"/>
          <w:szCs w:val="20"/>
          <w:color w:val="auto"/>
        </w:rPr>
      </w:pPr>
    </w:p>
    <w:p>
      <w:pPr>
        <w:ind w:right="1779" w:firstLine="527"/>
        <w:spacing w:after="0" w:line="256" w:lineRule="auto"/>
        <w:rPr>
          <w:sz w:val="20"/>
          <w:szCs w:val="20"/>
          <w:color w:val="auto"/>
        </w:rPr>
      </w:pPr>
      <w:r>
        <w:rPr>
          <w:rFonts w:ascii="Courier New" w:cs="Courier New" w:eastAsia="Courier New" w:hAnsi="Courier New"/>
          <w:sz w:val="18"/>
          <w:szCs w:val="18"/>
          <w:color w:val="auto"/>
        </w:rPr>
        <w:t>Our revenue recognition policy takes into consideration the creditworthiness and past transaction history of each customer in determining the probability of collection as a criterion of revenue recognition. This determination requires the exercise of judgment, which affects our revenue recognition. If we determine that collection of a fee is not reasonably assured, we defer the revenue recognition until the time collection becomes reasonably assured, which is generally upon receipt of cash.</w:t>
      </w:r>
    </w:p>
    <w:p>
      <w:pPr>
        <w:spacing w:after="0" w:line="98" w:lineRule="exact"/>
        <w:rPr>
          <w:sz w:val="20"/>
          <w:szCs w:val="20"/>
          <w:color w:val="auto"/>
        </w:rPr>
      </w:pPr>
    </w:p>
    <w:p>
      <w:pPr>
        <w:ind w:right="1879" w:firstLine="527"/>
        <w:spacing w:after="0" w:line="265" w:lineRule="auto"/>
        <w:rPr>
          <w:sz w:val="20"/>
          <w:szCs w:val="20"/>
          <w:color w:val="auto"/>
        </w:rPr>
      </w:pPr>
      <w:r>
        <w:rPr>
          <w:rFonts w:ascii="Courier New" w:cs="Courier New" w:eastAsia="Courier New" w:hAnsi="Courier New"/>
          <w:sz w:val="18"/>
          <w:szCs w:val="18"/>
          <w:color w:val="auto"/>
        </w:rPr>
        <w:t>For arrangements with multiple obligations, we allocate revenue to each component based upon its fair value, which is determined in reliance on the specific objective evidence for that element. Such determination is judgmental and for most contracts is based on normal pricing and discounting practices for those elements in similar arrangements.</w:t>
      </w:r>
    </w:p>
    <w:p>
      <w:pPr>
        <w:spacing w:after="0" w:line="90" w:lineRule="exact"/>
        <w:rPr>
          <w:sz w:val="20"/>
          <w:szCs w:val="20"/>
          <w:color w:val="auto"/>
        </w:rPr>
      </w:pPr>
    </w:p>
    <w:p>
      <w:pPr>
        <w:ind w:right="1779" w:firstLine="527"/>
        <w:spacing w:after="0" w:line="274" w:lineRule="auto"/>
        <w:rPr>
          <w:sz w:val="20"/>
          <w:szCs w:val="20"/>
          <w:color w:val="auto"/>
        </w:rPr>
      </w:pPr>
      <w:r>
        <w:rPr>
          <w:rFonts w:ascii="Courier New" w:cs="Courier New" w:eastAsia="Courier New" w:hAnsi="Courier New"/>
          <w:sz w:val="18"/>
          <w:szCs w:val="18"/>
          <w:color w:val="auto"/>
        </w:rPr>
        <w:t>Revenue from third-party hardware and software sales is recorded at a gross or net amount according to certain indicators. The application of these indicators for gross and net reporting of revenue depends on the relative facts and circumstances of each sale and requires significant judgment.</w:t>
      </w:r>
    </w:p>
    <w:p>
      <w:pPr>
        <w:spacing w:after="0" w:line="8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DOUBTFUL ACCOUNTS</w:t>
      </w:r>
    </w:p>
    <w:p>
      <w:pPr>
        <w:spacing w:after="0" w:line="201" w:lineRule="exact"/>
        <w:rPr>
          <w:sz w:val="20"/>
          <w:szCs w:val="20"/>
          <w:color w:val="auto"/>
        </w:rPr>
      </w:pPr>
    </w:p>
    <w:p>
      <w:pPr>
        <w:ind w:right="1779" w:firstLine="527"/>
        <w:spacing w:after="0" w:line="248" w:lineRule="auto"/>
        <w:rPr>
          <w:sz w:val="20"/>
          <w:szCs w:val="20"/>
          <w:color w:val="auto"/>
        </w:rPr>
      </w:pPr>
      <w:r>
        <w:rPr>
          <w:rFonts w:ascii="Courier New" w:cs="Courier New" w:eastAsia="Courier New" w:hAnsi="Courier New"/>
          <w:sz w:val="18"/>
          <w:szCs w:val="18"/>
          <w:color w:val="auto"/>
        </w:rPr>
        <w:t>The allowance for doubtful accounts is for estimated losses resulting from the inability of our customers to make required payments. We evaluate accounts receivable to determine if they will ultimately be collected. In performing this evaluation, significant judgments and estimates are involved, such as past experience, credit quality of the customer, age of the receivable balance and current economic conditions that may affect a customer's ability to pay. If collection is not reasonably assured at the time the transaction is consummated, we do not recognize revenue until collection becomes reasonably assured. If the financial condition of our customers were to deteriorate, resulting in an impairment of their ability to make payments, additional allowances may be required. The allowance for doubtful accounts is established through a charge to selling, general and administrative expenses.</w:t>
      </w:r>
    </w:p>
    <w:p>
      <w:pPr>
        <w:spacing w:after="0" w:line="105"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TAX ACCOUNTING</w:t>
      </w:r>
    </w:p>
    <w:p>
      <w:pPr>
        <w:spacing w:after="0" w:line="201" w:lineRule="exact"/>
        <w:rPr>
          <w:sz w:val="20"/>
          <w:szCs w:val="20"/>
          <w:color w:val="auto"/>
        </w:rPr>
      </w:pPr>
    </w:p>
    <w:p>
      <w:pPr>
        <w:ind w:right="1779" w:firstLine="527"/>
        <w:spacing w:after="0" w:line="247" w:lineRule="auto"/>
        <w:rPr>
          <w:sz w:val="20"/>
          <w:szCs w:val="20"/>
          <w:color w:val="auto"/>
        </w:rPr>
      </w:pPr>
      <w:r>
        <w:rPr>
          <w:rFonts w:ascii="Courier New" w:cs="Courier New" w:eastAsia="Courier New" w:hAnsi="Courier New"/>
          <w:sz w:val="18"/>
          <w:szCs w:val="18"/>
          <w:color w:val="auto"/>
        </w:rPr>
        <w:t>As part of the process of preparing our consolidated financial statements we are required to estimate our income tax expense in each of the jurisdictions in which we operate. In the ordinary course of a global business, there are many transactions and calculations where the ultimate tax outcome is uncertain. Some of these uncertainties arise as a consequence of revenue sharing and reimbursement arrangements among related entities, the process of identifying items of revenue and expenses that qualify for preferential tax treatment and segregation of foreign and domestic income and expense to avoid double taxation. This process involves us estimating our actual current tax exposure together with assessing temporary differences resulting from differing treatment of items, such as deferred revenue, for tax and accounting differences. These differences result in deferred tax assets and liabilities, which are included within our</w:t>
      </w:r>
    </w:p>
    <w:p>
      <w:pPr>
        <w:spacing w:after="0" w:line="10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43</w:t>
      </w:r>
    </w:p>
    <w:p>
      <w:pPr>
        <w:sectPr>
          <w:pgSz w:w="11900" w:h="16838" w:orient="portrait"/>
          <w:cols w:equalWidth="0" w:num="1">
            <w:col w:w="10219"/>
          </w:cols>
          <w:pgMar w:left="240" w:top="691" w:right="1440" w:bottom="1440" w:gutter="0" w:footer="0" w:header="0"/>
        </w:sectPr>
      </w:pPr>
    </w:p>
    <w:bookmarkStart w:id="47" w:name="page48"/>
    <w:bookmarkEnd w:id="47"/>
    <w:p>
      <w:pPr>
        <w:ind w:right="1779"/>
        <w:spacing w:after="0" w:line="292" w:lineRule="auto"/>
        <w:rPr>
          <w:sz w:val="20"/>
          <w:szCs w:val="20"/>
          <w:color w:val="auto"/>
        </w:rPr>
      </w:pPr>
      <w:r>
        <w:rPr>
          <w:rFonts w:ascii="Courier New" w:cs="Courier New" w:eastAsia="Courier New" w:hAnsi="Courier New"/>
          <w:sz w:val="18"/>
          <w:szCs w:val="18"/>
          <w:color w:val="auto"/>
        </w:rPr>
        <w:t>consolidated balance sheet. We may record a valuation allowance to reduce our deferred tax assets to the amount of future tax benefit that is more likely than not to be realized.</w:t>
      </w:r>
    </w:p>
    <w:p>
      <w:pPr>
        <w:spacing w:after="0" w:line="66" w:lineRule="exact"/>
        <w:rPr>
          <w:sz w:val="20"/>
          <w:szCs w:val="20"/>
          <w:color w:val="auto"/>
        </w:rPr>
      </w:pPr>
    </w:p>
    <w:p>
      <w:pPr>
        <w:ind w:right="1779" w:firstLine="527"/>
        <w:spacing w:after="0" w:line="253" w:lineRule="auto"/>
        <w:rPr>
          <w:sz w:val="20"/>
          <w:szCs w:val="20"/>
          <w:color w:val="auto"/>
        </w:rPr>
      </w:pPr>
      <w:r>
        <w:rPr>
          <w:rFonts w:ascii="Courier New" w:cs="Courier New" w:eastAsia="Courier New" w:hAnsi="Courier New"/>
          <w:sz w:val="18"/>
          <w:szCs w:val="18"/>
          <w:color w:val="auto"/>
        </w:rPr>
        <w:t>Although we believe that our estimates are reasonable and that we have considered future taxable income and ongoing prudent and feasible tax strategies in estimating our tax outcome and in assessing the need for the valuation allowance, there is no assurance that the final tax outcome and the valuation allowance will not be different than those which are reflected in our historical income tax provisions and accruals. Such differences could have a material effect on our income tax provision, net income and cash balances in the period in which such determination is made.</w:t>
      </w:r>
    </w:p>
    <w:p>
      <w:pPr>
        <w:spacing w:after="0" w:line="1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DERIVATIVE AND HEDGE ACCOUNTING</w:t>
      </w:r>
    </w:p>
    <w:p>
      <w:pPr>
        <w:spacing w:after="0" w:line="201" w:lineRule="exact"/>
        <w:rPr>
          <w:sz w:val="20"/>
          <w:szCs w:val="20"/>
          <w:color w:val="auto"/>
        </w:rPr>
      </w:pPr>
    </w:p>
    <w:p>
      <w:pPr>
        <w:ind w:right="1779" w:firstLine="527"/>
        <w:spacing w:after="0" w:line="287" w:lineRule="auto"/>
        <w:rPr>
          <w:sz w:val="20"/>
          <w:szCs w:val="20"/>
          <w:color w:val="auto"/>
        </w:rPr>
      </w:pPr>
      <w:r>
        <w:rPr>
          <w:rFonts w:ascii="Courier New" w:cs="Courier New" w:eastAsia="Courier New" w:hAnsi="Courier New"/>
          <w:sz w:val="16"/>
          <w:szCs w:val="16"/>
          <w:color w:val="auto"/>
        </w:rPr>
        <w:t>Approximately 20% of our revenue and 40% of our operating expenses (excluding acquisition-related charges and restructuring charges) are not denominated in U.S. dollar or linked to the U.S. dollar. We enter into foreign exchange forward contracts to hedge a significant portion of our foreign currency exposure to minimize fluctuations in revenue and expenses. The majority of our hedging arrangements are classified as cash flow hedges. Accordingly, changes in the fair value of these forward exchange contracts are recorded in other comprehensive income. We estimate the fair value of such derivative contracts by reference to forward and spot rates quoted in active markets.</w:t>
      </w:r>
    </w:p>
    <w:p>
      <w:pPr>
        <w:spacing w:after="0" w:line="75" w:lineRule="exact"/>
        <w:rPr>
          <w:sz w:val="20"/>
          <w:szCs w:val="20"/>
          <w:color w:val="auto"/>
        </w:rPr>
      </w:pPr>
    </w:p>
    <w:p>
      <w:pPr>
        <w:ind w:right="1879" w:firstLine="527"/>
        <w:spacing w:after="0" w:line="344" w:lineRule="auto"/>
        <w:rPr>
          <w:sz w:val="20"/>
          <w:szCs w:val="20"/>
          <w:color w:val="auto"/>
        </w:rPr>
      </w:pPr>
      <w:r>
        <w:rPr>
          <w:rFonts w:ascii="Courier New" w:cs="Courier New" w:eastAsia="Courier New" w:hAnsi="Courier New"/>
          <w:sz w:val="16"/>
          <w:szCs w:val="16"/>
          <w:color w:val="auto"/>
        </w:rPr>
        <w:t>Establishing and accounting for foreign exchange contracts involve judgments, such as determining the nature of the exposure, assessing its amount and timing, and evaluating the effectiveness of the hedging arrangement.</w:t>
      </w:r>
    </w:p>
    <w:p>
      <w:pPr>
        <w:spacing w:after="0" w:line="31" w:lineRule="exact"/>
        <w:rPr>
          <w:sz w:val="20"/>
          <w:szCs w:val="20"/>
          <w:color w:val="auto"/>
        </w:rPr>
      </w:pPr>
    </w:p>
    <w:p>
      <w:pPr>
        <w:ind w:right="1779" w:firstLine="527"/>
        <w:spacing w:after="0" w:line="344" w:lineRule="auto"/>
        <w:rPr>
          <w:sz w:val="20"/>
          <w:szCs w:val="20"/>
          <w:color w:val="auto"/>
        </w:rPr>
      </w:pPr>
      <w:r>
        <w:rPr>
          <w:rFonts w:ascii="Courier New" w:cs="Courier New" w:eastAsia="Courier New" w:hAnsi="Courier New"/>
          <w:sz w:val="16"/>
          <w:szCs w:val="16"/>
          <w:color w:val="auto"/>
        </w:rPr>
        <w:t>Although we believe that our estimates are accurate and meet the requirement of hedge accounting, actual results differ from these estimates, and such difference could cause fluctuation of our recorded revenue and expenses.</w:t>
      </w:r>
    </w:p>
    <w:p>
      <w:pPr>
        <w:spacing w:after="0" w:line="3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REALIZABILITY OF LONG-LIVED ASSETS</w:t>
      </w:r>
    </w:p>
    <w:p>
      <w:pPr>
        <w:spacing w:after="0" w:line="201" w:lineRule="exact"/>
        <w:rPr>
          <w:sz w:val="20"/>
          <w:szCs w:val="20"/>
          <w:color w:val="auto"/>
        </w:rPr>
      </w:pPr>
    </w:p>
    <w:p>
      <w:pPr>
        <w:ind w:right="1779" w:firstLine="527"/>
        <w:spacing w:after="0" w:line="256" w:lineRule="auto"/>
        <w:rPr>
          <w:sz w:val="20"/>
          <w:szCs w:val="20"/>
          <w:color w:val="auto"/>
        </w:rPr>
      </w:pPr>
      <w:r>
        <w:rPr>
          <w:rFonts w:ascii="Courier New" w:cs="Courier New" w:eastAsia="Courier New" w:hAnsi="Courier New"/>
          <w:sz w:val="18"/>
          <w:szCs w:val="18"/>
          <w:color w:val="auto"/>
        </w:rPr>
        <w:t>We are required to assess the impairment of long-lived assets, tangible and intangible, on an annual basis, and potentially more frequently if events or changes in circumstances indicate that the carrying value may not be recoverable. We assess the impairment based on a number of factors, including any significant changes in the manner of our use of the acquired assets or the strategy of our overall business, significant negative industry or economic trends and significant decline in our share price for a sustained period.</w:t>
      </w:r>
    </w:p>
    <w:p>
      <w:pPr>
        <w:spacing w:after="0" w:line="98" w:lineRule="exact"/>
        <w:rPr>
          <w:sz w:val="20"/>
          <w:szCs w:val="20"/>
          <w:color w:val="auto"/>
        </w:rPr>
      </w:pPr>
    </w:p>
    <w:p>
      <w:pPr>
        <w:ind w:right="1779" w:firstLine="527"/>
        <w:spacing w:after="0" w:line="265" w:lineRule="auto"/>
        <w:rPr>
          <w:sz w:val="20"/>
          <w:szCs w:val="20"/>
          <w:color w:val="auto"/>
        </w:rPr>
      </w:pPr>
      <w:r>
        <w:rPr>
          <w:rFonts w:ascii="Courier New" w:cs="Courier New" w:eastAsia="Courier New" w:hAnsi="Courier New"/>
          <w:sz w:val="18"/>
          <w:szCs w:val="18"/>
          <w:color w:val="auto"/>
        </w:rPr>
        <w:t>Upon determination that the carrying value of a long-lived asset may not be recoverable based upon a comparison of fair value to the carrying amount of the asset, an impairment charge is recorded. We measure fair value based on a projected future cash flow using a discount rate determined by our management to be commensurate with the risk inherent in our current business model.</w:t>
      </w:r>
    </w:p>
    <w:p>
      <w:pPr>
        <w:spacing w:after="0" w:line="90" w:lineRule="exact"/>
        <w:rPr>
          <w:sz w:val="20"/>
          <w:szCs w:val="20"/>
          <w:color w:val="auto"/>
        </w:rPr>
      </w:pPr>
    </w:p>
    <w:p>
      <w:pPr>
        <w:ind w:right="2319" w:firstLine="527"/>
        <w:spacing w:after="0" w:line="292" w:lineRule="auto"/>
        <w:rPr>
          <w:sz w:val="20"/>
          <w:szCs w:val="20"/>
          <w:color w:val="auto"/>
        </w:rPr>
      </w:pPr>
      <w:r>
        <w:rPr>
          <w:rFonts w:ascii="Courier New" w:cs="Courier New" w:eastAsia="Courier New" w:hAnsi="Courier New"/>
          <w:sz w:val="18"/>
          <w:szCs w:val="18"/>
          <w:color w:val="auto"/>
        </w:rPr>
        <w:t>Within the context of these critical accounting policies, we are not currently aware of any reasonably likely events or circumstances that would result in materially different amounts being reported.</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LITIGATION</w:t>
      </w:r>
    </w:p>
    <w:p>
      <w:pPr>
        <w:spacing w:after="0" w:line="201" w:lineRule="exact"/>
        <w:rPr>
          <w:sz w:val="20"/>
          <w:szCs w:val="20"/>
          <w:color w:val="auto"/>
        </w:rPr>
      </w:pPr>
    </w:p>
    <w:p>
      <w:pPr>
        <w:ind w:right="1779" w:firstLine="527"/>
        <w:spacing w:after="0" w:line="250" w:lineRule="auto"/>
        <w:rPr>
          <w:sz w:val="20"/>
          <w:szCs w:val="20"/>
          <w:color w:val="auto"/>
        </w:rPr>
      </w:pPr>
      <w:r>
        <w:rPr>
          <w:rFonts w:ascii="Courier New" w:cs="Courier New" w:eastAsia="Courier New" w:hAnsi="Courier New"/>
          <w:sz w:val="18"/>
          <w:szCs w:val="18"/>
          <w:color w:val="auto"/>
        </w:rPr>
        <w:t>On December 2, 2003 we announced that the United States District Court for the Eastern District of Missouri had issued an order granting our motion to dismiss the securities class action lawsuits that had been pending against us and certain of our directors and officers since June 2002. The court's order also directed that judgment be entered in favor of the defendants. The consolidated complaint filed in the action alleged that we and the individual defendants had made false or misleading statements about our business and future prospects during a putative class period between July 18, 2000 and June 20, 2002. Under the Federal rules the plaintiffs have a period of 30 days in which to appeal the court's decision.</w:t>
      </w:r>
    </w:p>
    <w:p>
      <w:pPr>
        <w:spacing w:after="0" w:line="1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44</w:t>
      </w:r>
    </w:p>
    <w:p>
      <w:pPr>
        <w:sectPr>
          <w:pgSz w:w="11900" w:h="16838" w:orient="portrait"/>
          <w:cols w:equalWidth="0" w:num="1">
            <w:col w:w="10219"/>
          </w:cols>
          <w:pgMar w:left="240" w:top="691" w:right="1440" w:bottom="1440" w:gutter="0" w:footer="0" w:header="0"/>
        </w:sectPr>
      </w:pPr>
    </w:p>
    <w:bookmarkStart w:id="48" w:name="page49"/>
    <w:bookmarkEnd w:id="48"/>
    <w:p>
      <w:pPr>
        <w:spacing w:after="0"/>
        <w:rPr>
          <w:sz w:val="20"/>
          <w:szCs w:val="20"/>
          <w:color w:val="auto"/>
        </w:rPr>
      </w:pPr>
      <w:r>
        <w:rPr>
          <w:rFonts w:ascii="Courier New" w:cs="Courier New" w:eastAsia="Courier New" w:hAnsi="Courier New"/>
          <w:sz w:val="18"/>
          <w:szCs w:val="18"/>
          <w:color w:val="auto"/>
        </w:rPr>
        <w:t>SECURITIES AND EXCHANGE COMMISSION INVESTIGATION</w:t>
      </w:r>
    </w:p>
    <w:p>
      <w:pPr>
        <w:spacing w:after="0" w:line="201" w:lineRule="exact"/>
        <w:rPr>
          <w:sz w:val="20"/>
          <w:szCs w:val="20"/>
          <w:color w:val="auto"/>
        </w:rPr>
      </w:pPr>
    </w:p>
    <w:p>
      <w:pPr>
        <w:ind w:right="1779" w:firstLine="527"/>
        <w:spacing w:after="0" w:line="289" w:lineRule="auto"/>
        <w:rPr>
          <w:sz w:val="20"/>
          <w:szCs w:val="20"/>
          <w:color w:val="auto"/>
        </w:rPr>
      </w:pPr>
      <w:r>
        <w:rPr>
          <w:rFonts w:ascii="Courier New" w:cs="Courier New" w:eastAsia="Courier New" w:hAnsi="Courier New"/>
          <w:sz w:val="16"/>
          <w:szCs w:val="16"/>
          <w:color w:val="auto"/>
        </w:rPr>
        <w:t>We have been informed that the Midwest Regional Office of the SEC is conducting a private investigation into the events leading up to our announcement in June 2002 of revised projected revenue for the third and fourth quarters of fiscal 2002. The investigation appears to be focused on, but is not explicitly limited to, our forecasting beginning with our April 23, 2002 press release. Although we believe that we will be able to satisfy any concerns the SEC staff may have in this regard, we are unable to predict the duration, scope, or outcome of the investigation. We are cooperating fully with the SEC staff.</w:t>
      </w:r>
    </w:p>
    <w:p>
      <w:pPr>
        <w:spacing w:after="0" w:line="7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DIRECTORS, SENIOR MANAGEMENT AND EMPLOYEES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DIRECTORS AND SENIOR MANAGEMENT</w:t>
      </w:r>
    </w:p>
    <w:p>
      <w:pPr>
        <w:spacing w:after="0" w:line="201" w:lineRule="exact"/>
        <w:rPr>
          <w:sz w:val="20"/>
          <w:szCs w:val="20"/>
          <w:color w:val="auto"/>
        </w:rPr>
      </w:pPr>
    </w:p>
    <w:p>
      <w:pPr>
        <w:ind w:right="1999" w:firstLine="527"/>
        <w:spacing w:after="0" w:line="274" w:lineRule="auto"/>
        <w:rPr>
          <w:sz w:val="20"/>
          <w:szCs w:val="20"/>
          <w:color w:val="auto"/>
        </w:rPr>
      </w:pPr>
      <w:r>
        <w:rPr>
          <w:rFonts w:ascii="Courier New" w:cs="Courier New" w:eastAsia="Courier New" w:hAnsi="Courier New"/>
          <w:sz w:val="18"/>
          <w:szCs w:val="18"/>
          <w:color w:val="auto"/>
        </w:rPr>
        <w:t>We rely on the executive officers of our principal operating subsidiaries to manage our business. In addition, Amdocs Management Limited, our management subsidiary, performs certain executive coordination functions for all of our operating subsidiaries.</w:t>
      </w:r>
    </w:p>
    <w:p>
      <w:pPr>
        <w:spacing w:after="0" w:line="82" w:lineRule="exact"/>
        <w:rPr>
          <w:sz w:val="20"/>
          <w:szCs w:val="20"/>
          <w:color w:val="auto"/>
        </w:rPr>
      </w:pPr>
    </w:p>
    <w:p>
      <w:pPr>
        <w:ind w:right="1999" w:firstLine="527"/>
        <w:spacing w:after="0" w:line="347" w:lineRule="auto"/>
        <w:rPr>
          <w:sz w:val="20"/>
          <w:szCs w:val="20"/>
          <w:color w:val="auto"/>
        </w:rPr>
      </w:pPr>
      <w:r>
        <w:rPr>
          <w:rFonts w:ascii="Courier New" w:cs="Courier New" w:eastAsia="Courier New" w:hAnsi="Courier New"/>
          <w:sz w:val="18"/>
          <w:szCs w:val="18"/>
          <w:color w:val="auto"/>
        </w:rPr>
        <w:t>As of November 30, 2003, our directors, senior managers and key employees upon whose work we are dependent were as follows:</w:t>
      </w:r>
    </w:p>
    <w:p>
      <w:pPr>
        <w:spacing w:after="0" w:line="18"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NAME AGE POSITION - ---- ---- --------</w:t>
      </w:r>
    </w:p>
    <w:p>
      <w:pPr>
        <w:spacing w:after="0" w:line="29"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8"/>
          <w:szCs w:val="18"/>
          <w:color w:val="auto"/>
        </w:rPr>
        <w:t>Bruce K. Anderson(1)</w:t>
      </w:r>
    </w:p>
    <w:p>
      <w:pPr>
        <w:ind w:left="60"/>
        <w:spacing w:after="0" w:line="238" w:lineRule="auto"/>
        <w:rPr>
          <w:sz w:val="20"/>
          <w:szCs w:val="20"/>
          <w:color w:val="auto"/>
        </w:rPr>
      </w:pPr>
      <w:r>
        <w:rPr>
          <w:rFonts w:ascii="Courier New" w:cs="Courier New" w:eastAsia="Courier New" w:hAnsi="Courier New"/>
          <w:sz w:val="18"/>
          <w:szCs w:val="18"/>
          <w:color w:val="auto"/>
        </w:rPr>
        <w:t>(3)...................... 63 Chairman of</w:t>
      </w:r>
    </w:p>
    <w:p>
      <w:pPr>
        <w:ind w:left="100"/>
        <w:spacing w:after="0"/>
        <w:rPr>
          <w:sz w:val="20"/>
          <w:szCs w:val="20"/>
          <w:color w:val="auto"/>
        </w:rPr>
      </w:pPr>
      <w:r>
        <w:rPr>
          <w:rFonts w:ascii="Courier New" w:cs="Courier New" w:eastAsia="Courier New" w:hAnsi="Courier New"/>
          <w:sz w:val="18"/>
          <w:szCs w:val="18"/>
          <w:color w:val="auto"/>
        </w:rPr>
        <w:t>the Board and President, Amdocs Limited</w:t>
      </w:r>
    </w:p>
    <w:tbl>
      <w:tblPr>
        <w:tblLayout w:type="fixed"/>
        <w:tblInd w:w="160" w:type="dxa"/>
        <w:tblCellMar>
          <w:top w:w="0" w:type="dxa"/>
          <w:left w:w="0" w:type="dxa"/>
          <w:bottom w:w="0" w:type="dxa"/>
          <w:right w:w="0" w:type="dxa"/>
        </w:tblCellMar>
      </w:tblPr>
      <w:tr>
        <w:trPr>
          <w:trHeight w:val="171"/>
        </w:trPr>
        <w:tc>
          <w:tcPr>
            <w:tcW w:w="3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2"/>
              </w:rPr>
              <w:t>(3)</w:t>
            </w:r>
          </w:p>
        </w:tc>
        <w:tc>
          <w:tcPr>
            <w:tcW w:w="3680" w:type="dxa"/>
            <w:vAlign w:val="bottom"/>
          </w:tcPr>
          <w:p>
            <w:pPr>
              <w:jc w:val="center"/>
              <w:ind w:right="212"/>
              <w:spacing w:after="0" w:line="170" w:lineRule="exact"/>
              <w:rPr>
                <w:sz w:val="20"/>
                <w:szCs w:val="20"/>
                <w:color w:val="auto"/>
              </w:rPr>
            </w:pPr>
            <w:r>
              <w:rPr>
                <w:rFonts w:ascii="Courier New" w:cs="Courier New" w:eastAsia="Courier New" w:hAnsi="Courier New"/>
                <w:sz w:val="18"/>
                <w:szCs w:val="18"/>
                <w:color w:val="auto"/>
                <w:w w:val="97"/>
              </w:rPr>
              <w:t>Avinoam Naor(1)</w:t>
            </w:r>
          </w:p>
        </w:tc>
        <w:tc>
          <w:tcPr>
            <w:tcW w:w="0" w:type="dxa"/>
            <w:vAlign w:val="bottom"/>
          </w:tcPr>
          <w:p>
            <w:pPr>
              <w:spacing w:after="0"/>
              <w:rPr>
                <w:sz w:val="1"/>
                <w:szCs w:val="1"/>
                <w:color w:val="auto"/>
              </w:rPr>
            </w:pPr>
          </w:p>
        </w:tc>
      </w:tr>
      <w:tr>
        <w:trPr>
          <w:trHeight w:val="203"/>
        </w:trPr>
        <w:tc>
          <w:tcPr>
            <w:tcW w:w="320" w:type="dxa"/>
            <w:vAlign w:val="bottom"/>
            <w:vMerge w:val="continue"/>
          </w:tcPr>
          <w:p>
            <w:pPr>
              <w:spacing w:after="0"/>
              <w:rPr>
                <w:sz w:val="17"/>
                <w:szCs w:val="17"/>
                <w:color w:val="auto"/>
              </w:rPr>
            </w:pPr>
          </w:p>
        </w:tc>
        <w:tc>
          <w:tcPr>
            <w:tcW w:w="368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 55 Vice</w:t>
            </w:r>
          </w:p>
        </w:tc>
        <w:tc>
          <w:tcPr>
            <w:tcW w:w="0" w:type="dxa"/>
            <w:vAlign w:val="bottom"/>
          </w:tcPr>
          <w:p>
            <w:pPr>
              <w:spacing w:after="0"/>
              <w:rPr>
                <w:sz w:val="1"/>
                <w:szCs w:val="1"/>
                <w:color w:val="auto"/>
              </w:rPr>
            </w:pPr>
          </w:p>
        </w:tc>
      </w:tr>
      <w:tr>
        <w:trPr>
          <w:trHeight w:val="296"/>
        </w:trPr>
        <w:tc>
          <w:tcPr>
            <w:tcW w:w="320" w:type="dxa"/>
            <w:vAlign w:val="bottom"/>
          </w:tcPr>
          <w:p>
            <w:pPr>
              <w:spacing w:after="0"/>
              <w:rPr>
                <w:sz w:val="24"/>
                <w:szCs w:val="24"/>
                <w:color w:val="auto"/>
              </w:rPr>
            </w:pPr>
          </w:p>
        </w:tc>
        <w:tc>
          <w:tcPr>
            <w:tcW w:w="3680" w:type="dxa"/>
            <w:vAlign w:val="bottom"/>
          </w:tcPr>
          <w:p>
            <w:pPr>
              <w:jc w:val="center"/>
              <w:ind w:right="232"/>
              <w:spacing w:after="0"/>
              <w:rPr>
                <w:sz w:val="20"/>
                <w:szCs w:val="20"/>
                <w:color w:val="auto"/>
              </w:rPr>
            </w:pPr>
            <w:r>
              <w:rPr>
                <w:rFonts w:ascii="Courier New" w:cs="Courier New" w:eastAsia="Courier New" w:hAnsi="Courier New"/>
                <w:sz w:val="18"/>
                <w:szCs w:val="18"/>
                <w:color w:val="auto"/>
                <w:w w:val="97"/>
              </w:rPr>
              <w:t>Chairman, Amdocs Limited Adrian</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3" w:lineRule="exact"/>
        <w:rPr>
          <w:sz w:val="20"/>
          <w:szCs w:val="20"/>
          <w:color w:val="auto"/>
        </w:rPr>
      </w:pPr>
    </w:p>
    <w:tbl>
      <w:tblPr>
        <w:tblLayout w:type="fixed"/>
        <w:tblInd w:w="60" w:type="dxa"/>
        <w:tblCellMar>
          <w:top w:w="0" w:type="dxa"/>
          <w:left w:w="0" w:type="dxa"/>
          <w:bottom w:w="0" w:type="dxa"/>
          <w:right w:w="0" w:type="dxa"/>
        </w:tblCellMar>
      </w:tblPr>
      <w:tr>
        <w:trPr>
          <w:trHeight w:val="204"/>
        </w:trPr>
        <w:tc>
          <w:tcPr>
            <w:tcW w:w="3840" w:type="dxa"/>
            <w:vAlign w:val="bottom"/>
          </w:tcPr>
          <w:p>
            <w:pPr>
              <w:ind w:left="100"/>
              <w:spacing w:after="0"/>
              <w:rPr>
                <w:sz w:val="20"/>
                <w:szCs w:val="20"/>
                <w:color w:val="auto"/>
              </w:rPr>
            </w:pPr>
            <w:r>
              <w:rPr>
                <w:rFonts w:ascii="Courier New" w:cs="Courier New" w:eastAsia="Courier New" w:hAnsi="Courier New"/>
                <w:sz w:val="18"/>
                <w:szCs w:val="18"/>
                <w:color w:val="auto"/>
                <w:w w:val="98"/>
              </w:rPr>
              <w:t>Brodsky............................</w:t>
            </w:r>
          </w:p>
        </w:tc>
        <w:tc>
          <w:tcPr>
            <w:tcW w:w="3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70</w:t>
            </w:r>
          </w:p>
        </w:tc>
        <w:tc>
          <w:tcPr>
            <w:tcW w:w="0" w:type="dxa"/>
            <w:vAlign w:val="bottom"/>
          </w:tcPr>
          <w:p>
            <w:pPr>
              <w:spacing w:after="0"/>
              <w:rPr>
                <w:sz w:val="1"/>
                <w:szCs w:val="1"/>
                <w:color w:val="auto"/>
              </w:rPr>
            </w:pPr>
          </w:p>
        </w:tc>
      </w:tr>
      <w:tr>
        <w:trPr>
          <w:trHeight w:val="203"/>
        </w:trPr>
        <w:tc>
          <w:tcPr>
            <w:tcW w:w="42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Director, Amdocs Limited Charles E.</w:t>
            </w:r>
          </w:p>
        </w:tc>
        <w:tc>
          <w:tcPr>
            <w:tcW w:w="0" w:type="dxa"/>
            <w:vAlign w:val="bottom"/>
          </w:tcPr>
          <w:p>
            <w:pPr>
              <w:spacing w:after="0"/>
              <w:rPr>
                <w:sz w:val="1"/>
                <w:szCs w:val="1"/>
                <w:color w:val="auto"/>
              </w:rPr>
            </w:pPr>
          </w:p>
        </w:tc>
      </w:tr>
      <w:tr>
        <w:trPr>
          <w:trHeight w:val="203"/>
        </w:trPr>
        <w:tc>
          <w:tcPr>
            <w:tcW w:w="38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Foster(2).........................</w:t>
            </w:r>
          </w:p>
        </w:tc>
        <w:tc>
          <w:tcPr>
            <w:tcW w:w="3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w w:val="92"/>
              </w:rPr>
              <w:t>67</w:t>
            </w:r>
          </w:p>
        </w:tc>
        <w:tc>
          <w:tcPr>
            <w:tcW w:w="0" w:type="dxa"/>
            <w:vAlign w:val="bottom"/>
          </w:tcPr>
          <w:p>
            <w:pPr>
              <w:spacing w:after="0"/>
              <w:rPr>
                <w:sz w:val="1"/>
                <w:szCs w:val="1"/>
                <w:color w:val="auto"/>
              </w:rPr>
            </w:pPr>
          </w:p>
        </w:tc>
      </w:tr>
      <w:tr>
        <w:trPr>
          <w:trHeight w:val="203"/>
        </w:trPr>
        <w:tc>
          <w:tcPr>
            <w:tcW w:w="3840" w:type="dxa"/>
            <w:vAlign w:val="bottom"/>
          </w:tcPr>
          <w:p>
            <w:pPr>
              <w:jc w:val="center"/>
              <w:ind w:left="274"/>
              <w:spacing w:after="0" w:line="203" w:lineRule="exact"/>
              <w:rPr>
                <w:sz w:val="20"/>
                <w:szCs w:val="20"/>
                <w:color w:val="auto"/>
              </w:rPr>
            </w:pPr>
            <w:r>
              <w:rPr>
                <w:rFonts w:ascii="Courier New" w:cs="Courier New" w:eastAsia="Courier New" w:hAnsi="Courier New"/>
                <w:sz w:val="18"/>
                <w:szCs w:val="18"/>
                <w:color w:val="auto"/>
                <w:w w:val="97"/>
              </w:rPr>
              <w:t>Director, Amdocs Limited James S.</w:t>
            </w:r>
          </w:p>
        </w:tc>
        <w:tc>
          <w:tcPr>
            <w:tcW w:w="3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56</w:t>
            </w:r>
          </w:p>
        </w:tc>
        <w:tc>
          <w:tcPr>
            <w:tcW w:w="0" w:type="dxa"/>
            <w:vAlign w:val="bottom"/>
          </w:tcPr>
          <w:p>
            <w:pPr>
              <w:spacing w:after="0"/>
              <w:rPr>
                <w:sz w:val="1"/>
                <w:szCs w:val="1"/>
                <w:color w:val="auto"/>
              </w:rPr>
            </w:pPr>
          </w:p>
        </w:tc>
      </w:tr>
      <w:tr>
        <w:trPr>
          <w:trHeight w:val="203"/>
        </w:trPr>
        <w:tc>
          <w:tcPr>
            <w:tcW w:w="38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Kahan(1)(3).........................</w:t>
            </w:r>
          </w:p>
        </w:tc>
        <w:tc>
          <w:tcPr>
            <w:tcW w:w="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40" w:type="dxa"/>
            <w:vAlign w:val="bottom"/>
          </w:tcPr>
          <w:p>
            <w:pPr>
              <w:jc w:val="center"/>
              <w:ind w:left="334"/>
              <w:spacing w:after="0" w:line="202" w:lineRule="exact"/>
              <w:rPr>
                <w:sz w:val="20"/>
                <w:szCs w:val="20"/>
                <w:color w:val="auto"/>
              </w:rPr>
            </w:pPr>
            <w:r>
              <w:rPr>
                <w:rFonts w:ascii="Courier New" w:cs="Courier New" w:eastAsia="Courier New" w:hAnsi="Courier New"/>
                <w:sz w:val="13"/>
                <w:szCs w:val="13"/>
                <w:color w:val="auto"/>
                <w:w w:val="74"/>
              </w:rPr>
              <w:t>Director,</w:t>
            </w:r>
            <w:r>
              <w:rPr>
                <w:rFonts w:ascii="Courier New" w:cs="Courier New" w:eastAsia="Courier New" w:hAnsi="Courier New"/>
                <w:sz w:val="23"/>
                <w:szCs w:val="23"/>
                <w:color w:val="auto"/>
                <w:w w:val="74"/>
                <w:vertAlign w:val="subscript"/>
              </w:rPr>
              <w:t>..........................</w:t>
            </w:r>
            <w:r>
              <w:rPr>
                <w:rFonts w:ascii="Courier New" w:cs="Courier New" w:eastAsia="Courier New" w:hAnsi="Courier New"/>
                <w:sz w:val="13"/>
                <w:szCs w:val="13"/>
                <w:color w:val="auto"/>
                <w:w w:val="74"/>
              </w:rPr>
              <w:t>AmdocsLimitedJohnT.</w:t>
            </w:r>
          </w:p>
        </w:tc>
        <w:tc>
          <w:tcPr>
            <w:tcW w:w="3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58</w:t>
            </w:r>
          </w:p>
        </w:tc>
        <w:tc>
          <w:tcPr>
            <w:tcW w:w="0" w:type="dxa"/>
            <w:vAlign w:val="bottom"/>
          </w:tcPr>
          <w:p>
            <w:pPr>
              <w:spacing w:after="0"/>
              <w:rPr>
                <w:sz w:val="1"/>
                <w:szCs w:val="1"/>
                <w:color w:val="auto"/>
              </w:rPr>
            </w:pPr>
          </w:p>
        </w:tc>
      </w:tr>
      <w:tr>
        <w:trPr>
          <w:trHeight w:val="203"/>
        </w:trPr>
        <w:tc>
          <w:tcPr>
            <w:tcW w:w="3840" w:type="dxa"/>
            <w:vAlign w:val="bottom"/>
          </w:tcPr>
          <w:p>
            <w:pPr>
              <w:spacing w:after="0" w:line="203" w:lineRule="exact"/>
              <w:rPr>
                <w:sz w:val="20"/>
                <w:szCs w:val="20"/>
                <w:color w:val="auto"/>
              </w:rPr>
            </w:pPr>
            <w:r>
              <w:rPr>
                <w:rFonts w:ascii="Courier New" w:cs="Courier New" w:eastAsia="Courier New" w:hAnsi="Courier New"/>
                <w:sz w:val="18"/>
                <w:szCs w:val="18"/>
                <w:color w:val="auto"/>
              </w:rPr>
              <w:t>McLennan(2)</w:t>
            </w:r>
          </w:p>
        </w:tc>
        <w:tc>
          <w:tcPr>
            <w:tcW w:w="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Director, Amdocs Limited Robert A.</w:t>
            </w:r>
          </w:p>
        </w:tc>
        <w:tc>
          <w:tcPr>
            <w:tcW w:w="0" w:type="dxa"/>
            <w:vAlign w:val="bottom"/>
          </w:tcPr>
          <w:p>
            <w:pPr>
              <w:spacing w:after="0"/>
              <w:rPr>
                <w:sz w:val="1"/>
                <w:szCs w:val="1"/>
                <w:color w:val="auto"/>
              </w:rPr>
            </w:pPr>
          </w:p>
        </w:tc>
      </w:tr>
      <w:tr>
        <w:trPr>
          <w:trHeight w:val="203"/>
        </w:trPr>
        <w:tc>
          <w:tcPr>
            <w:tcW w:w="38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Minicucci(1)(3)....................</w:t>
            </w:r>
          </w:p>
        </w:tc>
        <w:tc>
          <w:tcPr>
            <w:tcW w:w="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51</w:t>
            </w:r>
          </w:p>
        </w:tc>
        <w:tc>
          <w:tcPr>
            <w:tcW w:w="0" w:type="dxa"/>
            <w:vAlign w:val="bottom"/>
          </w:tcPr>
          <w:p>
            <w:pPr>
              <w:spacing w:after="0"/>
              <w:rPr>
                <w:sz w:val="1"/>
                <w:szCs w:val="1"/>
                <w:color w:val="auto"/>
              </w:rPr>
            </w:pPr>
          </w:p>
        </w:tc>
      </w:tr>
      <w:tr>
        <w:trPr>
          <w:trHeight w:val="203"/>
        </w:trPr>
        <w:tc>
          <w:tcPr>
            <w:tcW w:w="42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Director and Vice President, Amdocs</w:t>
            </w:r>
          </w:p>
        </w:tc>
        <w:tc>
          <w:tcPr>
            <w:tcW w:w="0" w:type="dxa"/>
            <w:vAlign w:val="bottom"/>
          </w:tcPr>
          <w:p>
            <w:pPr>
              <w:spacing w:after="0"/>
              <w:rPr>
                <w:sz w:val="1"/>
                <w:szCs w:val="1"/>
                <w:color w:val="auto"/>
              </w:rPr>
            </w:pPr>
          </w:p>
        </w:tc>
      </w:tr>
      <w:tr>
        <w:trPr>
          <w:trHeight w:val="235"/>
        </w:trPr>
        <w:tc>
          <w:tcPr>
            <w:tcW w:w="3840" w:type="dxa"/>
            <w:vAlign w:val="bottom"/>
          </w:tcPr>
          <w:p>
            <w:pPr>
              <w:jc w:val="center"/>
              <w:ind w:left="274"/>
              <w:spacing w:after="0"/>
              <w:rPr>
                <w:sz w:val="20"/>
                <w:szCs w:val="20"/>
                <w:color w:val="auto"/>
              </w:rPr>
            </w:pPr>
            <w:r>
              <w:rPr>
                <w:rFonts w:ascii="Courier New" w:cs="Courier New" w:eastAsia="Courier New" w:hAnsi="Courier New"/>
                <w:sz w:val="18"/>
                <w:szCs w:val="18"/>
                <w:color w:val="auto"/>
                <w:w w:val="96"/>
              </w:rPr>
              <w:t>Limited Mario</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100"/>
        <w:spacing w:after="0" w:line="238" w:lineRule="auto"/>
        <w:rPr>
          <w:sz w:val="20"/>
          <w:szCs w:val="20"/>
          <w:color w:val="auto"/>
        </w:rPr>
      </w:pPr>
      <w:r>
        <w:rPr>
          <w:rFonts w:ascii="Courier New" w:cs="Courier New" w:eastAsia="Courier New" w:hAnsi="Courier New"/>
          <w:sz w:val="18"/>
          <w:szCs w:val="18"/>
          <w:color w:val="auto"/>
        </w:rPr>
        <w:t>Segal..................................</w:t>
      </w:r>
    </w:p>
    <w:p>
      <w:pPr>
        <w:jc w:val="center"/>
        <w:ind w:right="5899"/>
        <w:spacing w:after="0"/>
        <w:rPr>
          <w:sz w:val="20"/>
          <w:szCs w:val="20"/>
          <w:color w:val="auto"/>
        </w:rPr>
      </w:pPr>
      <w:r>
        <w:rPr>
          <w:rFonts w:ascii="Courier New" w:cs="Courier New" w:eastAsia="Courier New" w:hAnsi="Courier New"/>
          <w:sz w:val="18"/>
          <w:szCs w:val="18"/>
          <w:color w:val="auto"/>
        </w:rPr>
        <w:t>56 Director, Amdocs Limited Dov</w:t>
      </w:r>
    </w:p>
    <w:p>
      <w:pPr>
        <w:jc w:val="center"/>
        <w:ind w:right="5899"/>
        <w:spacing w:after="0" w:line="238" w:lineRule="auto"/>
        <w:rPr>
          <w:sz w:val="20"/>
          <w:szCs w:val="20"/>
          <w:color w:val="auto"/>
        </w:rPr>
      </w:pPr>
      <w:r>
        <w:rPr>
          <w:rFonts w:ascii="Courier New" w:cs="Courier New" w:eastAsia="Courier New" w:hAnsi="Courier New"/>
          <w:sz w:val="18"/>
          <w:szCs w:val="18"/>
          <w:color w:val="auto"/>
        </w:rPr>
        <w:t>Baharav(1)</w:t>
      </w:r>
    </w:p>
    <w:p>
      <w:pPr>
        <w:ind w:left="380"/>
        <w:spacing w:after="0"/>
        <w:rPr>
          <w:sz w:val="20"/>
          <w:szCs w:val="20"/>
          <w:color w:val="auto"/>
        </w:rPr>
      </w:pPr>
      <w:r>
        <w:rPr>
          <w:rFonts w:ascii="Courier New" w:cs="Courier New" w:eastAsia="Courier New" w:hAnsi="Courier New"/>
          <w:sz w:val="18"/>
          <w:szCs w:val="18"/>
          <w:color w:val="auto"/>
        </w:rPr>
        <w:t>(3)............................ 53</w:t>
      </w:r>
    </w:p>
    <w:p>
      <w:pPr>
        <w:jc w:val="center"/>
        <w:ind w:right="5899"/>
        <w:spacing w:after="0" w:line="238" w:lineRule="auto"/>
        <w:rPr>
          <w:sz w:val="20"/>
          <w:szCs w:val="20"/>
          <w:color w:val="auto"/>
        </w:rPr>
      </w:pPr>
      <w:r>
        <w:rPr>
          <w:rFonts w:ascii="Courier New" w:cs="Courier New" w:eastAsia="Courier New" w:hAnsi="Courier New"/>
          <w:sz w:val="18"/>
          <w:szCs w:val="18"/>
          <w:color w:val="auto"/>
        </w:rPr>
        <w:t>Director, Amdocs Limited; President and</w:t>
      </w:r>
    </w:p>
    <w:p>
      <w:pPr>
        <w:jc w:val="center"/>
        <w:ind w:right="5899"/>
        <w:spacing w:after="0"/>
        <w:rPr>
          <w:sz w:val="20"/>
          <w:szCs w:val="20"/>
          <w:color w:val="auto"/>
        </w:rPr>
      </w:pPr>
      <w:r>
        <w:rPr>
          <w:rFonts w:ascii="Courier New" w:cs="Courier New" w:eastAsia="Courier New" w:hAnsi="Courier New"/>
          <w:sz w:val="18"/>
          <w:szCs w:val="18"/>
          <w:color w:val="auto"/>
        </w:rPr>
        <w:t>Chief Executive Officer, Amdocs</w:t>
      </w:r>
    </w:p>
    <w:p>
      <w:pPr>
        <w:jc w:val="center"/>
        <w:ind w:right="5899"/>
        <w:spacing w:after="0" w:line="238" w:lineRule="auto"/>
        <w:rPr>
          <w:sz w:val="20"/>
          <w:szCs w:val="20"/>
          <w:color w:val="auto"/>
        </w:rPr>
      </w:pPr>
      <w:r>
        <w:rPr>
          <w:rFonts w:ascii="Courier New" w:cs="Courier New" w:eastAsia="Courier New" w:hAnsi="Courier New"/>
          <w:sz w:val="18"/>
          <w:szCs w:val="18"/>
          <w:color w:val="auto"/>
        </w:rPr>
        <w:t>Management Limited Eli</w:t>
      </w:r>
    </w:p>
    <w:p>
      <w:pPr>
        <w:spacing w:after="0"/>
        <w:rPr>
          <w:sz w:val="20"/>
          <w:szCs w:val="20"/>
          <w:color w:val="auto"/>
        </w:rPr>
      </w:pPr>
      <w:r>
        <w:rPr>
          <w:rFonts w:ascii="Courier New" w:cs="Courier New" w:eastAsia="Courier New" w:hAnsi="Courier New"/>
          <w:sz w:val="18"/>
          <w:szCs w:val="18"/>
          <w:color w:val="auto"/>
        </w:rPr>
        <w:t>Gelman...................................</w:t>
      </w:r>
    </w:p>
    <w:p>
      <w:pPr>
        <w:ind w:left="160"/>
        <w:spacing w:after="0" w:line="238" w:lineRule="auto"/>
        <w:rPr>
          <w:sz w:val="20"/>
          <w:szCs w:val="20"/>
          <w:color w:val="auto"/>
        </w:rPr>
      </w:pPr>
      <w:r>
        <w:rPr>
          <w:rFonts w:ascii="Courier New" w:cs="Courier New" w:eastAsia="Courier New" w:hAnsi="Courier New"/>
          <w:sz w:val="18"/>
          <w:szCs w:val="18"/>
          <w:color w:val="auto"/>
        </w:rPr>
        <w:t>45 Director, Amdocs Limited; Executive</w:t>
      </w:r>
    </w:p>
    <w:p>
      <w:pPr>
        <w:ind w:left="420"/>
        <w:spacing w:after="0"/>
        <w:rPr>
          <w:sz w:val="20"/>
          <w:szCs w:val="20"/>
          <w:color w:val="auto"/>
        </w:rPr>
      </w:pPr>
      <w:r>
        <w:rPr>
          <w:rFonts w:ascii="Courier New" w:cs="Courier New" w:eastAsia="Courier New" w:hAnsi="Courier New"/>
          <w:sz w:val="18"/>
          <w:szCs w:val="18"/>
          <w:color w:val="auto"/>
        </w:rPr>
        <w:t>Vice President, Amdocs Management</w:t>
      </w:r>
    </w:p>
    <w:tbl>
      <w:tblPr>
        <w:tblLayout w:type="fixed"/>
        <w:tblInd w:w="60" w:type="dxa"/>
        <w:tblCellMar>
          <w:top w:w="0" w:type="dxa"/>
          <w:left w:w="0" w:type="dxa"/>
          <w:bottom w:w="0" w:type="dxa"/>
          <w:right w:w="0" w:type="dxa"/>
        </w:tblCellMar>
      </w:tblPr>
      <w:tr>
        <w:trPr>
          <w:trHeight w:val="171"/>
        </w:trPr>
        <w:tc>
          <w:tcPr>
            <w:tcW w:w="940" w:type="dxa"/>
            <w:vAlign w:val="bottom"/>
            <w:vMerge w:val="restart"/>
          </w:tcPr>
          <w:p>
            <w:pPr>
              <w:spacing w:after="0"/>
              <w:rPr>
                <w:sz w:val="20"/>
                <w:szCs w:val="20"/>
                <w:color w:val="auto"/>
              </w:rPr>
            </w:pPr>
            <w:r>
              <w:rPr>
                <w:rFonts w:ascii="Courier New" w:cs="Courier New" w:eastAsia="Courier New" w:hAnsi="Courier New"/>
                <w:sz w:val="18"/>
                <w:szCs w:val="18"/>
                <w:color w:val="auto"/>
                <w:w w:val="94"/>
              </w:rPr>
              <w:t>Lemelbaum</w:t>
            </w:r>
          </w:p>
        </w:tc>
        <w:tc>
          <w:tcPr>
            <w:tcW w:w="3260" w:type="dxa"/>
            <w:vAlign w:val="bottom"/>
          </w:tcPr>
          <w:p>
            <w:pPr>
              <w:jc w:val="right"/>
              <w:ind w:right="1212"/>
              <w:spacing w:after="0" w:line="170" w:lineRule="exact"/>
              <w:rPr>
                <w:sz w:val="20"/>
                <w:szCs w:val="20"/>
                <w:color w:val="auto"/>
              </w:rPr>
            </w:pPr>
            <w:r>
              <w:rPr>
                <w:rFonts w:ascii="Courier New" w:cs="Courier New" w:eastAsia="Courier New" w:hAnsi="Courier New"/>
                <w:sz w:val="18"/>
                <w:szCs w:val="18"/>
                <w:color w:val="auto"/>
              </w:rPr>
              <w:t>Limited Nehemia</w:t>
            </w:r>
          </w:p>
        </w:tc>
        <w:tc>
          <w:tcPr>
            <w:tcW w:w="0" w:type="dxa"/>
            <w:vAlign w:val="bottom"/>
          </w:tcPr>
          <w:p>
            <w:pPr>
              <w:spacing w:after="0"/>
              <w:rPr>
                <w:sz w:val="1"/>
                <w:szCs w:val="1"/>
                <w:color w:val="auto"/>
              </w:rPr>
            </w:pPr>
          </w:p>
        </w:tc>
      </w:tr>
      <w:tr>
        <w:trPr>
          <w:trHeight w:val="296"/>
        </w:trPr>
        <w:tc>
          <w:tcPr>
            <w:tcW w:w="940" w:type="dxa"/>
            <w:vAlign w:val="bottom"/>
            <w:vMerge w:val="continue"/>
          </w:tcPr>
          <w:p>
            <w:pPr>
              <w:spacing w:after="0"/>
              <w:rPr>
                <w:sz w:val="24"/>
                <w:szCs w:val="24"/>
                <w:color w:val="auto"/>
              </w:rPr>
            </w:pPr>
          </w:p>
        </w:tc>
        <w:tc>
          <w:tcPr>
            <w:tcW w:w="3260" w:type="dxa"/>
            <w:vAlign w:val="bottom"/>
          </w:tcPr>
          <w:p>
            <w:pPr>
              <w:jc w:val="right"/>
              <w:spacing w:after="0"/>
              <w:rPr>
                <w:sz w:val="20"/>
                <w:szCs w:val="20"/>
                <w:color w:val="auto"/>
              </w:rPr>
            </w:pPr>
            <w:r>
              <w:rPr>
                <w:rFonts w:ascii="Courier New" w:cs="Courier New" w:eastAsia="Courier New" w:hAnsi="Courier New"/>
                <w:sz w:val="18"/>
                <w:szCs w:val="18"/>
                <w:color w:val="auto"/>
                <w:w w:val="96"/>
              </w:rPr>
              <w:t>............................ 61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60" w:type="dxa"/>
        <w:tblCellMar>
          <w:top w:w="0" w:type="dxa"/>
          <w:left w:w="0" w:type="dxa"/>
          <w:bottom w:w="0" w:type="dxa"/>
          <w:right w:w="0" w:type="dxa"/>
        </w:tblCellMar>
      </w:tblPr>
      <w:tr>
        <w:trPr>
          <w:trHeight w:val="204"/>
        </w:trPr>
        <w:tc>
          <w:tcPr>
            <w:tcW w:w="3900" w:type="dxa"/>
            <w:vAlign w:val="bottom"/>
          </w:tcPr>
          <w:p>
            <w:pPr>
              <w:jc w:val="center"/>
              <w:ind w:left="212"/>
              <w:spacing w:after="0"/>
              <w:rPr>
                <w:sz w:val="20"/>
                <w:szCs w:val="20"/>
                <w:color w:val="auto"/>
              </w:rPr>
            </w:pPr>
            <w:r>
              <w:rPr>
                <w:rFonts w:ascii="Courier New" w:cs="Courier New" w:eastAsia="Courier New" w:hAnsi="Courier New"/>
                <w:sz w:val="18"/>
                <w:szCs w:val="18"/>
                <w:color w:val="auto"/>
                <w:w w:val="96"/>
              </w:rPr>
              <w:t>Limited David</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Avner..................................</w:t>
            </w:r>
          </w:p>
        </w:tc>
        <w:tc>
          <w:tcPr>
            <w:tcW w:w="0" w:type="dxa"/>
            <w:vAlign w:val="bottom"/>
          </w:tcPr>
          <w:p>
            <w:pPr>
              <w:spacing w:after="0"/>
              <w:rPr>
                <w:sz w:val="1"/>
                <w:szCs w:val="1"/>
                <w:color w:val="auto"/>
              </w:rPr>
            </w:pPr>
          </w:p>
        </w:tc>
      </w:tr>
      <w:tr>
        <w:trPr>
          <w:trHeight w:val="203"/>
        </w:trPr>
        <w:tc>
          <w:tcPr>
            <w:tcW w:w="3900" w:type="dxa"/>
            <w:vAlign w:val="bottom"/>
          </w:tcPr>
          <w:p>
            <w:pPr>
              <w:jc w:val="center"/>
              <w:ind w:left="212"/>
              <w:spacing w:after="0" w:line="203" w:lineRule="exact"/>
              <w:rPr>
                <w:sz w:val="20"/>
                <w:szCs w:val="20"/>
                <w:color w:val="auto"/>
              </w:rPr>
            </w:pPr>
            <w:r>
              <w:rPr>
                <w:rFonts w:ascii="Courier New" w:cs="Courier New" w:eastAsia="Courier New" w:hAnsi="Courier New"/>
                <w:sz w:val="18"/>
                <w:szCs w:val="18"/>
                <w:color w:val="auto"/>
                <w:w w:val="97"/>
              </w:rPr>
              <w:t>52 Senior Vice President, Amdocs</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tcPr>
          <w:p>
            <w:pPr>
              <w:jc w:val="center"/>
              <w:ind w:left="212"/>
              <w:spacing w:after="0" w:line="203" w:lineRule="exact"/>
              <w:rPr>
                <w:sz w:val="20"/>
                <w:szCs w:val="20"/>
                <w:color w:val="auto"/>
              </w:rPr>
            </w:pPr>
            <w:r>
              <w:rPr>
                <w:rFonts w:ascii="Courier New" w:cs="Courier New" w:eastAsia="Courier New" w:hAnsi="Courier New"/>
                <w:sz w:val="18"/>
                <w:szCs w:val="18"/>
                <w:color w:val="auto"/>
                <w:w w:val="97"/>
              </w:rPr>
              <w:t>Management Limited Nissim</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Daunov................................</w:t>
            </w:r>
          </w:p>
        </w:tc>
        <w:tc>
          <w:tcPr>
            <w:tcW w:w="0" w:type="dxa"/>
            <w:vAlign w:val="bottom"/>
          </w:tcPr>
          <w:p>
            <w:pPr>
              <w:spacing w:after="0"/>
              <w:rPr>
                <w:sz w:val="1"/>
                <w:szCs w:val="1"/>
                <w:color w:val="auto"/>
              </w:rPr>
            </w:pPr>
          </w:p>
        </w:tc>
      </w:tr>
      <w:tr>
        <w:trPr>
          <w:trHeight w:val="203"/>
        </w:trPr>
        <w:tc>
          <w:tcPr>
            <w:tcW w:w="3900" w:type="dxa"/>
            <w:vAlign w:val="bottom"/>
          </w:tcPr>
          <w:p>
            <w:pPr>
              <w:jc w:val="center"/>
              <w:ind w:left="212"/>
              <w:spacing w:after="0" w:line="203" w:lineRule="exact"/>
              <w:rPr>
                <w:sz w:val="20"/>
                <w:szCs w:val="20"/>
                <w:color w:val="auto"/>
              </w:rPr>
            </w:pPr>
            <w:r>
              <w:rPr>
                <w:rFonts w:ascii="Courier New" w:cs="Courier New" w:eastAsia="Courier New" w:hAnsi="Courier New"/>
                <w:sz w:val="18"/>
                <w:szCs w:val="18"/>
                <w:color w:val="auto"/>
                <w:w w:val="97"/>
              </w:rPr>
              <w:t>46 Senior Vice President, Amdocs</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tcPr>
          <w:p>
            <w:pPr>
              <w:jc w:val="center"/>
              <w:ind w:left="212"/>
              <w:spacing w:after="0" w:line="203" w:lineRule="exact"/>
              <w:rPr>
                <w:sz w:val="20"/>
                <w:szCs w:val="20"/>
                <w:color w:val="auto"/>
              </w:rPr>
            </w:pPr>
            <w:r>
              <w:rPr>
                <w:rFonts w:ascii="Courier New" w:cs="Courier New" w:eastAsia="Courier New" w:hAnsi="Courier New"/>
                <w:sz w:val="18"/>
                <w:szCs w:val="18"/>
                <w:color w:val="auto"/>
                <w:w w:val="97"/>
              </w:rPr>
              <w:t>Management Limited Thomas G.</w:t>
            </w:r>
          </w:p>
        </w:tc>
        <w:tc>
          <w:tcPr>
            <w:tcW w:w="30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w w:val="83"/>
              </w:rPr>
              <w:t>43</w:t>
            </w:r>
          </w:p>
        </w:tc>
        <w:tc>
          <w:tcPr>
            <w:tcW w:w="0" w:type="dxa"/>
            <w:vAlign w:val="bottom"/>
          </w:tcPr>
          <w:p>
            <w:pPr>
              <w:spacing w:after="0"/>
              <w:rPr>
                <w:sz w:val="1"/>
                <w:szCs w:val="1"/>
                <w:color w:val="auto"/>
              </w:rPr>
            </w:pPr>
          </w:p>
        </w:tc>
      </w:tr>
      <w:tr>
        <w:trPr>
          <w:trHeight w:val="203"/>
        </w:trPr>
        <w:tc>
          <w:tcPr>
            <w:tcW w:w="3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O'Brien............................</w:t>
            </w:r>
          </w:p>
        </w:tc>
        <w:tc>
          <w:tcPr>
            <w:tcW w:w="3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Treasurer and Secretary, Amdocs Limited</w:t>
            </w:r>
          </w:p>
        </w:tc>
        <w:tc>
          <w:tcPr>
            <w:tcW w:w="0" w:type="dxa"/>
            <w:vAlign w:val="bottom"/>
          </w:tcPr>
          <w:p>
            <w:pPr>
              <w:spacing w:after="0"/>
              <w:rPr>
                <w:sz w:val="1"/>
                <w:szCs w:val="1"/>
                <w:color w:val="auto"/>
              </w:rPr>
            </w:pPr>
          </w:p>
        </w:tc>
      </w:tr>
      <w:tr>
        <w:trPr>
          <w:trHeight w:val="203"/>
        </w:trPr>
        <w:tc>
          <w:tcPr>
            <w:tcW w:w="3900" w:type="dxa"/>
            <w:vAlign w:val="bottom"/>
          </w:tcPr>
          <w:p>
            <w:pPr>
              <w:jc w:val="center"/>
              <w:ind w:left="232"/>
              <w:spacing w:after="0" w:line="203" w:lineRule="exact"/>
              <w:rPr>
                <w:sz w:val="20"/>
                <w:szCs w:val="20"/>
                <w:color w:val="auto"/>
              </w:rPr>
            </w:pPr>
            <w:r>
              <w:rPr>
                <w:rFonts w:ascii="Courier New" w:cs="Courier New" w:eastAsia="Courier New" w:hAnsi="Courier New"/>
                <w:sz w:val="18"/>
                <w:szCs w:val="18"/>
                <w:color w:val="auto"/>
                <w:w w:val="97"/>
              </w:rPr>
              <w:t>Melinos</w:t>
            </w:r>
          </w:p>
        </w:tc>
        <w:tc>
          <w:tcPr>
            <w:tcW w:w="3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35</w:t>
            </w:r>
          </w:p>
        </w:tc>
        <w:tc>
          <w:tcPr>
            <w:tcW w:w="0" w:type="dxa"/>
            <w:vAlign w:val="bottom"/>
          </w:tcPr>
          <w:p>
            <w:pPr>
              <w:spacing w:after="0"/>
              <w:rPr>
                <w:sz w:val="1"/>
                <w:szCs w:val="1"/>
                <w:color w:val="auto"/>
              </w:rPr>
            </w:pPr>
          </w:p>
        </w:tc>
      </w:tr>
      <w:tr>
        <w:trPr>
          <w:trHeight w:val="235"/>
        </w:trPr>
        <w:tc>
          <w:tcPr>
            <w:tcW w:w="3900" w:type="dxa"/>
            <w:vAlign w:val="bottom"/>
          </w:tcPr>
          <w:p>
            <w:pPr>
              <w:jc w:val="center"/>
              <w:spacing w:after="0"/>
              <w:rPr>
                <w:sz w:val="20"/>
                <w:szCs w:val="20"/>
                <w:color w:val="auto"/>
              </w:rPr>
            </w:pPr>
            <w:r>
              <w:rPr>
                <w:rFonts w:ascii="Courier New" w:cs="Courier New" w:eastAsia="Courier New" w:hAnsi="Courier New"/>
                <w:sz w:val="18"/>
                <w:szCs w:val="18"/>
                <w:color w:val="auto"/>
                <w:w w:val="97"/>
              </w:rPr>
              <w:t>Pissourios...........................</w:t>
            </w:r>
          </w:p>
        </w:tc>
        <w:tc>
          <w:tcPr>
            <w:tcW w:w="3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jc w:val="center"/>
        <w:ind w:right="5899"/>
        <w:spacing w:after="0" w:line="238" w:lineRule="auto"/>
        <w:rPr>
          <w:sz w:val="20"/>
          <w:szCs w:val="20"/>
          <w:color w:val="auto"/>
        </w:rPr>
      </w:pPr>
      <w:r>
        <w:rPr>
          <w:rFonts w:ascii="Courier New" w:cs="Courier New" w:eastAsia="Courier New" w:hAnsi="Courier New"/>
          <w:sz w:val="18"/>
          <w:szCs w:val="18"/>
          <w:color w:val="auto"/>
        </w:rPr>
        <w:t>Managing Director and General Manager,</w:t>
      </w:r>
    </w:p>
    <w:p>
      <w:pPr>
        <w:jc w:val="center"/>
        <w:ind w:right="5899"/>
        <w:spacing w:after="0"/>
        <w:rPr>
          <w:sz w:val="20"/>
          <w:szCs w:val="20"/>
          <w:color w:val="auto"/>
        </w:rPr>
      </w:pPr>
      <w:r>
        <w:rPr>
          <w:rFonts w:ascii="Courier New" w:cs="Courier New" w:eastAsia="Courier New" w:hAnsi="Courier New"/>
          <w:sz w:val="18"/>
          <w:szCs w:val="18"/>
          <w:color w:val="auto"/>
        </w:rPr>
        <w:t>Amdocs Development Limited Burt</w:t>
      </w:r>
    </w:p>
    <w:p>
      <w:pPr>
        <w:ind w:left="60"/>
        <w:spacing w:after="0" w:line="238" w:lineRule="auto"/>
        <w:rPr>
          <w:sz w:val="20"/>
          <w:szCs w:val="20"/>
          <w:color w:val="auto"/>
        </w:rPr>
      </w:pPr>
      <w:r>
        <w:rPr>
          <w:rFonts w:ascii="Courier New" w:cs="Courier New" w:eastAsia="Courier New" w:hAnsi="Courier New"/>
          <w:sz w:val="18"/>
          <w:szCs w:val="18"/>
          <w:color w:val="auto"/>
        </w:rPr>
        <w:t>Podbere.................................</w:t>
      </w:r>
    </w:p>
    <w:p>
      <w:pPr>
        <w:jc w:val="center"/>
        <w:ind w:right="5899"/>
        <w:spacing w:after="0"/>
        <w:rPr>
          <w:sz w:val="20"/>
          <w:szCs w:val="20"/>
          <w:color w:val="auto"/>
        </w:rPr>
      </w:pPr>
      <w:r>
        <w:rPr>
          <w:rFonts w:ascii="Courier New" w:cs="Courier New" w:eastAsia="Courier New" w:hAnsi="Courier New"/>
          <w:sz w:val="18"/>
          <w:szCs w:val="18"/>
          <w:color w:val="auto"/>
        </w:rPr>
        <w:t>37 General Manager, Amdocs Software</w:t>
      </w:r>
    </w:p>
    <w:p>
      <w:pPr>
        <w:jc w:val="center"/>
        <w:ind w:right="5899"/>
        <w:spacing w:after="0"/>
        <w:rPr>
          <w:sz w:val="20"/>
          <w:szCs w:val="20"/>
          <w:color w:val="auto"/>
        </w:rPr>
      </w:pPr>
      <w:r>
        <w:rPr>
          <w:rFonts w:ascii="Courier New" w:cs="Courier New" w:eastAsia="Courier New" w:hAnsi="Courier New"/>
          <w:sz w:val="18"/>
          <w:szCs w:val="18"/>
          <w:color w:val="auto"/>
        </w:rPr>
        <w:t>Systems Limited</w:t>
      </w:r>
    </w:p>
    <w:p>
      <w:pPr>
        <w:sectPr>
          <w:pgSz w:w="11900" w:h="16838" w:orient="portrait"/>
          <w:cols w:equalWidth="0" w:num="1">
            <w:col w:w="10219"/>
          </w:cols>
          <w:pgMar w:left="240" w:top="691" w:right="1440" w:bottom="0" w:gutter="0" w:footer="0" w:header="0"/>
        </w:sectPr>
      </w:pPr>
    </w:p>
    <w:bookmarkStart w:id="49" w:name="page50"/>
    <w:bookmarkEnd w:id="49"/>
    <w:p>
      <w:pPr>
        <w:ind w:left="212" w:hanging="212"/>
        <w:spacing w:after="0"/>
        <w:tabs>
          <w:tab w:leader="none" w:pos="212"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952" w:hanging="425"/>
        <w:spacing w:after="0"/>
        <w:tabs>
          <w:tab w:leader="none" w:pos="952" w:val="left"/>
        </w:tabs>
        <w:numPr>
          <w:ilvl w:val="1"/>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Member of the Executive Committee</w:t>
      </w:r>
    </w:p>
    <w:p>
      <w:pPr>
        <w:spacing w:after="0" w:line="201" w:lineRule="exact"/>
        <w:rPr>
          <w:rFonts w:ascii="Courier New" w:cs="Courier New" w:eastAsia="Courier New" w:hAnsi="Courier New"/>
          <w:sz w:val="18"/>
          <w:szCs w:val="18"/>
          <w:color w:val="auto"/>
        </w:rPr>
      </w:pPr>
    </w:p>
    <w:p>
      <w:pPr>
        <w:ind w:left="952" w:hanging="425"/>
        <w:spacing w:after="0"/>
        <w:tabs>
          <w:tab w:leader="none" w:pos="952" w:val="left"/>
        </w:tabs>
        <w:numPr>
          <w:ilvl w:val="1"/>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Member of Audit Committee</w:t>
      </w:r>
    </w:p>
    <w:p>
      <w:pPr>
        <w:spacing w:after="0" w:line="201" w:lineRule="exact"/>
        <w:rPr>
          <w:rFonts w:ascii="Courier New" w:cs="Courier New" w:eastAsia="Courier New" w:hAnsi="Courier New"/>
          <w:sz w:val="18"/>
          <w:szCs w:val="18"/>
          <w:color w:val="auto"/>
        </w:rPr>
      </w:pPr>
    </w:p>
    <w:p>
      <w:pPr>
        <w:ind w:left="4212" w:right="5479" w:hanging="3685"/>
        <w:spacing w:after="0" w:line="464" w:lineRule="auto"/>
        <w:tabs>
          <w:tab w:leader="none" w:pos="947" w:val="left"/>
        </w:tabs>
        <w:numPr>
          <w:ilvl w:val="1"/>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Member of the Compensation Committee 45</w:t>
      </w:r>
    </w:p>
    <w:p>
      <w:pPr>
        <w:sectPr>
          <w:pgSz w:w="11900" w:h="16838" w:orient="portrait"/>
          <w:cols w:equalWidth="0" w:num="1">
            <w:col w:w="10211"/>
          </w:cols>
          <w:pgMar w:left="248" w:top="515" w:right="1440" w:bottom="1440" w:gutter="0" w:footer="0" w:header="0"/>
        </w:sectPr>
      </w:pPr>
    </w:p>
    <w:bookmarkStart w:id="50" w:name="page51"/>
    <w:bookmarkEnd w:id="50"/>
    <w:p>
      <w:pPr>
        <w:ind w:right="1779" w:firstLine="527"/>
        <w:spacing w:after="0" w:line="249" w:lineRule="auto"/>
        <w:rPr>
          <w:sz w:val="20"/>
          <w:szCs w:val="20"/>
          <w:color w:val="auto"/>
        </w:rPr>
      </w:pPr>
      <w:r>
        <w:rPr>
          <w:rFonts w:ascii="Courier New" w:cs="Courier New" w:eastAsia="Courier New" w:hAnsi="Courier New"/>
          <w:sz w:val="18"/>
          <w:szCs w:val="18"/>
          <w:color w:val="auto"/>
        </w:rPr>
        <w:t>Bruce K. Anderson has been Chairman of the Board of Directors of Amdocs since September 1997 and currently holds the title of President of our holding company, Amdocs Limited. Since August 1978, he has been a general partner of Welsh, Carson, Anderson &amp; Stowe ("WCAS"), an investment firm that specializes in the acquisition of companies in the information services, communications and health care industries. Until September 2003, investment partnerships affiliated with WCAS had been among our largest shareholders. Mr. Anderson served for nine years with Automated Data Processing, Inc. ("ADP") until his resignation as Executive Vice President and a director of ADP, and President of ADP International, effective August 1978. Mr. Anderson serves on the board of Alliance Data Systems, Inc., a publicly held company, and Headstrong, Inc.</w:t>
      </w:r>
    </w:p>
    <w:p>
      <w:pPr>
        <w:spacing w:after="0" w:line="104" w:lineRule="exact"/>
        <w:rPr>
          <w:sz w:val="20"/>
          <w:szCs w:val="20"/>
          <w:color w:val="auto"/>
        </w:rPr>
      </w:pPr>
    </w:p>
    <w:p>
      <w:pPr>
        <w:ind w:right="1779" w:firstLine="527"/>
        <w:spacing w:after="0" w:line="289" w:lineRule="auto"/>
        <w:rPr>
          <w:sz w:val="20"/>
          <w:szCs w:val="20"/>
          <w:color w:val="auto"/>
        </w:rPr>
      </w:pPr>
      <w:r>
        <w:rPr>
          <w:rFonts w:ascii="Courier New" w:cs="Courier New" w:eastAsia="Courier New" w:hAnsi="Courier New"/>
          <w:sz w:val="16"/>
          <w:szCs w:val="16"/>
          <w:color w:val="auto"/>
        </w:rPr>
        <w:t>Avinoam Naor has been a director of Amdocs since January 1999 and currently holds the title of Vice Chairman of the Board of Directors. Mr. Naor was a member of the team that founded Amdocs in 1982, initially serving as a Senior Vice President. He was appointed President and Chief Executive Officer of Amdocs Management Limited in 1995 and he held that position until July 2002. In 1998 he led our initial public offering, and while he was Chief Executive Officer of Amdocs Management Limited, he directed our major acquisitions and secondary offerings. He has been involved with software development for 29 years.</w:t>
      </w:r>
    </w:p>
    <w:p>
      <w:pPr>
        <w:spacing w:after="0" w:line="77" w:lineRule="exact"/>
        <w:rPr>
          <w:sz w:val="20"/>
          <w:szCs w:val="20"/>
          <w:color w:val="auto"/>
        </w:rPr>
      </w:pPr>
    </w:p>
    <w:p>
      <w:pPr>
        <w:ind w:right="1779" w:firstLine="527"/>
        <w:spacing w:after="0" w:line="252" w:lineRule="auto"/>
        <w:rPr>
          <w:sz w:val="20"/>
          <w:szCs w:val="20"/>
          <w:color w:val="auto"/>
        </w:rPr>
      </w:pPr>
      <w:r>
        <w:rPr>
          <w:rFonts w:ascii="Courier New" w:cs="Courier New" w:eastAsia="Courier New" w:hAnsi="Courier New"/>
          <w:sz w:val="18"/>
          <w:szCs w:val="18"/>
          <w:color w:val="auto"/>
        </w:rPr>
        <w:t>Adrian Gardner has been a director of Amdocs since April 1998 and is Chairman of the Audit Committee. Mr. Gardner is the Chief Financial Officer and a director of Strakan Group, Ltd., a pharmaceuticals company based in the United Kingdom, which he joined in April 2002. Prior to joining Strakan, he was a Managing Director of Lazard LLC, based in London, where he worked with technology- and telecommunications-related companies. Prior to joining Lazard in 1989, Mr. Gardner qualified as a chartered accountant with Price Waterhouse (now PricewaterhouseCoopers). Mr. Gardner is a member of the Institute of Chartered Accountants in England &amp; Wales.</w:t>
      </w:r>
    </w:p>
    <w:p>
      <w:pPr>
        <w:spacing w:after="0" w:line="99" w:lineRule="exact"/>
        <w:rPr>
          <w:sz w:val="20"/>
          <w:szCs w:val="20"/>
          <w:color w:val="auto"/>
        </w:rPr>
      </w:pPr>
    </w:p>
    <w:p>
      <w:pPr>
        <w:ind w:right="1779" w:firstLine="527"/>
        <w:spacing w:after="0" w:line="260" w:lineRule="auto"/>
        <w:rPr>
          <w:sz w:val="20"/>
          <w:szCs w:val="20"/>
          <w:color w:val="auto"/>
        </w:rPr>
      </w:pPr>
      <w:r>
        <w:rPr>
          <w:rFonts w:ascii="Courier New" w:cs="Courier New" w:eastAsia="Courier New" w:hAnsi="Courier New"/>
          <w:sz w:val="18"/>
          <w:szCs w:val="18"/>
          <w:color w:val="auto"/>
        </w:rPr>
        <w:t>Julian A. Brodsky has been a director of Amdocs since July 2003. Mr. Brodsky has served as a director and as Vice Chairman of Comcast Corporation for more than five years. Prior to November 2002, he served as a director and Vice Chairman of Comcast Holdings for more than five years. Mr. Brodsky is also Chairman of Comcast Interactive Capital, LP, a venture fund affiliated with Comcast. He is also a director of RBB Fund, Inc.</w:t>
      </w:r>
    </w:p>
    <w:p>
      <w:pPr>
        <w:spacing w:after="0" w:line="93" w:lineRule="exact"/>
        <w:rPr>
          <w:sz w:val="20"/>
          <w:szCs w:val="20"/>
          <w:color w:val="auto"/>
        </w:rPr>
      </w:pPr>
    </w:p>
    <w:p>
      <w:pPr>
        <w:ind w:right="1779" w:firstLine="527"/>
        <w:spacing w:after="0" w:line="282" w:lineRule="auto"/>
        <w:rPr>
          <w:sz w:val="20"/>
          <w:szCs w:val="20"/>
          <w:color w:val="auto"/>
        </w:rPr>
      </w:pPr>
      <w:r>
        <w:rPr>
          <w:rFonts w:ascii="Courier New" w:cs="Courier New" w:eastAsia="Courier New" w:hAnsi="Courier New"/>
          <w:sz w:val="16"/>
          <w:szCs w:val="16"/>
          <w:color w:val="auto"/>
        </w:rPr>
        <w:t>Charles E. Foster has been a director of Amdocs since December 2001. He was Chairman of the Board of Prodigy Communications Corporation from June until November 2001. From April 1997 until June 2001, Mr. Foster served as Group President of SBC, where he was responsible, at various times, for engineering, network, centralized services, marketing and operations, information systems, procurement, treasury, international operations, wireless services, merger integration, real estate, yellow pages and cable TV operations. SBC International, Inc. ("SBCI"), a wholly owned subsidiary of SBC, is one of our largest shareholders. SBC, together with its affiliates, is a significant customer of ours. Mr. Foster is a member of the Texas Society of Professional Engineers and a director of Storage Technology Corporation, a publicly-traded company engaged in the manufacture of products for storing digital data.</w:t>
      </w:r>
    </w:p>
    <w:p>
      <w:pPr>
        <w:spacing w:after="0" w:line="78" w:lineRule="exact"/>
        <w:rPr>
          <w:sz w:val="20"/>
          <w:szCs w:val="20"/>
          <w:color w:val="auto"/>
        </w:rPr>
      </w:pPr>
    </w:p>
    <w:p>
      <w:pPr>
        <w:ind w:right="1779" w:firstLine="527"/>
        <w:spacing w:after="0" w:line="256" w:lineRule="auto"/>
        <w:rPr>
          <w:sz w:val="20"/>
          <w:szCs w:val="20"/>
          <w:color w:val="auto"/>
        </w:rPr>
      </w:pPr>
      <w:r>
        <w:rPr>
          <w:rFonts w:ascii="Courier New" w:cs="Courier New" w:eastAsia="Courier New" w:hAnsi="Courier New"/>
          <w:sz w:val="18"/>
          <w:szCs w:val="18"/>
          <w:color w:val="auto"/>
        </w:rPr>
        <w:t>James S. Kahan has been a director of Amdocs since April 1998. He has worked at SBC since 1983, and currently serves as a Senior Executive Vice President, a position he has held since 1992. SBCI, a wholly owned subsidiary of SBC, is one of our largest shareholders. SBC, together with its subsidiaries, is a significant customer of ours. Prior to joining SBC, Mr. Kahan held various positions at several telecommunications companies, including Western Electric, Bell Laboratories, South Central Bell and AT&amp;T.</w:t>
      </w:r>
    </w:p>
    <w:p>
      <w:pPr>
        <w:spacing w:after="0" w:line="98" w:lineRule="exact"/>
        <w:rPr>
          <w:sz w:val="20"/>
          <w:szCs w:val="20"/>
          <w:color w:val="auto"/>
        </w:rPr>
      </w:pPr>
    </w:p>
    <w:p>
      <w:pPr>
        <w:ind w:right="1779" w:firstLine="527"/>
        <w:spacing w:after="0" w:line="253" w:lineRule="auto"/>
        <w:rPr>
          <w:sz w:val="20"/>
          <w:szCs w:val="20"/>
          <w:color w:val="auto"/>
        </w:rPr>
      </w:pPr>
      <w:r>
        <w:rPr>
          <w:rFonts w:ascii="Courier New" w:cs="Courier New" w:eastAsia="Courier New" w:hAnsi="Courier New"/>
          <w:sz w:val="18"/>
          <w:szCs w:val="18"/>
          <w:color w:val="auto"/>
        </w:rPr>
        <w:t>John T. McLennan has been a director of Amdocs since November 1999. Since May 2000, he has served as Vice-Chair and Chief Executive Officer of Allstream (formerly AT&amp;T Canada). Mr. McLennan founded and was the President of Jenmark Consulting Inc. from 1997 until May 2000. From 1993 to 1997, Mr. McLennan served as the President and Chief Executive Officer of Bell Canada. Prior to that, he held various positions at several telecommunications companies, including BCE Mobile Communications and Cantel Inc. Mr. McLennan is also a director of Allstream, Hummingbird Ltd., a Canadian publicly held</w:t>
      </w:r>
    </w:p>
    <w:p>
      <w:pPr>
        <w:spacing w:after="0" w:line="1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46</w:t>
      </w:r>
    </w:p>
    <w:p>
      <w:pPr>
        <w:sectPr>
          <w:pgSz w:w="11900" w:h="16838" w:orient="portrait"/>
          <w:cols w:equalWidth="0" w:num="1">
            <w:col w:w="10219"/>
          </w:cols>
          <w:pgMar w:left="240" w:top="691" w:right="1440" w:bottom="1440" w:gutter="0" w:footer="0" w:header="0"/>
        </w:sectPr>
      </w:pPr>
    </w:p>
    <w:bookmarkStart w:id="51" w:name="page52"/>
    <w:bookmarkEnd w:id="51"/>
    <w:p>
      <w:pPr>
        <w:ind w:right="2319"/>
        <w:spacing w:after="0" w:line="347" w:lineRule="auto"/>
        <w:rPr>
          <w:sz w:val="20"/>
          <w:szCs w:val="20"/>
          <w:color w:val="auto"/>
        </w:rPr>
      </w:pPr>
      <w:r>
        <w:rPr>
          <w:rFonts w:ascii="Courier New" w:cs="Courier New" w:eastAsia="Courier New" w:hAnsi="Courier New"/>
          <w:sz w:val="18"/>
          <w:szCs w:val="18"/>
          <w:color w:val="auto"/>
        </w:rPr>
        <w:t>company engages in the production of enterprise management software, and of several other private software and communication companies.</w:t>
      </w:r>
    </w:p>
    <w:p>
      <w:pPr>
        <w:spacing w:after="0" w:line="18" w:lineRule="exact"/>
        <w:rPr>
          <w:sz w:val="20"/>
          <w:szCs w:val="20"/>
          <w:color w:val="auto"/>
        </w:rPr>
      </w:pPr>
    </w:p>
    <w:p>
      <w:pPr>
        <w:ind w:right="1779" w:firstLine="527"/>
        <w:spacing w:after="0" w:line="249" w:lineRule="auto"/>
        <w:rPr>
          <w:sz w:val="20"/>
          <w:szCs w:val="20"/>
          <w:color w:val="auto"/>
        </w:rPr>
      </w:pPr>
      <w:r>
        <w:rPr>
          <w:rFonts w:ascii="Courier New" w:cs="Courier New" w:eastAsia="Courier New" w:hAnsi="Courier New"/>
          <w:sz w:val="18"/>
          <w:szCs w:val="18"/>
          <w:color w:val="auto"/>
        </w:rPr>
        <w:t>Robert A. Minicucci has been a director of Amdocs since September 1997 and currently holds the title of Vice President of our holding company, Amdocs Limited. He has been a general partner of WCAS since 1993. From 1992 to 1993, Mr. Minicucci served as Senior Vice President and Chief Financial Officer of First Data Corporation, a provider of information processing and related services for credit card and other payment transactions. From 1991 to 1992, he served as Senior Vice President and Treasurer of the American Express Company. He served for twelve years with Lehman Brothers (and its predecessors) until his resignation as a Managing Director in 1991. Mr. Minicucci is also a director of Alliance Data Systems, Inc., a publicly held company, and several private companies.</w:t>
      </w:r>
    </w:p>
    <w:p>
      <w:pPr>
        <w:spacing w:after="0" w:line="104" w:lineRule="exact"/>
        <w:rPr>
          <w:sz w:val="20"/>
          <w:szCs w:val="20"/>
          <w:color w:val="auto"/>
        </w:rPr>
      </w:pPr>
    </w:p>
    <w:p>
      <w:pPr>
        <w:ind w:right="1779" w:firstLine="527"/>
        <w:spacing w:after="0" w:line="288" w:lineRule="auto"/>
        <w:rPr>
          <w:sz w:val="20"/>
          <w:szCs w:val="20"/>
          <w:color w:val="auto"/>
        </w:rPr>
      </w:pPr>
      <w:r>
        <w:rPr>
          <w:rFonts w:ascii="Courier New" w:cs="Courier New" w:eastAsia="Courier New" w:hAnsi="Courier New"/>
          <w:sz w:val="16"/>
          <w:szCs w:val="16"/>
          <w:color w:val="auto"/>
        </w:rPr>
        <w:t>Mario Segal has been a director of Amdocs since December 2001 and served as a Senior Vice President and the Chief Operating Officer of Amdocs Management Limited until July 2002. He joined Amdocs in 1984 as Senior Vice President and was a leading member of the team that developed the ADS (NG)/Family of Products directory automation systems and the Amdocs CC&amp;B Systems platform. Prior to joining Amdocs, Mr. Segal was an account manager for a major North American yellow pages publisher and prior thereto managed the computer department of a major Israeli insurance company, leading large-scale software development projects and strategic planning of automation systems.</w:t>
      </w:r>
    </w:p>
    <w:p>
      <w:pPr>
        <w:spacing w:after="0" w:line="286" w:lineRule="exact"/>
        <w:rPr>
          <w:sz w:val="20"/>
          <w:szCs w:val="20"/>
          <w:color w:val="auto"/>
        </w:rPr>
      </w:pPr>
    </w:p>
    <w:p>
      <w:pPr>
        <w:ind w:right="1779" w:firstLine="527"/>
        <w:spacing w:after="0" w:line="250" w:lineRule="auto"/>
        <w:rPr>
          <w:sz w:val="20"/>
          <w:szCs w:val="20"/>
          <w:color w:val="auto"/>
        </w:rPr>
      </w:pPr>
      <w:r>
        <w:rPr>
          <w:rFonts w:ascii="Courier New" w:cs="Courier New" w:eastAsia="Courier New" w:hAnsi="Courier New"/>
          <w:sz w:val="18"/>
          <w:szCs w:val="18"/>
          <w:color w:val="auto"/>
        </w:rPr>
        <w:t>Dov Baharav has been a director of Amdocs and the President and Chief Executive Officer of Amdocs Management Limited since July 2002. Mr. Baharav has overall coordination responsibilities for the operations and activities of our operating subsidiaries. In 1991, Mr. Baharav joined Amdocs Inc., our principal U.S. subsidiary, serving as its Vice President and then President in St. Louis, Missouri until 1995. From 1995 until July 2002, Mr. Baharav was a Senior Vice President and the Chief Financial Officer of Amdocs Management Limited. Prior to joining Amdocs, Mr. Baharav served as Chief Operating Officer of Optrotech Ltd., a publicly held company that develops, manufactures and markets electro-optical devices.</w:t>
      </w:r>
    </w:p>
    <w:p>
      <w:pPr>
        <w:spacing w:after="0" w:line="104" w:lineRule="exact"/>
        <w:rPr>
          <w:sz w:val="20"/>
          <w:szCs w:val="20"/>
          <w:color w:val="auto"/>
        </w:rPr>
      </w:pPr>
    </w:p>
    <w:p>
      <w:pPr>
        <w:ind w:right="1779" w:firstLine="527"/>
        <w:spacing w:after="0" w:line="249" w:lineRule="auto"/>
        <w:rPr>
          <w:sz w:val="20"/>
          <w:szCs w:val="20"/>
          <w:color w:val="auto"/>
        </w:rPr>
      </w:pPr>
      <w:r>
        <w:rPr>
          <w:rFonts w:ascii="Courier New" w:cs="Courier New" w:eastAsia="Courier New" w:hAnsi="Courier New"/>
          <w:sz w:val="18"/>
          <w:szCs w:val="18"/>
          <w:color w:val="auto"/>
        </w:rPr>
        <w:t>Eli Gelman has been a director of Amdocs since July 2002 and is the Executive Vice President of Amdocs Management Limited, where he has responsibility for sales, strategic alliances and corporate and business development. He has more than 26 years of experience in the software industry, including more than 15 years with Amdocs. Prior to his current position, he was a division president, where he headed our United States sales and marketing operations and helped spearhead our entry into the CC&amp;B Systems market. Before that, Mr. Gelman was an account manager for our major European and North American installations, and has led several major software development projects. Before joining Amdocs, Mr. Gelman was involved in the development of real-time software systems for communications networks.</w:t>
      </w:r>
    </w:p>
    <w:p>
      <w:pPr>
        <w:spacing w:after="0" w:line="104" w:lineRule="exact"/>
        <w:rPr>
          <w:sz w:val="20"/>
          <w:szCs w:val="20"/>
          <w:color w:val="auto"/>
        </w:rPr>
      </w:pPr>
    </w:p>
    <w:p>
      <w:pPr>
        <w:ind w:right="1779" w:firstLine="527"/>
        <w:spacing w:after="0" w:line="283" w:lineRule="auto"/>
        <w:rPr>
          <w:sz w:val="20"/>
          <w:szCs w:val="20"/>
          <w:color w:val="auto"/>
        </w:rPr>
      </w:pPr>
      <w:r>
        <w:rPr>
          <w:rFonts w:ascii="Courier New" w:cs="Courier New" w:eastAsia="Courier New" w:hAnsi="Courier New"/>
          <w:sz w:val="16"/>
          <w:szCs w:val="16"/>
          <w:color w:val="auto"/>
        </w:rPr>
        <w:t>Nehemia Lemelbaum has been a director of Amdocs since December 2001 and is a Senior Vice President of Amdocs Management Limited. He joined Amdocs in 1985, with initial responsibility for U.S. operations. Mr. Lemelbaum led our development of graphic products for the yellow pages industry and later led our development of CC&amp;B Systems, as well as our penetration into the CC&amp;B Systems market. Prior to joining Amdocs, he served for nine years with Contahal Ltd., a leading Israeli software company, first as a senior consultant, and later as Managing Director. From 1967 to 1976, Mr. Lemelbaum was employed by the Ministry of Communications of Israel (the organization that predated Bezeq, the Israel Telecommunication Corp. Ltd.), with responsibility for computer technology in the area of business data processing.</w:t>
      </w:r>
    </w:p>
    <w:p>
      <w:pPr>
        <w:spacing w:after="0" w:line="294" w:lineRule="exact"/>
        <w:rPr>
          <w:sz w:val="20"/>
          <w:szCs w:val="20"/>
          <w:color w:val="auto"/>
        </w:rPr>
      </w:pPr>
    </w:p>
    <w:p>
      <w:pPr>
        <w:ind w:right="1779" w:firstLine="527"/>
        <w:spacing w:after="0" w:line="250" w:lineRule="auto"/>
        <w:rPr>
          <w:sz w:val="20"/>
          <w:szCs w:val="20"/>
          <w:color w:val="auto"/>
        </w:rPr>
      </w:pPr>
      <w:r>
        <w:rPr>
          <w:rFonts w:ascii="Courier New" w:cs="Courier New" w:eastAsia="Courier New" w:hAnsi="Courier New"/>
          <w:sz w:val="18"/>
          <w:szCs w:val="18"/>
          <w:color w:val="auto"/>
        </w:rPr>
        <w:t>Ron Moskovitz is a Senior Vice President and the Chief Financial Officer of Amdocs Management Limited, and has overall coordination responsibility for the financial reporting of our operating subsidiaries. Mr. Moskovitz joined Amdocs in 1998 and served until July 2002 as Vice President of Finance. He has been responsible for the Company's financial organization, and was involved in Amdocs' initial public offering, merger and acquisition activities and various other financial operations. Prior to joining Amdocs, Mr. Moskovitz served in various senior financial positions with Tower Semiconductor, a publicly held semiconductor manufacturer. Mr. Moskovitz is a Certified Public Accountant (Isr).</w:t>
      </w:r>
    </w:p>
    <w:p>
      <w:pPr>
        <w:spacing w:after="0" w:line="1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47</w:t>
      </w:r>
    </w:p>
    <w:p>
      <w:pPr>
        <w:sectPr>
          <w:pgSz w:w="11900" w:h="16838" w:orient="portrait"/>
          <w:cols w:equalWidth="0" w:num="1">
            <w:col w:w="10219"/>
          </w:cols>
          <w:pgMar w:left="240" w:top="691" w:right="1440" w:bottom="996" w:gutter="0" w:footer="0" w:header="0"/>
        </w:sectPr>
      </w:pPr>
    </w:p>
    <w:bookmarkStart w:id="52" w:name="page53"/>
    <w:bookmarkEnd w:id="52"/>
    <w:p>
      <w:pPr>
        <w:ind w:right="1779" w:firstLine="527"/>
        <w:spacing w:after="0" w:line="250" w:lineRule="auto"/>
        <w:rPr>
          <w:sz w:val="20"/>
          <w:szCs w:val="20"/>
          <w:color w:val="auto"/>
        </w:rPr>
      </w:pPr>
      <w:r>
        <w:rPr>
          <w:rFonts w:ascii="Courier New" w:cs="Courier New" w:eastAsia="Courier New" w:hAnsi="Courier New"/>
          <w:sz w:val="18"/>
          <w:szCs w:val="18"/>
          <w:color w:val="auto"/>
        </w:rPr>
        <w:t>David Avner is a Senior Vice President of Amdocs Management Limited, where he has responsibility for corporate operations. Mr. Avner has had more than 20 years of experience in the software industry, including the four years he has been with Amdocs. Immediately prior to his current position, Mr. Avner was a group president, in which capacity he headed our European and Latin America operations. Before that, Mr. Avner was a vice president in charge of a number of major European and North American installations. Prior to joining Amdocs, Mr. Avner was the General Manager of Strauss Dairy (now part of the Strauss-Elite Group), a leading producer of dairy and other food products in Israel, and prior to that was its Chief Information Officer.</w:t>
      </w:r>
    </w:p>
    <w:p>
      <w:pPr>
        <w:spacing w:after="0" w:line="104" w:lineRule="exact"/>
        <w:rPr>
          <w:sz w:val="20"/>
          <w:szCs w:val="20"/>
          <w:color w:val="auto"/>
        </w:rPr>
      </w:pPr>
    </w:p>
    <w:p>
      <w:pPr>
        <w:ind w:right="1779" w:firstLine="527"/>
        <w:spacing w:after="0" w:line="256" w:lineRule="auto"/>
        <w:rPr>
          <w:sz w:val="20"/>
          <w:szCs w:val="20"/>
          <w:color w:val="auto"/>
        </w:rPr>
      </w:pPr>
      <w:r>
        <w:rPr>
          <w:rFonts w:ascii="Courier New" w:cs="Courier New" w:eastAsia="Courier New" w:hAnsi="Courier New"/>
          <w:sz w:val="18"/>
          <w:szCs w:val="18"/>
          <w:color w:val="auto"/>
        </w:rPr>
        <w:t>Nissim Daunov is a Senior Vice President of Amdocs Management Limited, and is responsible for new initiatives in financial services. For the past 23 years, Mr. Daunov has been involved in design, development and implementation of large-scale data processing systems, handling large data volumes over distributed networks. In the last year, Mr. Daunov was responsible for our product development and marketing organizations. Mr. Daunov joined Amdocs in 1986.</w:t>
      </w:r>
    </w:p>
    <w:p>
      <w:pPr>
        <w:spacing w:after="0" w:line="98" w:lineRule="exact"/>
        <w:rPr>
          <w:sz w:val="20"/>
          <w:szCs w:val="20"/>
          <w:color w:val="auto"/>
        </w:rPr>
      </w:pPr>
    </w:p>
    <w:p>
      <w:pPr>
        <w:ind w:right="1779" w:firstLine="527"/>
        <w:spacing w:after="0" w:line="293" w:lineRule="auto"/>
        <w:rPr>
          <w:sz w:val="20"/>
          <w:szCs w:val="20"/>
          <w:color w:val="auto"/>
        </w:rPr>
      </w:pPr>
      <w:r>
        <w:rPr>
          <w:rFonts w:ascii="Courier New" w:cs="Courier New" w:eastAsia="Courier New" w:hAnsi="Courier New"/>
          <w:sz w:val="16"/>
          <w:szCs w:val="16"/>
          <w:color w:val="auto"/>
        </w:rPr>
        <w:t>Thomas G. O'Brien is Treasurer and Secretary of Amdocs Limited and since July 1995 has held other financial management positions within Amdocs. From July 1993 to July 1995, Mr. O'Brien was Controller of Big River Minerals Corporation, a diversified natural resources company. From 1989 to 1993, Mr. O'Brien was the Assistant Controller for Big River Minerals Corporation. From 1983 to 1989, Mr. O'Brien was with Arthur Young and Company (now Ernst &amp; Young LLP). Mr. O'Brien is a member of the American Institute of Certified Public Accountants.</w:t>
      </w:r>
    </w:p>
    <w:p>
      <w:pPr>
        <w:spacing w:after="0" w:line="72" w:lineRule="exact"/>
        <w:rPr>
          <w:sz w:val="20"/>
          <w:szCs w:val="20"/>
          <w:color w:val="auto"/>
        </w:rPr>
      </w:pPr>
    </w:p>
    <w:p>
      <w:pPr>
        <w:ind w:right="1779" w:firstLine="527"/>
        <w:spacing w:after="0" w:line="253" w:lineRule="auto"/>
        <w:rPr>
          <w:sz w:val="20"/>
          <w:szCs w:val="20"/>
          <w:color w:val="auto"/>
        </w:rPr>
      </w:pPr>
      <w:r>
        <w:rPr>
          <w:rFonts w:ascii="Courier New" w:cs="Courier New" w:eastAsia="Courier New" w:hAnsi="Courier New"/>
          <w:sz w:val="18"/>
          <w:szCs w:val="18"/>
          <w:color w:val="auto"/>
        </w:rPr>
        <w:t>Melinos Pissourios is Managing Director and General Manager of Amdocs Development Limited. Mr. Pissourios, who joined Amdocs in April 1998, is also the Financial Controller of Amdocs Development Limited in Cyprus. Prior to joining Amdocs, Mr. Pissourios was the Group Financial Controller at AEC Holland Group. He also worked for KPMG Peat Marwick for four years. Mr. Pissourios is a member of the Institute of Chartered Accountants of England &amp; Wales and of the Cyprus Institute of Certified Public Accountants and he is a registered auditor in Cyprus.</w:t>
      </w:r>
    </w:p>
    <w:p>
      <w:pPr>
        <w:spacing w:after="0" w:line="104" w:lineRule="exact"/>
        <w:rPr>
          <w:sz w:val="20"/>
          <w:szCs w:val="20"/>
          <w:color w:val="auto"/>
        </w:rPr>
      </w:pPr>
    </w:p>
    <w:p>
      <w:pPr>
        <w:ind w:right="1779" w:firstLine="527"/>
        <w:spacing w:after="0" w:line="298" w:lineRule="auto"/>
        <w:rPr>
          <w:sz w:val="20"/>
          <w:szCs w:val="20"/>
          <w:color w:val="auto"/>
        </w:rPr>
      </w:pPr>
      <w:r>
        <w:rPr>
          <w:rFonts w:ascii="Courier New" w:cs="Courier New" w:eastAsia="Courier New" w:hAnsi="Courier New"/>
          <w:sz w:val="16"/>
          <w:szCs w:val="16"/>
          <w:color w:val="auto"/>
        </w:rPr>
        <w:t>Burt Podbere has been the General Manager of Amdocs Software Systems Limited in Ireland since October 2002. He joined the Amdocs group in May 2001 as the financial director of Amdocs Canada Inc. Prior to joining Amdocs, Mr. Podbere was the Canadian Group Controller at US Filter Corporation, part of the Vivendi group of companies. He also worked for Ernst &amp; Young LLP for four years. Mr. Podbere is a member of the Canadian Institute of Chartered Accountants.</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COMPENSATION</w:t>
      </w:r>
    </w:p>
    <w:p>
      <w:pPr>
        <w:spacing w:after="0" w:line="201" w:lineRule="exact"/>
        <w:rPr>
          <w:sz w:val="20"/>
          <w:szCs w:val="20"/>
          <w:color w:val="auto"/>
        </w:rPr>
      </w:pPr>
    </w:p>
    <w:p>
      <w:pPr>
        <w:ind w:right="1779" w:firstLine="527"/>
        <w:spacing w:after="0" w:line="245" w:lineRule="auto"/>
        <w:rPr>
          <w:sz w:val="20"/>
          <w:szCs w:val="20"/>
          <w:color w:val="auto"/>
        </w:rPr>
      </w:pPr>
      <w:r>
        <w:rPr>
          <w:rFonts w:ascii="Courier New" w:cs="Courier New" w:eastAsia="Courier New" w:hAnsi="Courier New"/>
          <w:sz w:val="18"/>
          <w:szCs w:val="18"/>
          <w:color w:val="auto"/>
        </w:rPr>
        <w:t>Our directors who are not employees of the Company ("Non-Employee Directors") receive compensation for their services as directors in the form of cash and options to purchase ordinary shares. Our compensation policy, as modified as of October 1, 2003, provides that each Non-Employee Director receives an annual cash payment of $30,000. Each of our Non-Employee Directors also receives an initial option grant for the purchase of 10,000 ordinary shares. Thereafter, Non-Employee Directors receive an annual option grant for the purchase of 5,000 ordinary shares, except for Non-Employee Directors who are members of our Audit Committee, who receive an annual option grant for the purchase of 6,000 ordinary shares. All option grants to our Non-Employee Directors vest as to one-quarter of the shares immediately, with the remainder vesting annually in three equal installments. Each Non-Employee Director receives $1,500 per meeting of the Board of Directors and $1,000 per meeting of a committee of the Board of Directors, except for Non-Employee Directors who are members of our Audit Committee, who receive $2,000 per meeting of the Audit Committee. We reimburse all of our directors for their reasonable travel expenses incurred in connection with attending Board or committee meetings.</w:t>
      </w:r>
    </w:p>
    <w:p>
      <w:pPr>
        <w:spacing w:after="0" w:line="108" w:lineRule="exact"/>
        <w:rPr>
          <w:sz w:val="20"/>
          <w:szCs w:val="20"/>
          <w:color w:val="auto"/>
        </w:rPr>
      </w:pPr>
    </w:p>
    <w:p>
      <w:pPr>
        <w:ind w:right="1779" w:firstLine="527"/>
        <w:spacing w:after="0" w:line="243" w:lineRule="auto"/>
        <w:rPr>
          <w:sz w:val="20"/>
          <w:szCs w:val="20"/>
          <w:color w:val="auto"/>
        </w:rPr>
      </w:pPr>
      <w:r>
        <w:rPr>
          <w:rFonts w:ascii="Courier New" w:cs="Courier New" w:eastAsia="Courier New" w:hAnsi="Courier New"/>
          <w:sz w:val="18"/>
          <w:szCs w:val="18"/>
          <w:color w:val="auto"/>
        </w:rPr>
        <w:t>A total of 20 persons who served either as directors of Amdocs or members of its administrative, supervisory or management bodies during all or part of fiscal 2003 received remuneration from Amdocs. The aggregate remuneration paid by us to such persons was approximately $9.7 million, which includes amounts set aside or accrued to provide pension, retirement or similar benefits, but does not include amounts expended by us for automobiles made available to such persons, expenses (including business</w:t>
      </w:r>
    </w:p>
    <w:p>
      <w:pPr>
        <w:spacing w:after="0" w:line="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48</w:t>
      </w:r>
    </w:p>
    <w:p>
      <w:pPr>
        <w:sectPr>
          <w:pgSz w:w="11900" w:h="16838" w:orient="portrait"/>
          <w:cols w:equalWidth="0" w:num="1">
            <w:col w:w="10219"/>
          </w:cols>
          <w:pgMar w:left="240" w:top="691" w:right="1440" w:bottom="1440" w:gutter="0" w:footer="0" w:header="0"/>
        </w:sectPr>
      </w:pPr>
    </w:p>
    <w:bookmarkStart w:id="53" w:name="page54"/>
    <w:bookmarkEnd w:id="53"/>
    <w:p>
      <w:pPr>
        <w:ind w:right="1999"/>
        <w:spacing w:after="0" w:line="292" w:lineRule="auto"/>
        <w:rPr>
          <w:sz w:val="20"/>
          <w:szCs w:val="20"/>
          <w:color w:val="auto"/>
        </w:rPr>
      </w:pPr>
      <w:r>
        <w:rPr>
          <w:rFonts w:ascii="Courier New" w:cs="Courier New" w:eastAsia="Courier New" w:hAnsi="Courier New"/>
          <w:sz w:val="18"/>
          <w:szCs w:val="18"/>
          <w:color w:val="auto"/>
        </w:rPr>
        <w:t>travel, professional and business association dues) or other fringe benefits. Included in this amount is remuneration to three former executive officers and one former director for the applicable portions of fiscal 2003.</w:t>
      </w:r>
    </w:p>
    <w:p>
      <w:pPr>
        <w:spacing w:after="0" w:line="66" w:lineRule="exact"/>
        <w:rPr>
          <w:sz w:val="20"/>
          <w:szCs w:val="20"/>
          <w:color w:val="auto"/>
        </w:rPr>
      </w:pPr>
    </w:p>
    <w:p>
      <w:pPr>
        <w:ind w:right="1879" w:firstLine="527"/>
        <w:spacing w:after="0" w:line="252" w:lineRule="auto"/>
        <w:rPr>
          <w:sz w:val="20"/>
          <w:szCs w:val="20"/>
          <w:color w:val="auto"/>
        </w:rPr>
      </w:pPr>
      <w:r>
        <w:rPr>
          <w:rFonts w:ascii="Courier New" w:cs="Courier New" w:eastAsia="Courier New" w:hAnsi="Courier New"/>
          <w:sz w:val="18"/>
          <w:szCs w:val="18"/>
          <w:color w:val="auto"/>
        </w:rPr>
        <w:t>During fiscal 2003, we granted options to purchase ordinary shares to certain of our Non-Employee Directors, but did not make any option grants to members of our administrative, supervisory or management bodies. We granted to five Non-Employee Directors options to purchase an aggregate of 51,000 ordinary shares at a weighted average price of $10.13 per share, with vesting over three year terms. To recognize significant contributions to Amdocs over the years, we also granted to three of our Non-Employee Directors options to purchase an aggregate of 159,000 ordinary shares at a weighted average exercise price of $8.83 per share, with vesting over three year terms.</w:t>
      </w:r>
    </w:p>
    <w:p>
      <w:pPr>
        <w:spacing w:after="0" w:line="99" w:lineRule="exact"/>
        <w:rPr>
          <w:sz w:val="20"/>
          <w:szCs w:val="20"/>
          <w:color w:val="auto"/>
        </w:rPr>
      </w:pPr>
    </w:p>
    <w:p>
      <w:pPr>
        <w:jc w:val="both"/>
        <w:ind w:right="2099" w:firstLine="527"/>
        <w:spacing w:after="0" w:line="292" w:lineRule="auto"/>
        <w:rPr>
          <w:sz w:val="20"/>
          <w:szCs w:val="20"/>
          <w:color w:val="auto"/>
        </w:rPr>
      </w:pPr>
      <w:r>
        <w:rPr>
          <w:rFonts w:ascii="Courier New" w:cs="Courier New" w:eastAsia="Courier New" w:hAnsi="Courier New"/>
          <w:sz w:val="18"/>
          <w:szCs w:val="18"/>
          <w:color w:val="auto"/>
        </w:rPr>
        <w:t>All options were granted pursuant to our 1998 Stock Option and Incentive Plan, as amended. See discussion below -- "Share Ownership -- Employee Stock Option and Incentive Plan".</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BOARD PRACTICES</w:t>
      </w:r>
    </w:p>
    <w:p>
      <w:pPr>
        <w:spacing w:after="0" w:line="201" w:lineRule="exact"/>
        <w:rPr>
          <w:sz w:val="20"/>
          <w:szCs w:val="20"/>
          <w:color w:val="auto"/>
        </w:rPr>
      </w:pPr>
    </w:p>
    <w:p>
      <w:pPr>
        <w:ind w:right="1779" w:firstLine="527"/>
        <w:spacing w:after="0" w:line="252" w:lineRule="auto"/>
        <w:rPr>
          <w:sz w:val="20"/>
          <w:szCs w:val="20"/>
          <w:color w:val="auto"/>
        </w:rPr>
      </w:pPr>
      <w:r>
        <w:rPr>
          <w:rFonts w:ascii="Courier New" w:cs="Courier New" w:eastAsia="Courier New" w:hAnsi="Courier New"/>
          <w:sz w:val="18"/>
          <w:szCs w:val="18"/>
          <w:color w:val="auto"/>
        </w:rPr>
        <w:t>Our entire Board of Directors is comprised of up to 13 directors. Eleven directors were elected to our Board of Directors at our annual meeting of shareholders on January 23, 2003 and one director was appointed to our Board of Directors effective July 2003. As permitted by our Articles of Association, the Board of Directors may fill the one remaining vacancy at any time. All directors hold office until the next annual meeting of our shareholders, which generally is in January of each calendar year, or until their respective successors are duly elected and qualified or their positions are earlier vacated by resignation or otherwise.</w:t>
      </w:r>
    </w:p>
    <w:p>
      <w:pPr>
        <w:spacing w:after="0" w:line="99" w:lineRule="exact"/>
        <w:rPr>
          <w:sz w:val="20"/>
          <w:szCs w:val="20"/>
          <w:color w:val="auto"/>
        </w:rPr>
      </w:pPr>
    </w:p>
    <w:p>
      <w:pPr>
        <w:ind w:right="1879" w:firstLine="527"/>
        <w:spacing w:after="0" w:line="252" w:lineRule="auto"/>
        <w:rPr>
          <w:sz w:val="20"/>
          <w:szCs w:val="20"/>
          <w:color w:val="auto"/>
        </w:rPr>
      </w:pPr>
      <w:r>
        <w:rPr>
          <w:rFonts w:ascii="Courier New" w:cs="Courier New" w:eastAsia="Courier New" w:hAnsi="Courier New"/>
          <w:sz w:val="18"/>
          <w:szCs w:val="18"/>
          <w:color w:val="auto"/>
        </w:rPr>
        <w:t>Executive officers of Amdocs are elected by the Board of Directors on an annual basis and serve until the next annual meeting of the Board of Directors or until their respective successors have been duly elected or qualified or their positions are earlier vacated by resignation or otherwise. The executive officers of each of the Amdocs subsidiaries are elected by the board of directors of such subsidiary on an annual basis and serve until the next annual meeting of such board of directors or until their respective successors have been duly elected or qualified or their positions are earlier vacated by resignation or otherwise.</w:t>
      </w:r>
    </w:p>
    <w:p>
      <w:pPr>
        <w:spacing w:after="0" w:line="99" w:lineRule="exact"/>
        <w:rPr>
          <w:sz w:val="20"/>
          <w:szCs w:val="20"/>
          <w:color w:val="auto"/>
        </w:rPr>
      </w:pPr>
    </w:p>
    <w:p>
      <w:pPr>
        <w:ind w:right="1879" w:firstLine="527"/>
        <w:spacing w:after="0" w:line="265" w:lineRule="auto"/>
        <w:rPr>
          <w:sz w:val="20"/>
          <w:szCs w:val="20"/>
          <w:color w:val="auto"/>
        </w:rPr>
      </w:pPr>
      <w:r>
        <w:rPr>
          <w:rFonts w:ascii="Courier New" w:cs="Courier New" w:eastAsia="Courier New" w:hAnsi="Courier New"/>
          <w:sz w:val="18"/>
          <w:szCs w:val="18"/>
          <w:color w:val="auto"/>
        </w:rPr>
        <w:t>Other than the employment agreements between us and our Chief Executive Officer and Executive Vice President which provide for immediate cash severance upon termination of employment, there are currently no service contracts in effect between us and any of our directors providing for immediate cash severance upon termination of their employment.</w:t>
      </w:r>
    </w:p>
    <w:p>
      <w:pPr>
        <w:spacing w:after="0" w:line="9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BOARD COMMITTEES</w:t>
      </w:r>
    </w:p>
    <w:p>
      <w:pPr>
        <w:spacing w:after="0" w:line="201" w:lineRule="exact"/>
        <w:rPr>
          <w:sz w:val="20"/>
          <w:szCs w:val="20"/>
          <w:color w:val="auto"/>
        </w:rPr>
      </w:pPr>
    </w:p>
    <w:p>
      <w:pPr>
        <w:ind w:right="1779" w:firstLine="527"/>
        <w:spacing w:after="0" w:line="347" w:lineRule="auto"/>
        <w:rPr>
          <w:sz w:val="20"/>
          <w:szCs w:val="20"/>
          <w:color w:val="auto"/>
        </w:rPr>
      </w:pPr>
      <w:r>
        <w:rPr>
          <w:rFonts w:ascii="Courier New" w:cs="Courier New" w:eastAsia="Courier New" w:hAnsi="Courier New"/>
          <w:sz w:val="18"/>
          <w:szCs w:val="18"/>
          <w:color w:val="auto"/>
        </w:rPr>
        <w:t>Our Board of Directors has formed three committees set forth below. Members of each committee are appointed by the Board of Directors.</w:t>
      </w:r>
    </w:p>
    <w:p>
      <w:pPr>
        <w:spacing w:after="0" w:line="18" w:lineRule="exact"/>
        <w:rPr>
          <w:sz w:val="20"/>
          <w:szCs w:val="20"/>
          <w:color w:val="auto"/>
        </w:rPr>
      </w:pPr>
    </w:p>
    <w:p>
      <w:pPr>
        <w:ind w:right="1779" w:firstLine="527"/>
        <w:spacing w:after="0" w:line="274" w:lineRule="auto"/>
        <w:rPr>
          <w:sz w:val="20"/>
          <w:szCs w:val="20"/>
          <w:color w:val="auto"/>
        </w:rPr>
      </w:pPr>
      <w:r>
        <w:rPr>
          <w:rFonts w:ascii="Courier New" w:cs="Courier New" w:eastAsia="Courier New" w:hAnsi="Courier New"/>
          <w:sz w:val="18"/>
          <w:szCs w:val="18"/>
          <w:color w:val="auto"/>
        </w:rPr>
        <w:t>The Executive Committee may act from time to time instead of the full Board of Directors and has such responsibilities as may be delegated to it by the Board of Directors. The current members of our Executive Committee are Messrs. Anderson (Chair), Naor, Baharav, Kahan and Minicucci.</w:t>
      </w:r>
    </w:p>
    <w:p>
      <w:pPr>
        <w:spacing w:after="0" w:line="82" w:lineRule="exact"/>
        <w:rPr>
          <w:sz w:val="20"/>
          <w:szCs w:val="20"/>
          <w:color w:val="auto"/>
        </w:rPr>
      </w:pPr>
    </w:p>
    <w:p>
      <w:pPr>
        <w:ind w:right="1879" w:firstLine="527"/>
        <w:spacing w:after="0" w:line="256" w:lineRule="auto"/>
        <w:rPr>
          <w:sz w:val="20"/>
          <w:szCs w:val="20"/>
          <w:color w:val="auto"/>
        </w:rPr>
      </w:pPr>
      <w:r>
        <w:rPr>
          <w:rFonts w:ascii="Courier New" w:cs="Courier New" w:eastAsia="Courier New" w:hAnsi="Courier New"/>
          <w:sz w:val="18"/>
          <w:szCs w:val="18"/>
          <w:color w:val="auto"/>
        </w:rPr>
        <w:t>The Audit Committee of the Board of Directors reviews, acts on and reports to the Board of Directors with respect to various auditing and accounting matters, including the selection of our auditors, the scope of the annual audits, fees to be paid to the auditors, the performance of our independent auditors and our accounting practices. The current members of our Audit Committee are Messrs. Gardner (Chair), McLennan and Foster, all of whom are independent directors, as required by the rules of the NYSE.</w:t>
      </w:r>
    </w:p>
    <w:p>
      <w:pPr>
        <w:spacing w:after="0" w:line="98" w:lineRule="exact"/>
        <w:rPr>
          <w:sz w:val="20"/>
          <w:szCs w:val="20"/>
          <w:color w:val="auto"/>
        </w:rPr>
      </w:pPr>
    </w:p>
    <w:p>
      <w:pPr>
        <w:ind w:right="1999" w:firstLine="527"/>
        <w:spacing w:after="0" w:line="256" w:lineRule="auto"/>
        <w:rPr>
          <w:sz w:val="20"/>
          <w:szCs w:val="20"/>
          <w:color w:val="auto"/>
        </w:rPr>
      </w:pPr>
      <w:r>
        <w:rPr>
          <w:rFonts w:ascii="Courier New" w:cs="Courier New" w:eastAsia="Courier New" w:hAnsi="Courier New"/>
          <w:sz w:val="18"/>
          <w:szCs w:val="18"/>
          <w:color w:val="auto"/>
        </w:rPr>
        <w:t>The Compensation Committee of the Board of Directors determines the salaries and incentive compensation of the officers of Amdocs and our subsidiaries and provides recommendations for the salaries and incentive compensation of other employees and certain consultants. The Compensation Committee also administers various compensation, stock and benefit plans of Amdocs. The current members of our Compensation Committee are Messrs. Anderson (Chair), Naor, Baharav, Kahan and Minicucci. None of</w:t>
      </w:r>
    </w:p>
    <w:p>
      <w:pPr>
        <w:spacing w:after="0" w:line="9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49</w:t>
      </w:r>
    </w:p>
    <w:p>
      <w:pPr>
        <w:sectPr>
          <w:pgSz w:w="11900" w:h="16838" w:orient="portrait"/>
          <w:cols w:equalWidth="0" w:num="1">
            <w:col w:w="10219"/>
          </w:cols>
          <w:pgMar w:left="240" w:top="691" w:right="1440" w:bottom="793" w:gutter="0" w:footer="0" w:header="0"/>
        </w:sectPr>
      </w:pPr>
    </w:p>
    <w:bookmarkStart w:id="54" w:name="page55"/>
    <w:bookmarkEnd w:id="54"/>
    <w:p>
      <w:pPr>
        <w:ind w:right="1779"/>
        <w:spacing w:after="0" w:line="292" w:lineRule="auto"/>
        <w:rPr>
          <w:sz w:val="20"/>
          <w:szCs w:val="20"/>
          <w:color w:val="auto"/>
        </w:rPr>
      </w:pPr>
      <w:r>
        <w:rPr>
          <w:rFonts w:ascii="Courier New" w:cs="Courier New" w:eastAsia="Courier New" w:hAnsi="Courier New"/>
          <w:sz w:val="18"/>
          <w:szCs w:val="18"/>
          <w:color w:val="auto"/>
        </w:rPr>
        <w:t>the members of the Committee was an employee of ours at any time during fiscal 2003, with the exception of Mr. Baharav. Mr. Baharav does not participate in any discussions relating to his own compensation.</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EMPLOYEES</w:t>
      </w:r>
    </w:p>
    <w:p>
      <w:pPr>
        <w:spacing w:after="0" w:line="201" w:lineRule="exact"/>
        <w:rPr>
          <w:sz w:val="20"/>
          <w:szCs w:val="20"/>
          <w:color w:val="auto"/>
        </w:rPr>
      </w:pPr>
    </w:p>
    <w:p>
      <w:pPr>
        <w:jc w:val="center"/>
        <w:ind w:right="1999"/>
        <w:spacing w:after="0" w:line="402" w:lineRule="auto"/>
        <w:rPr>
          <w:sz w:val="20"/>
          <w:szCs w:val="20"/>
          <w:color w:val="auto"/>
        </w:rPr>
      </w:pPr>
      <w:r>
        <w:rPr>
          <w:rFonts w:ascii="Courier New" w:cs="Courier New" w:eastAsia="Courier New" w:hAnsi="Courier New"/>
          <w:sz w:val="16"/>
          <w:szCs w:val="16"/>
          <w:color w:val="auto"/>
        </w:rPr>
        <w:t>The following table presents the approximate number of our full-time employees as of each date indicated, by function and by geographical location:</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AS OF SEPTEMBER 30, ---------------------- 2003 2002</w:t>
      </w:r>
    </w:p>
    <w:tbl>
      <w:tblPr>
        <w:tblLayout w:type="fixed"/>
        <w:tblInd w:w="0" w:type="dxa"/>
        <w:tblCellMar>
          <w:top w:w="0" w:type="dxa"/>
          <w:left w:w="0" w:type="dxa"/>
          <w:bottom w:w="0" w:type="dxa"/>
          <w:right w:w="0" w:type="dxa"/>
        </w:tblCellMar>
      </w:tblPr>
      <w:tr>
        <w:trPr>
          <w:trHeight w:val="201"/>
        </w:trPr>
        <w:tc>
          <w:tcPr>
            <w:tcW w:w="1580" w:type="dxa"/>
            <w:vAlign w:val="bottom"/>
          </w:tcPr>
          <w:p>
            <w:pPr>
              <w:jc w:val="right"/>
              <w:spacing w:after="0" w:line="201" w:lineRule="exact"/>
              <w:rPr>
                <w:sz w:val="20"/>
                <w:szCs w:val="20"/>
                <w:color w:val="auto"/>
              </w:rPr>
            </w:pPr>
            <w:r>
              <w:rPr>
                <w:rFonts w:ascii="Courier New" w:cs="Courier New" w:eastAsia="Courier New" w:hAnsi="Courier New"/>
                <w:sz w:val="18"/>
                <w:szCs w:val="18"/>
                <w:color w:val="auto"/>
              </w:rPr>
              <w:t>2001 ------</w:t>
            </w:r>
          </w:p>
        </w:tc>
        <w:tc>
          <w:tcPr>
            <w:tcW w:w="4120" w:type="dxa"/>
            <w:vAlign w:val="bottom"/>
            <w:gridSpan w:val="2"/>
          </w:tcPr>
          <w:p>
            <w:pPr>
              <w:jc w:val="right"/>
              <w:ind w:right="172"/>
              <w:spacing w:after="0" w:line="201" w:lineRule="exact"/>
              <w:rPr>
                <w:sz w:val="20"/>
                <w:szCs w:val="20"/>
                <w:color w:val="auto"/>
              </w:rPr>
            </w:pPr>
            <w:r>
              <w:rPr>
                <w:rFonts w:ascii="Courier New" w:cs="Courier New" w:eastAsia="Courier New" w:hAnsi="Courier New"/>
                <w:sz w:val="18"/>
                <w:szCs w:val="18"/>
                <w:color w:val="auto"/>
                <w:w w:val="98"/>
              </w:rPr>
              <w:t>----- ----- Software and Information</w:t>
            </w:r>
          </w:p>
        </w:tc>
        <w:tc>
          <w:tcPr>
            <w:tcW w:w="0" w:type="dxa"/>
            <w:vAlign w:val="bottom"/>
          </w:tcPr>
          <w:p>
            <w:pPr>
              <w:spacing w:after="0"/>
              <w:rPr>
                <w:sz w:val="1"/>
                <w:szCs w:val="1"/>
                <w:color w:val="auto"/>
              </w:rPr>
            </w:pPr>
          </w:p>
        </w:tc>
      </w:tr>
      <w:tr>
        <w:trPr>
          <w:trHeight w:val="296"/>
        </w:trPr>
        <w:tc>
          <w:tcPr>
            <w:tcW w:w="2160" w:type="dxa"/>
            <w:vAlign w:val="bottom"/>
            <w:gridSpan w:val="2"/>
            <w:vMerge w:val="restart"/>
          </w:tcPr>
          <w:p>
            <w:pPr>
              <w:jc w:val="center"/>
              <w:spacing w:after="0"/>
              <w:rPr>
                <w:sz w:val="20"/>
                <w:szCs w:val="20"/>
                <w:color w:val="auto"/>
              </w:rPr>
            </w:pPr>
            <w:r>
              <w:rPr>
                <w:rFonts w:ascii="Courier New" w:cs="Courier New" w:eastAsia="Courier New" w:hAnsi="Courier New"/>
                <w:sz w:val="6"/>
                <w:szCs w:val="6"/>
                <w:color w:val="auto"/>
                <w:w w:val="70"/>
                <w:vertAlign w:val="superscript"/>
              </w:rPr>
              <w:t>Israel</w:t>
            </w:r>
            <w:r>
              <w:rPr>
                <w:rFonts w:ascii="Courier New" w:cs="Courier New" w:eastAsia="Courier New" w:hAnsi="Courier New"/>
                <w:sz w:val="6"/>
                <w:szCs w:val="6"/>
                <w:color w:val="auto"/>
                <w:w w:val="70"/>
                <w:vertAlign w:val="subscript"/>
              </w:rPr>
              <w:t>..........................................</w:t>
            </w:r>
            <w:r>
              <w:rPr>
                <w:rFonts w:ascii="Courier New" w:cs="Courier New" w:eastAsia="Courier New" w:hAnsi="Courier New"/>
                <w:sz w:val="6"/>
                <w:szCs w:val="6"/>
                <w:color w:val="auto"/>
                <w:w w:val="70"/>
                <w:vertAlign w:val="superscript"/>
              </w:rPr>
              <w:t>.................................................</w:t>
            </w:r>
            <w:r>
              <w:rPr>
                <w:rFonts w:ascii="Courier New" w:cs="Courier New" w:eastAsia="Courier New" w:hAnsi="Courier New"/>
                <w:sz w:val="3"/>
                <w:szCs w:val="3"/>
                <w:color w:val="auto"/>
                <w:w w:val="70"/>
              </w:rPr>
              <w:t>..........................................</w:t>
            </w:r>
          </w:p>
        </w:tc>
        <w:tc>
          <w:tcPr>
            <w:tcW w:w="3540" w:type="dxa"/>
            <w:vAlign w:val="bottom"/>
          </w:tcPr>
          <w:p>
            <w:pPr>
              <w:jc w:val="center"/>
              <w:ind w:right="1952"/>
              <w:spacing w:after="0"/>
              <w:rPr>
                <w:sz w:val="20"/>
                <w:szCs w:val="20"/>
                <w:color w:val="auto"/>
              </w:rPr>
            </w:pPr>
            <w:r>
              <w:rPr>
                <w:rFonts w:ascii="Courier New" w:cs="Courier New" w:eastAsia="Courier New" w:hAnsi="Courier New"/>
                <w:sz w:val="18"/>
                <w:szCs w:val="18"/>
                <w:color w:val="auto"/>
                <w:w w:val="98"/>
              </w:rPr>
              <w:t>Technology</w:t>
            </w:r>
          </w:p>
        </w:tc>
        <w:tc>
          <w:tcPr>
            <w:tcW w:w="0" w:type="dxa"/>
            <w:vAlign w:val="bottom"/>
          </w:tcPr>
          <w:p>
            <w:pPr>
              <w:spacing w:after="0"/>
              <w:rPr>
                <w:sz w:val="1"/>
                <w:szCs w:val="1"/>
                <w:color w:val="auto"/>
              </w:rPr>
            </w:pPr>
          </w:p>
        </w:tc>
      </w:tr>
      <w:tr>
        <w:trPr>
          <w:trHeight w:val="287"/>
        </w:trPr>
        <w:tc>
          <w:tcPr>
            <w:tcW w:w="1580" w:type="dxa"/>
            <w:vAlign w:val="bottom"/>
            <w:vMerge w:val="continue"/>
          </w:tcPr>
          <w:p>
            <w:pPr>
              <w:spacing w:after="0"/>
              <w:rPr>
                <w:sz w:val="24"/>
                <w:szCs w:val="24"/>
                <w:color w:val="auto"/>
              </w:rPr>
            </w:pPr>
          </w:p>
        </w:tc>
        <w:tc>
          <w:tcPr>
            <w:tcW w:w="4120" w:type="dxa"/>
            <w:vAlign w:val="bottom"/>
            <w:gridSpan w:val="2"/>
            <w:vMerge w:val="restart"/>
          </w:tcPr>
          <w:p>
            <w:pPr>
              <w:jc w:val="center"/>
              <w:ind w:right="1372"/>
              <w:spacing w:after="0"/>
              <w:rPr>
                <w:sz w:val="20"/>
                <w:szCs w:val="20"/>
                <w:color w:val="auto"/>
              </w:rPr>
            </w:pPr>
            <w:r>
              <w:rPr>
                <w:rFonts w:ascii="Courier New" w:cs="Courier New" w:eastAsia="Courier New" w:hAnsi="Courier New"/>
                <w:sz w:val="18"/>
                <w:szCs w:val="18"/>
                <w:color w:val="auto"/>
                <w:w w:val="97"/>
              </w:rPr>
              <w:t>4,100 4,100 4,200 North</w:t>
            </w:r>
          </w:p>
        </w:tc>
        <w:tc>
          <w:tcPr>
            <w:tcW w:w="0" w:type="dxa"/>
            <w:vAlign w:val="bottom"/>
          </w:tcPr>
          <w:p>
            <w:pPr>
              <w:spacing w:after="0"/>
              <w:rPr>
                <w:sz w:val="1"/>
                <w:szCs w:val="1"/>
                <w:color w:val="auto"/>
              </w:rPr>
            </w:pPr>
          </w:p>
        </w:tc>
      </w:tr>
      <w:tr>
        <w:trPr>
          <w:trHeight w:val="118"/>
        </w:trPr>
        <w:tc>
          <w:tcPr>
            <w:tcW w:w="1580" w:type="dxa"/>
            <w:vAlign w:val="bottom"/>
            <w:vMerge w:val="restart"/>
          </w:tcPr>
          <w:p>
            <w:pPr>
              <w:jc w:val="right"/>
              <w:ind w:right="445"/>
              <w:spacing w:after="0"/>
              <w:rPr>
                <w:sz w:val="20"/>
                <w:szCs w:val="20"/>
                <w:color w:val="auto"/>
              </w:rPr>
            </w:pPr>
            <w:r>
              <w:rPr>
                <w:rFonts w:ascii="Courier New" w:cs="Courier New" w:eastAsia="Courier New" w:hAnsi="Courier New"/>
                <w:sz w:val="18"/>
                <w:szCs w:val="18"/>
                <w:color w:val="auto"/>
              </w:rPr>
              <w:t>America</w:t>
            </w:r>
          </w:p>
        </w:tc>
        <w:tc>
          <w:tcPr>
            <w:tcW w:w="41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1580" w:type="dxa"/>
            <w:vAlign w:val="bottom"/>
            <w:vMerge w:val="continue"/>
          </w:tcPr>
          <w:p>
            <w:pPr>
              <w:spacing w:after="0"/>
              <w:rPr>
                <w:sz w:val="17"/>
                <w:szCs w:val="17"/>
                <w:color w:val="auto"/>
              </w:rPr>
            </w:pPr>
          </w:p>
        </w:tc>
        <w:tc>
          <w:tcPr>
            <w:tcW w:w="4120" w:type="dxa"/>
            <w:vAlign w:val="bottom"/>
            <w:gridSpan w:val="2"/>
            <w:vMerge w:val="restart"/>
          </w:tcPr>
          <w:p>
            <w:pPr>
              <w:jc w:val="center"/>
              <w:ind w:right="1392"/>
              <w:spacing w:after="0"/>
              <w:rPr>
                <w:sz w:val="20"/>
                <w:szCs w:val="20"/>
                <w:color w:val="auto"/>
              </w:rPr>
            </w:pPr>
            <w:r>
              <w:rPr>
                <w:rFonts w:ascii="Courier New" w:cs="Courier New" w:eastAsia="Courier New" w:hAnsi="Courier New"/>
                <w:sz w:val="18"/>
                <w:szCs w:val="18"/>
                <w:color w:val="auto"/>
                <w:w w:val="97"/>
              </w:rPr>
              <w:t>3,500 2,600 2,700 Rest of</w:t>
            </w:r>
          </w:p>
        </w:tc>
        <w:tc>
          <w:tcPr>
            <w:tcW w:w="0" w:type="dxa"/>
            <w:vAlign w:val="bottom"/>
          </w:tcPr>
          <w:p>
            <w:pPr>
              <w:spacing w:after="0"/>
              <w:rPr>
                <w:sz w:val="1"/>
                <w:szCs w:val="1"/>
                <w:color w:val="auto"/>
              </w:rPr>
            </w:pPr>
          </w:p>
        </w:tc>
      </w:tr>
      <w:tr>
        <w:trPr>
          <w:trHeight w:val="109"/>
        </w:trPr>
        <w:tc>
          <w:tcPr>
            <w:tcW w:w="1580" w:type="dxa"/>
            <w:vAlign w:val="bottom"/>
            <w:vMerge w:val="restart"/>
          </w:tcPr>
          <w:p>
            <w:pPr>
              <w:jc w:val="right"/>
              <w:ind w:right="865"/>
              <w:spacing w:after="0"/>
              <w:rPr>
                <w:sz w:val="20"/>
                <w:szCs w:val="20"/>
                <w:color w:val="auto"/>
              </w:rPr>
            </w:pPr>
            <w:r>
              <w:rPr>
                <w:rFonts w:ascii="Courier New" w:cs="Courier New" w:eastAsia="Courier New" w:hAnsi="Courier New"/>
                <w:sz w:val="18"/>
                <w:szCs w:val="18"/>
                <w:color w:val="auto"/>
              </w:rPr>
              <w:t>World</w:t>
            </w:r>
          </w:p>
        </w:tc>
        <w:tc>
          <w:tcPr>
            <w:tcW w:w="4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1580" w:type="dxa"/>
            <w:vAlign w:val="bottom"/>
            <w:vMerge w:val="continue"/>
          </w:tcPr>
          <w:p>
            <w:pPr>
              <w:spacing w:after="0"/>
              <w:rPr>
                <w:sz w:val="17"/>
                <w:szCs w:val="17"/>
                <w:color w:val="auto"/>
              </w:rPr>
            </w:pPr>
          </w:p>
        </w:tc>
        <w:tc>
          <w:tcPr>
            <w:tcW w:w="580" w:type="dxa"/>
            <w:vAlign w:val="bottom"/>
          </w:tcPr>
          <w:p>
            <w:pPr>
              <w:spacing w:after="0"/>
              <w:rPr>
                <w:sz w:val="17"/>
                <w:szCs w:val="17"/>
                <w:color w:val="auto"/>
              </w:rPr>
            </w:pPr>
          </w:p>
        </w:tc>
        <w:tc>
          <w:tcPr>
            <w:tcW w:w="3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1,600</w:t>
            </w:r>
          </w:p>
        </w:tc>
        <w:tc>
          <w:tcPr>
            <w:tcW w:w="0" w:type="dxa"/>
            <w:vAlign w:val="bottom"/>
          </w:tcPr>
          <w:p>
            <w:pPr>
              <w:spacing w:after="0"/>
              <w:rPr>
                <w:sz w:val="1"/>
                <w:szCs w:val="1"/>
                <w:color w:val="auto"/>
              </w:rPr>
            </w:pPr>
          </w:p>
        </w:tc>
      </w:tr>
      <w:tr>
        <w:trPr>
          <w:trHeight w:val="203"/>
        </w:trPr>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1,700 1,700</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6"/>
              </w:rPr>
              <w:t>------</w:t>
            </w:r>
          </w:p>
        </w:tc>
        <w:tc>
          <w:tcPr>
            <w:tcW w:w="35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----- 9,200 8,400 8,600</w:t>
            </w:r>
          </w:p>
        </w:tc>
        <w:tc>
          <w:tcPr>
            <w:tcW w:w="0" w:type="dxa"/>
            <w:vAlign w:val="bottom"/>
          </w:tcPr>
          <w:p>
            <w:pPr>
              <w:spacing w:after="0"/>
              <w:rPr>
                <w:sz w:val="1"/>
                <w:szCs w:val="1"/>
                <w:color w:val="auto"/>
              </w:rPr>
            </w:pPr>
          </w:p>
        </w:tc>
      </w:tr>
      <w:tr>
        <w:trPr>
          <w:trHeight w:val="203"/>
        </w:trPr>
        <w:tc>
          <w:tcPr>
            <w:tcW w:w="2160" w:type="dxa"/>
            <w:vAlign w:val="bottom"/>
            <w:gridSpan w:val="2"/>
            <w:vMerge w:val="restart"/>
          </w:tcPr>
          <w:p>
            <w:pPr>
              <w:jc w:val="center"/>
              <w:spacing w:after="0"/>
              <w:rPr>
                <w:sz w:val="20"/>
                <w:szCs w:val="20"/>
                <w:color w:val="auto"/>
              </w:rPr>
            </w:pPr>
            <w:r>
              <w:rPr>
                <w:rFonts w:ascii="Courier New" w:cs="Courier New" w:eastAsia="Courier New" w:hAnsi="Courier New"/>
                <w:sz w:val="18"/>
                <w:szCs w:val="18"/>
                <w:color w:val="auto"/>
                <w:w w:val="97"/>
              </w:rPr>
              <w:t>Administration</w:t>
            </w:r>
          </w:p>
        </w:tc>
        <w:tc>
          <w:tcPr>
            <w:tcW w:w="3540" w:type="dxa"/>
            <w:vAlign w:val="bottom"/>
          </w:tcPr>
          <w:p>
            <w:pPr>
              <w:jc w:val="center"/>
              <w:ind w:right="1972"/>
              <w:spacing w:after="0" w:line="203" w:lineRule="exact"/>
              <w:rPr>
                <w:sz w:val="20"/>
                <w:szCs w:val="20"/>
                <w:color w:val="auto"/>
              </w:rPr>
            </w:pPr>
            <w:r>
              <w:rPr>
                <w:rFonts w:ascii="Courier New" w:cs="Courier New" w:eastAsia="Courier New" w:hAnsi="Courier New"/>
                <w:sz w:val="18"/>
                <w:szCs w:val="18"/>
                <w:color w:val="auto"/>
                <w:w w:val="97"/>
              </w:rPr>
              <w:t>Management and</w:t>
            </w:r>
          </w:p>
        </w:tc>
        <w:tc>
          <w:tcPr>
            <w:tcW w:w="0" w:type="dxa"/>
            <w:vAlign w:val="bottom"/>
          </w:tcPr>
          <w:p>
            <w:pPr>
              <w:spacing w:after="0"/>
              <w:rPr>
                <w:sz w:val="1"/>
                <w:szCs w:val="1"/>
                <w:color w:val="auto"/>
              </w:rPr>
            </w:pPr>
          </w:p>
        </w:tc>
      </w:tr>
      <w:tr>
        <w:trPr>
          <w:trHeight w:val="203"/>
        </w:trPr>
        <w:tc>
          <w:tcPr>
            <w:tcW w:w="2160" w:type="dxa"/>
            <w:vAlign w:val="bottom"/>
            <w:gridSpan w:val="2"/>
            <w:vMerge w:val="continue"/>
          </w:tcPr>
          <w:p>
            <w:pPr>
              <w:jc w:val="right"/>
              <w:spacing w:after="0" w:line="178" w:lineRule="exact"/>
              <w:rPr>
                <w:sz w:val="20"/>
                <w:szCs w:val="20"/>
                <w:color w:val="auto"/>
              </w:rPr>
            </w:pPr>
            <w:r>
              <w:rPr>
                <w:rFonts w:ascii="Courier New" w:cs="Courier New" w:eastAsia="Courier New" w:hAnsi="Courier New"/>
                <w:sz w:val="18"/>
                <w:szCs w:val="18"/>
                <w:color w:val="auto"/>
              </w:rPr>
              <w:t>.............................</w:t>
            </w:r>
          </w:p>
        </w:tc>
        <w:tc>
          <w:tcPr>
            <w:tcW w:w="3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1,000</w:t>
            </w:r>
          </w:p>
        </w:tc>
        <w:tc>
          <w:tcPr>
            <w:tcW w:w="0" w:type="dxa"/>
            <w:vAlign w:val="bottom"/>
          </w:tcPr>
          <w:p>
            <w:pPr>
              <w:spacing w:after="0"/>
              <w:rPr>
                <w:sz w:val="1"/>
                <w:szCs w:val="1"/>
                <w:color w:val="auto"/>
              </w:rPr>
            </w:pPr>
          </w:p>
        </w:tc>
      </w:tr>
      <w:tr>
        <w:trPr>
          <w:trHeight w:val="203"/>
        </w:trPr>
        <w:tc>
          <w:tcPr>
            <w:tcW w:w="2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1,000 1,100</w:t>
            </w:r>
          </w:p>
        </w:tc>
        <w:tc>
          <w:tcPr>
            <w:tcW w:w="354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 ----- ----- Total</w:t>
            </w:r>
          </w:p>
        </w:tc>
        <w:tc>
          <w:tcPr>
            <w:tcW w:w="0" w:type="dxa"/>
            <w:vAlign w:val="bottom"/>
          </w:tcPr>
          <w:p>
            <w:pPr>
              <w:spacing w:after="0"/>
              <w:rPr>
                <w:sz w:val="1"/>
                <w:szCs w:val="1"/>
                <w:color w:val="auto"/>
              </w:rPr>
            </w:pPr>
          </w:p>
        </w:tc>
      </w:tr>
      <w:tr>
        <w:trPr>
          <w:trHeight w:val="235"/>
        </w:trPr>
        <w:tc>
          <w:tcPr>
            <w:tcW w:w="2160" w:type="dxa"/>
            <w:vAlign w:val="bottom"/>
            <w:gridSpan w:val="2"/>
          </w:tcPr>
          <w:p>
            <w:pPr>
              <w:jc w:val="center"/>
              <w:spacing w:after="0"/>
              <w:rPr>
                <w:sz w:val="20"/>
                <w:szCs w:val="20"/>
                <w:color w:val="auto"/>
              </w:rPr>
            </w:pPr>
            <w:r>
              <w:rPr>
                <w:rFonts w:ascii="Courier New" w:cs="Courier New" w:eastAsia="Courier New" w:hAnsi="Courier New"/>
                <w:sz w:val="9"/>
                <w:szCs w:val="9"/>
                <w:color w:val="auto"/>
                <w:w w:val="72"/>
              </w:rPr>
              <w:t>employees.............................................</w:t>
            </w: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960"/>
        <w:spacing w:after="0"/>
        <w:rPr>
          <w:sz w:val="20"/>
          <w:szCs w:val="20"/>
          <w:color w:val="auto"/>
        </w:rPr>
      </w:pPr>
      <w:r>
        <w:rPr>
          <w:rFonts w:ascii="Courier New" w:cs="Courier New" w:eastAsia="Courier New" w:hAnsi="Courier New"/>
          <w:sz w:val="18"/>
          <w:szCs w:val="18"/>
          <w:color w:val="auto"/>
        </w:rPr>
        <w:t>10,200 9,400 9,700 ====== ===== =====</w:t>
      </w:r>
    </w:p>
    <w:p>
      <w:pPr>
        <w:spacing w:after="0" w:line="372" w:lineRule="exact"/>
        <w:rPr>
          <w:sz w:val="20"/>
          <w:szCs w:val="20"/>
          <w:color w:val="auto"/>
        </w:rPr>
      </w:pPr>
    </w:p>
    <w:p>
      <w:pPr>
        <w:ind w:right="1779" w:firstLine="527"/>
        <w:spacing w:after="0" w:line="245" w:lineRule="auto"/>
        <w:rPr>
          <w:sz w:val="20"/>
          <w:szCs w:val="20"/>
          <w:color w:val="auto"/>
        </w:rPr>
      </w:pPr>
      <w:r>
        <w:rPr>
          <w:rFonts w:ascii="Courier New" w:cs="Courier New" w:eastAsia="Courier New" w:hAnsi="Courier New"/>
          <w:sz w:val="18"/>
          <w:szCs w:val="18"/>
          <w:color w:val="auto"/>
        </w:rPr>
        <w:t>During fiscal 2002 and the first quarter of fiscal 2003, we took steps to reduce our costs and achieve increased operational efficiency, including by making reductions in our workforce. In the fourth quarter of 2002, as part of a cost reduction program, we reduced our workforce by approximately 1,000 software and information technology specialists and administrative professionals. In November 2002, we announced additional measures to reduce costs, including further reductions in our workforce of approximately 400 software and information technology specialists and administrative professionals. During fiscal 2003, as a result of our acquisition of Certen and our Managed Services agreement with SBC, we increased our workforce by approximately 1,200 employees. As of November 30, 2003, we employed on a full-time basis approximately 9,000 software and information technology specialists, engaged in research, development, maintenance and support activities, and approximately 1,000 managers and administrative professionals. Approximately 4,000 of these software and information technology specialists are located in Israel and approximately 3,500 are located in North America.</w:t>
      </w:r>
    </w:p>
    <w:p>
      <w:pPr>
        <w:spacing w:after="0" w:line="113" w:lineRule="exact"/>
        <w:rPr>
          <w:sz w:val="20"/>
          <w:szCs w:val="20"/>
          <w:color w:val="auto"/>
        </w:rPr>
      </w:pPr>
    </w:p>
    <w:p>
      <w:pPr>
        <w:ind w:right="1779" w:firstLine="527"/>
        <w:spacing w:after="0" w:line="253" w:lineRule="auto"/>
        <w:rPr>
          <w:sz w:val="20"/>
          <w:szCs w:val="20"/>
          <w:color w:val="auto"/>
        </w:rPr>
      </w:pPr>
      <w:r>
        <w:rPr>
          <w:rFonts w:ascii="Courier New" w:cs="Courier New" w:eastAsia="Courier New" w:hAnsi="Courier New"/>
          <w:sz w:val="18"/>
          <w:szCs w:val="18"/>
          <w:color w:val="auto"/>
        </w:rPr>
        <w:t>As a company with global operations, we are required to comply with various labor and immigration laws throughout the world, including laws and regulations in Australia, Brazil, Canada, Europe, Israel, Japan and the United States. Our employees in Europe are protected, in some countries, by mandatory collective bargaining agreements. To date, compliance with such laws has not been a material burden for us. As the number of our employees increases over time in particular countries, our compliance with such regulations could become more burdensome.</w:t>
      </w:r>
    </w:p>
    <w:p>
      <w:pPr>
        <w:spacing w:after="0" w:line="104" w:lineRule="exact"/>
        <w:rPr>
          <w:sz w:val="20"/>
          <w:szCs w:val="20"/>
          <w:color w:val="auto"/>
        </w:rPr>
      </w:pPr>
    </w:p>
    <w:p>
      <w:pPr>
        <w:ind w:right="1779" w:firstLine="527"/>
        <w:spacing w:after="0" w:line="247" w:lineRule="auto"/>
        <w:rPr>
          <w:sz w:val="20"/>
          <w:szCs w:val="20"/>
          <w:color w:val="auto"/>
        </w:rPr>
      </w:pPr>
      <w:r>
        <w:rPr>
          <w:rFonts w:ascii="Courier New" w:cs="Courier New" w:eastAsia="Courier New" w:hAnsi="Courier New"/>
          <w:sz w:val="18"/>
          <w:szCs w:val="18"/>
          <w:color w:val="auto"/>
        </w:rPr>
        <w:t>Our principal operating subsidiaries are not party to any collective bargaining agreements. However, our Israeli subsidiary is subject to certain labor-related statutes and to certain provisions of collective bargaining agreements between the Histadrut (General Federation of Labor in Israel) and the Coordinating Bureau of Economic Organizations (including the Industrialists' Association), which are applicable to our Israeli employees by virtue of expansion orders of the Israeli Ministry of Labor and Welfare. A significant provision applicable to all employees in Israel under collective bargaining agreements and expansion orders is an adjustment of wages in relation to increases in the consumer price index, or CPI. The amount and frequency of these adjustments are modified from time to time. We consider our relationship with our employees to be good and have never experienced a labor dispute, strike or work stoppage.</w:t>
      </w:r>
    </w:p>
    <w:p>
      <w:pPr>
        <w:spacing w:after="0" w:line="108" w:lineRule="exact"/>
        <w:rPr>
          <w:sz w:val="20"/>
          <w:szCs w:val="20"/>
          <w:color w:val="auto"/>
        </w:rPr>
      </w:pPr>
    </w:p>
    <w:p>
      <w:pPr>
        <w:ind w:right="1879" w:firstLine="527"/>
        <w:spacing w:after="0" w:line="265" w:lineRule="auto"/>
        <w:rPr>
          <w:sz w:val="20"/>
          <w:szCs w:val="20"/>
          <w:color w:val="auto"/>
        </w:rPr>
      </w:pPr>
      <w:r>
        <w:rPr>
          <w:rFonts w:ascii="Courier New" w:cs="Courier New" w:eastAsia="Courier New" w:hAnsi="Courier New"/>
          <w:sz w:val="18"/>
          <w:szCs w:val="18"/>
          <w:color w:val="auto"/>
        </w:rPr>
        <w:t>In addition, all employees in Brazil, including members of management, are represented by unions. Collective bargaining between employers and unions is mandatory, negotiated annually, and covers work conditions, including cost of living increases, minimum wages that exceed government thresholds and overtime pay.</w:t>
      </w:r>
    </w:p>
    <w:p>
      <w:pPr>
        <w:spacing w:after="0" w:line="9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50</w:t>
      </w:r>
    </w:p>
    <w:p>
      <w:pPr>
        <w:sectPr>
          <w:pgSz w:w="11900" w:h="16838" w:orient="portrait"/>
          <w:cols w:equalWidth="0" w:num="1">
            <w:col w:w="10219"/>
          </w:cols>
          <w:pgMar w:left="240" w:top="691" w:right="1440" w:bottom="996" w:gutter="0" w:footer="0" w:header="0"/>
        </w:sectPr>
      </w:pPr>
    </w:p>
    <w:bookmarkStart w:id="55" w:name="page56"/>
    <w:bookmarkEnd w:id="55"/>
    <w:p>
      <w:pPr>
        <w:ind w:right="1779" w:firstLine="527"/>
        <w:spacing w:after="0" w:line="256" w:lineRule="auto"/>
        <w:rPr>
          <w:sz w:val="20"/>
          <w:szCs w:val="20"/>
          <w:color w:val="auto"/>
        </w:rPr>
      </w:pPr>
      <w:r>
        <w:rPr>
          <w:rFonts w:ascii="Courier New" w:cs="Courier New" w:eastAsia="Courier New" w:hAnsi="Courier New"/>
          <w:sz w:val="18"/>
          <w:szCs w:val="18"/>
          <w:color w:val="auto"/>
        </w:rPr>
        <w:t>Some employees in Canada have union representation. There is no history of strikes or work stoppages, and our relationships with these employees are good. At the present time, we are appealing a ruling by the Canadian Industrial Relations Board that addresses the structure of the relevant bargaining unit and imposes Canadian Federal (as opposed to provincial) jurisdiction. We believe the outcome of the appeal will not have a material adverse effect on our operations or financial results.</w:t>
      </w:r>
    </w:p>
    <w:p>
      <w:pPr>
        <w:spacing w:after="0" w:line="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 OWNERSHIP</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SECURITY OWNERSHIP OF DIRECTORS AND SENIOR MANAGEMENT AND CERTAIN KEY EMPLOYEES</w:t>
      </w:r>
    </w:p>
    <w:p>
      <w:pPr>
        <w:spacing w:after="0" w:line="224" w:lineRule="exact"/>
        <w:rPr>
          <w:sz w:val="20"/>
          <w:szCs w:val="20"/>
          <w:color w:val="auto"/>
        </w:rPr>
      </w:pPr>
    </w:p>
    <w:p>
      <w:pPr>
        <w:ind w:right="1879" w:firstLine="527"/>
        <w:spacing w:after="0" w:line="249" w:lineRule="auto"/>
        <w:rPr>
          <w:sz w:val="20"/>
          <w:szCs w:val="20"/>
          <w:color w:val="auto"/>
        </w:rPr>
      </w:pPr>
      <w:r>
        <w:rPr>
          <w:rFonts w:ascii="Courier New" w:cs="Courier New" w:eastAsia="Courier New" w:hAnsi="Courier New"/>
          <w:sz w:val="18"/>
          <w:szCs w:val="18"/>
          <w:color w:val="auto"/>
        </w:rPr>
        <w:t>As of November 28, 2003, the aggregate number of our ordinary shares beneficially owned by our directors, senior managers and certain key employees was 33,465,836 shares. This number includes ordinary shares held by SBC, since Mr. Kahan, Senior Executive Vice President of SBC, serves on our Board of Directors, and accordingly, he may be deemed to be the beneficial owner of the shares held by SBC. Mr. Kahan disclaims beneficial ownership of such shares. Historically, this number also included shares held by WCAS, since Messrs. Anderson and Minicucci, affiliates of WCAS, serve on our Board of Directors. As of September 24, 2003, various investment partnerships affiliated with WCAS ceased to be shareholders of the Company. See "Major Shareholders and Related Party Transactions".</w:t>
      </w:r>
    </w:p>
    <w:p>
      <w:pPr>
        <w:spacing w:after="0" w:line="104" w:lineRule="exact"/>
        <w:rPr>
          <w:sz w:val="20"/>
          <w:szCs w:val="20"/>
          <w:color w:val="auto"/>
        </w:rPr>
      </w:pPr>
    </w:p>
    <w:p>
      <w:pPr>
        <w:jc w:val="both"/>
        <w:ind w:right="2319" w:firstLine="527"/>
        <w:spacing w:after="0" w:line="292" w:lineRule="auto"/>
        <w:rPr>
          <w:sz w:val="20"/>
          <w:szCs w:val="20"/>
          <w:color w:val="auto"/>
        </w:rPr>
      </w:pPr>
      <w:r>
        <w:rPr>
          <w:rFonts w:ascii="Courier New" w:cs="Courier New" w:eastAsia="Courier New" w:hAnsi="Courier New"/>
          <w:sz w:val="18"/>
          <w:szCs w:val="18"/>
          <w:color w:val="auto"/>
        </w:rPr>
        <w:t>Beneficial ownership by a person, as of a particular date, assumes the exercise of all options and warrants held by such person that are currently exercisable or are exercisable within 60 days of such date.</w:t>
      </w:r>
    </w:p>
    <w:p>
      <w:pPr>
        <w:spacing w:after="0" w:line="6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EMPLOYEE STOCK OPTION AND INCENTIVE PLAN</w:t>
      </w:r>
    </w:p>
    <w:p>
      <w:pPr>
        <w:spacing w:after="0" w:line="201" w:lineRule="exact"/>
        <w:rPr>
          <w:sz w:val="20"/>
          <w:szCs w:val="20"/>
          <w:color w:val="auto"/>
        </w:rPr>
      </w:pPr>
    </w:p>
    <w:p>
      <w:pPr>
        <w:ind w:right="1779" w:firstLine="527"/>
        <w:spacing w:after="0" w:line="283" w:lineRule="auto"/>
        <w:rPr>
          <w:sz w:val="20"/>
          <w:szCs w:val="20"/>
          <w:color w:val="auto"/>
        </w:rPr>
      </w:pPr>
      <w:r>
        <w:rPr>
          <w:rFonts w:ascii="Courier New" w:cs="Courier New" w:eastAsia="Courier New" w:hAnsi="Courier New"/>
          <w:sz w:val="16"/>
          <w:szCs w:val="16"/>
          <w:color w:val="auto"/>
        </w:rPr>
        <w:t>Our 1998 Stock Option and Incentive Plan, as amended (the "Option Plan"), provides for the grant by Amdocs of restricted shares or stock options to our directors, employees (including officers) and consultants. The purpose of the Option Plan is to enable us to attract and retain qualified personnel and to motivate such persons by providing them with an equity participation in the Company. As of November 28, 2003, of the 32,300,000 ordinary shares available for issuance under the Option Plan, 3,341,837 ordinary shares had been issued as a result of option exercises and 3,842,955 ordinary shares remained available for future grants. As of November 28, 2003, there were outstanding options to purchase an aggregate of 25,115,208 ordinary shares at exercise prices ranging from $1.92 to $78.31 per share and no restricted shares had been awarded.</w:t>
      </w:r>
    </w:p>
    <w:p>
      <w:pPr>
        <w:spacing w:after="0" w:line="80" w:lineRule="exact"/>
        <w:rPr>
          <w:sz w:val="20"/>
          <w:szCs w:val="20"/>
          <w:color w:val="auto"/>
        </w:rPr>
      </w:pPr>
    </w:p>
    <w:p>
      <w:pPr>
        <w:ind w:right="1779" w:firstLine="527"/>
        <w:spacing w:after="0" w:line="253" w:lineRule="auto"/>
        <w:rPr>
          <w:sz w:val="20"/>
          <w:szCs w:val="20"/>
          <w:color w:val="auto"/>
        </w:rPr>
      </w:pPr>
      <w:r>
        <w:rPr>
          <w:rFonts w:ascii="Courier New" w:cs="Courier New" w:eastAsia="Courier New" w:hAnsi="Courier New"/>
          <w:sz w:val="18"/>
          <w:szCs w:val="18"/>
          <w:color w:val="auto"/>
        </w:rPr>
        <w:t>The Option Plan provides for the granting of "incentive stock options" and "non-qualified stock options" to purchase ordinary shares and/or the granting of rights to purchase ordinary shares on a "restricted" basis. The terms and conditions of individual grants may vary subject to the following: (i) the exercise price of incentive stock options may not be less than market value on the date of grant; (ii) the term of incentive stock options may not exceed ten years from the date of grant; and (iii) no options or awards may be granted after January 2008.</w:t>
      </w:r>
    </w:p>
    <w:p>
      <w:pPr>
        <w:spacing w:after="0" w:line="104" w:lineRule="exact"/>
        <w:rPr>
          <w:sz w:val="20"/>
          <w:szCs w:val="20"/>
          <w:color w:val="auto"/>
        </w:rPr>
      </w:pPr>
    </w:p>
    <w:p>
      <w:pPr>
        <w:ind w:right="1879" w:firstLine="527"/>
        <w:spacing w:after="0" w:line="283" w:lineRule="auto"/>
        <w:rPr>
          <w:sz w:val="20"/>
          <w:szCs w:val="20"/>
          <w:color w:val="auto"/>
        </w:rPr>
      </w:pPr>
      <w:r>
        <w:rPr>
          <w:rFonts w:ascii="Courier New" w:cs="Courier New" w:eastAsia="Courier New" w:hAnsi="Courier New"/>
          <w:sz w:val="16"/>
          <w:szCs w:val="16"/>
          <w:color w:val="auto"/>
        </w:rPr>
        <w:t>The Option Plan is administered by the Compensation Committee, which determines all the terms of the awards (subject to the above), including which employees, directors or consultants are granted awards. The Board of Directors may amend or terminate the Option Plan, provided that shareholder approval is required to increase the number of ordinary shares available under the Option Plan, to materially increase the benefits accruing to participants, to change the class of employees eligible for participation, to decrease the basis upon which the minimum exercise price of options is determined or to extend the period in which awards may be granted or to grant an option that is exercisable for more than ten years. Ordinary shares acquired upon exercise of an award are subject to certain restrictions on sale, transfer or hypothecation.</w:t>
      </w:r>
    </w:p>
    <w:p>
      <w:pPr>
        <w:spacing w:after="0" w:line="80" w:lineRule="exact"/>
        <w:rPr>
          <w:sz w:val="20"/>
          <w:szCs w:val="20"/>
          <w:color w:val="auto"/>
        </w:rPr>
      </w:pPr>
    </w:p>
    <w:p>
      <w:pPr>
        <w:ind w:right="1779" w:firstLine="527"/>
        <w:spacing w:after="0" w:line="260" w:lineRule="auto"/>
        <w:rPr>
          <w:sz w:val="20"/>
          <w:szCs w:val="20"/>
          <w:color w:val="auto"/>
        </w:rPr>
      </w:pPr>
      <w:r>
        <w:rPr>
          <w:rFonts w:ascii="Courier New" w:cs="Courier New" w:eastAsia="Courier New" w:hAnsi="Courier New"/>
          <w:sz w:val="18"/>
          <w:szCs w:val="18"/>
          <w:color w:val="auto"/>
        </w:rPr>
        <w:t>As a result of the ITDS and Solect transactions, as of November 28, 2003, we are obligated to issue (and have reserved for issuance) an additional 150,883 and 88,180 ordinary shares, respectively, upon exercise of options that had previously been granted under the ITDS and Solect option plans (the "Predecessor Plans") and were exchanged for options to purchase our ordinary shares. These options have</w:t>
      </w:r>
    </w:p>
    <w:p>
      <w:pPr>
        <w:spacing w:after="0" w:line="9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51</w:t>
      </w:r>
    </w:p>
    <w:p>
      <w:pPr>
        <w:sectPr>
          <w:pgSz w:w="11900" w:h="16838" w:orient="portrait"/>
          <w:cols w:equalWidth="0" w:num="1">
            <w:col w:w="10219"/>
          </w:cols>
          <w:pgMar w:left="240" w:top="691" w:right="1440" w:bottom="1440" w:gutter="0" w:footer="0" w:header="0"/>
        </w:sectPr>
      </w:pPr>
    </w:p>
    <w:bookmarkStart w:id="56" w:name="page57"/>
    <w:bookmarkEnd w:id="56"/>
    <w:p>
      <w:pPr>
        <w:ind w:right="2099"/>
        <w:spacing w:after="0" w:line="347" w:lineRule="auto"/>
        <w:rPr>
          <w:sz w:val="20"/>
          <w:szCs w:val="20"/>
          <w:color w:val="auto"/>
        </w:rPr>
      </w:pPr>
      <w:r>
        <w:rPr>
          <w:rFonts w:ascii="Courier New" w:cs="Courier New" w:eastAsia="Courier New" w:hAnsi="Courier New"/>
          <w:sz w:val="18"/>
          <w:szCs w:val="18"/>
          <w:color w:val="auto"/>
        </w:rPr>
        <w:t>exercise prices ranging from $1.87 to $71.97 per share. No additional options have been or will be granted under the Predecessor Plans.</w:t>
      </w:r>
    </w:p>
    <w:p>
      <w:pPr>
        <w:spacing w:after="0" w:line="18" w:lineRule="exact"/>
        <w:rPr>
          <w:sz w:val="20"/>
          <w:szCs w:val="20"/>
          <w:color w:val="auto"/>
        </w:rPr>
      </w:pPr>
    </w:p>
    <w:p>
      <w:pPr>
        <w:ind w:right="1779" w:firstLine="527"/>
        <w:spacing w:after="0" w:line="253" w:lineRule="auto"/>
        <w:rPr>
          <w:sz w:val="20"/>
          <w:szCs w:val="20"/>
          <w:color w:val="auto"/>
        </w:rPr>
      </w:pPr>
      <w:r>
        <w:rPr>
          <w:rFonts w:ascii="Courier New" w:cs="Courier New" w:eastAsia="Courier New" w:hAnsi="Courier New"/>
          <w:sz w:val="18"/>
          <w:szCs w:val="18"/>
          <w:color w:val="auto"/>
        </w:rPr>
        <w:t>In December 2003 our Board of Directors approved, and recommended that the Company's shareholders approve, an amendment to the Option Plan. The amendment to the Option Plan would increase by 6 million shares the number of Ordinary Shares available for issuance and eliminate the Company's ability to conduct option repricing programs in which options are surrendered to the Company in exchange for new options and/or restricted stock. The shareholders will consider the amendment to the Option Plan at the Company's Annual General Meeting of Shareholders to be held January 22, 2004.</w:t>
      </w:r>
    </w:p>
    <w:p>
      <w:pPr>
        <w:spacing w:after="0" w:line="1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MAJOR SHAREHOLDERS AND RELATED PARTY TRANSACTIONS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MAJOR SHAREHOLDERS</w:t>
      </w:r>
    </w:p>
    <w:p>
      <w:pPr>
        <w:spacing w:after="0" w:line="201" w:lineRule="exact"/>
        <w:rPr>
          <w:sz w:val="20"/>
          <w:szCs w:val="20"/>
          <w:color w:val="auto"/>
        </w:rPr>
      </w:pPr>
    </w:p>
    <w:p>
      <w:pPr>
        <w:ind w:right="1779" w:firstLine="527"/>
        <w:spacing w:after="0" w:line="250" w:lineRule="auto"/>
        <w:rPr>
          <w:sz w:val="20"/>
          <w:szCs w:val="20"/>
          <w:color w:val="auto"/>
        </w:rPr>
      </w:pPr>
      <w:r>
        <w:rPr>
          <w:rFonts w:ascii="Courier New" w:cs="Courier New" w:eastAsia="Courier New" w:hAnsi="Courier New"/>
          <w:sz w:val="18"/>
          <w:szCs w:val="18"/>
          <w:color w:val="auto"/>
        </w:rPr>
        <w:t>The following table sets forth specified information with respect to the beneficial ownership of the ordinary shares as of November 28, 2003 of (i) any person known by us to be the beneficial owner of more than 5% of our ordinary shares and (ii) all of our directors and executives officers as a group. Beneficial ownership is determined in accordance with the rules of the SEC and, unless otherwise indicated, includes voting and investment power with respect to all ordinary shares, subject to community property laws, where applicable. The number of ordinary shares used in calculating the percentage beneficial ownership included in the table below is based on 216,098,335 ordinary shares outstanding as of November 28, 2003.</w:t>
      </w:r>
    </w:p>
    <w:p>
      <w:pPr>
        <w:spacing w:after="0" w:line="104" w:lineRule="exact"/>
        <w:rPr>
          <w:sz w:val="20"/>
          <w:szCs w:val="20"/>
          <w:color w:val="auto"/>
        </w:rPr>
      </w:pPr>
    </w:p>
    <w:p>
      <w:pPr>
        <w:jc w:val="center"/>
        <w:ind w:right="4939"/>
        <w:spacing w:after="0"/>
        <w:rPr>
          <w:sz w:val="20"/>
          <w:szCs w:val="20"/>
          <w:color w:val="auto"/>
        </w:rPr>
      </w:pPr>
      <w:r>
        <w:rPr>
          <w:rFonts w:ascii="Courier New" w:cs="Courier New" w:eastAsia="Courier New" w:hAnsi="Courier New"/>
          <w:sz w:val="18"/>
          <w:szCs w:val="18"/>
          <w:color w:val="auto"/>
        </w:rPr>
        <w:t>SHARES BENEFICIALLY PERCENTAGE NAME AND ADDRESS</w:t>
      </w:r>
    </w:p>
    <w:p>
      <w:pPr>
        <w:spacing w:after="0" w:line="29"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OWNED OWNERSHIP - ---------------- ------------ -</w:t>
      </w:r>
    </w:p>
    <w:tbl>
      <w:tblPr>
        <w:tblLayout w:type="fixed"/>
        <w:tblInd w:w="120" w:type="dxa"/>
        <w:tblCellMar>
          <w:top w:w="0" w:type="dxa"/>
          <w:left w:w="0" w:type="dxa"/>
          <w:bottom w:w="0" w:type="dxa"/>
          <w:right w:w="0" w:type="dxa"/>
        </w:tblCellMar>
      </w:tblPr>
      <w:tr>
        <w:trPr>
          <w:trHeight w:val="171"/>
        </w:trPr>
        <w:tc>
          <w:tcPr>
            <w:tcW w:w="1840" w:type="dxa"/>
            <w:vAlign w:val="bottom"/>
            <w:vMerge w:val="restart"/>
          </w:tcPr>
          <w:p>
            <w:pPr>
              <w:jc w:val="right"/>
              <w:ind w:right="34"/>
              <w:spacing w:after="0"/>
              <w:rPr>
                <w:sz w:val="20"/>
                <w:szCs w:val="20"/>
                <w:color w:val="auto"/>
              </w:rPr>
            </w:pPr>
            <w:r>
              <w:rPr>
                <w:rFonts w:ascii="Courier New" w:cs="Courier New" w:eastAsia="Courier New" w:hAnsi="Courier New"/>
                <w:sz w:val="35"/>
                <w:szCs w:val="35"/>
                <w:color w:val="auto"/>
                <w:w w:val="98"/>
                <w:vertAlign w:val="subscript"/>
              </w:rPr>
              <w:t>(1)</w:t>
            </w:r>
            <w:r>
              <w:rPr>
                <w:rFonts w:ascii="Courier New" w:cs="Courier New" w:eastAsia="Courier New" w:hAnsi="Courier New"/>
                <w:sz w:val="18"/>
                <w:szCs w:val="18"/>
                <w:color w:val="auto"/>
                <w:w w:val="98"/>
              </w:rPr>
              <w:t>---------</w:t>
            </w:r>
          </w:p>
        </w:tc>
        <w:tc>
          <w:tcPr>
            <w:tcW w:w="3220" w:type="dxa"/>
            <w:vAlign w:val="bottom"/>
          </w:tcPr>
          <w:p>
            <w:pPr>
              <w:jc w:val="right"/>
              <w:ind w:right="712"/>
              <w:spacing w:after="0" w:line="170" w:lineRule="exact"/>
              <w:rPr>
                <w:sz w:val="20"/>
                <w:szCs w:val="20"/>
                <w:color w:val="auto"/>
              </w:rPr>
            </w:pPr>
            <w:r>
              <w:rPr>
                <w:rFonts w:ascii="Courier New" w:cs="Courier New" w:eastAsia="Courier New" w:hAnsi="Courier New"/>
                <w:sz w:val="18"/>
                <w:szCs w:val="18"/>
                <w:color w:val="auto"/>
                <w:w w:val="96"/>
              </w:rPr>
              <w:t>SBC Communications Inc.</w:t>
            </w:r>
          </w:p>
        </w:tc>
        <w:tc>
          <w:tcPr>
            <w:tcW w:w="0" w:type="dxa"/>
            <w:vAlign w:val="bottom"/>
          </w:tcPr>
          <w:p>
            <w:pPr>
              <w:spacing w:after="0"/>
              <w:rPr>
                <w:sz w:val="1"/>
                <w:szCs w:val="1"/>
                <w:color w:val="auto"/>
              </w:rPr>
            </w:pPr>
          </w:p>
        </w:tc>
      </w:tr>
      <w:tr>
        <w:trPr>
          <w:trHeight w:val="235"/>
        </w:trPr>
        <w:tc>
          <w:tcPr>
            <w:tcW w:w="1840" w:type="dxa"/>
            <w:vAlign w:val="bottom"/>
            <w:vMerge w:val="continue"/>
          </w:tcPr>
          <w:p>
            <w:pPr>
              <w:jc w:val="right"/>
              <w:spacing w:after="0" w:line="178" w:lineRule="exact"/>
              <w:rPr>
                <w:sz w:val="20"/>
                <w:szCs w:val="20"/>
                <w:color w:val="auto"/>
              </w:rPr>
            </w:pPr>
            <w:r>
              <w:rPr>
                <w:rFonts w:ascii="Courier New" w:cs="Courier New" w:eastAsia="Courier New" w:hAnsi="Courier New"/>
                <w:sz w:val="18"/>
                <w:szCs w:val="18"/>
                <w:color w:val="auto"/>
              </w:rPr>
              <w:t>..................................</w:t>
            </w:r>
          </w:p>
        </w:tc>
        <w:tc>
          <w:tcPr>
            <w:tcW w:w="3220" w:type="dxa"/>
            <w:vAlign w:val="bottom"/>
          </w:tcPr>
          <w:p>
            <w:pPr>
              <w:jc w:val="right"/>
              <w:spacing w:after="0"/>
              <w:rPr>
                <w:sz w:val="20"/>
                <w:szCs w:val="20"/>
                <w:color w:val="auto"/>
              </w:rPr>
            </w:pPr>
            <w:r>
              <w:rPr>
                <w:rFonts w:ascii="Courier New" w:cs="Courier New" w:eastAsia="Courier New" w:hAnsi="Courier New"/>
                <w:sz w:val="18"/>
                <w:szCs w:val="18"/>
                <w:color w:val="auto"/>
              </w:rPr>
              <w:t>20,297,698</w:t>
            </w:r>
          </w:p>
        </w:tc>
        <w:tc>
          <w:tcPr>
            <w:tcW w:w="0" w:type="dxa"/>
            <w:vAlign w:val="bottom"/>
          </w:tcPr>
          <w:p>
            <w:pPr>
              <w:spacing w:after="0"/>
              <w:rPr>
                <w:sz w:val="1"/>
                <w:szCs w:val="1"/>
                <w:color w:val="auto"/>
              </w:rPr>
            </w:pPr>
          </w:p>
        </w:tc>
      </w:tr>
    </w:tbl>
    <w:p>
      <w:pPr>
        <w:jc w:val="center"/>
        <w:ind w:right="4939"/>
        <w:spacing w:after="0" w:line="238" w:lineRule="auto"/>
        <w:rPr>
          <w:sz w:val="20"/>
          <w:szCs w:val="20"/>
          <w:color w:val="auto"/>
        </w:rPr>
      </w:pPr>
      <w:r>
        <w:rPr>
          <w:rFonts w:ascii="Courier New" w:cs="Courier New" w:eastAsia="Courier New" w:hAnsi="Courier New"/>
          <w:sz w:val="18"/>
          <w:szCs w:val="18"/>
          <w:color w:val="auto"/>
        </w:rPr>
        <w:t>9.4% 175 E. Houston Street San Antonio, Texas</w:t>
      </w:r>
    </w:p>
    <w:p>
      <w:pPr>
        <w:jc w:val="center"/>
        <w:ind w:right="4939"/>
        <w:spacing w:after="0"/>
        <w:rPr>
          <w:sz w:val="20"/>
          <w:szCs w:val="20"/>
          <w:color w:val="auto"/>
        </w:rPr>
      </w:pPr>
      <w:r>
        <w:rPr>
          <w:rFonts w:ascii="Courier New" w:cs="Courier New" w:eastAsia="Courier New" w:hAnsi="Courier New"/>
          <w:sz w:val="18"/>
          <w:szCs w:val="18"/>
          <w:color w:val="auto"/>
        </w:rPr>
        <w:t>78205-2233 MFS Investment</w:t>
      </w:r>
    </w:p>
    <w:p>
      <w:pPr>
        <w:ind w:left="280"/>
        <w:spacing w:after="0" w:line="238" w:lineRule="auto"/>
        <w:rPr>
          <w:sz w:val="20"/>
          <w:szCs w:val="20"/>
          <w:color w:val="auto"/>
        </w:rPr>
      </w:pPr>
      <w:r>
        <w:rPr>
          <w:rFonts w:ascii="Courier New" w:cs="Courier New" w:eastAsia="Courier New" w:hAnsi="Courier New"/>
          <w:sz w:val="18"/>
          <w:szCs w:val="18"/>
          <w:color w:val="auto"/>
        </w:rPr>
        <w:t>Management(2)................................</w:t>
      </w:r>
    </w:p>
    <w:p>
      <w:pPr>
        <w:jc w:val="center"/>
        <w:ind w:right="4939"/>
        <w:spacing w:after="0"/>
        <w:rPr>
          <w:sz w:val="20"/>
          <w:szCs w:val="20"/>
          <w:color w:val="auto"/>
        </w:rPr>
      </w:pPr>
      <w:r>
        <w:rPr>
          <w:rFonts w:ascii="Courier New" w:cs="Courier New" w:eastAsia="Courier New" w:hAnsi="Courier New"/>
          <w:sz w:val="18"/>
          <w:szCs w:val="18"/>
          <w:color w:val="auto"/>
        </w:rPr>
        <w:t>17,225,000 8.0% 500 Boylston Street, 15th Floor</w:t>
      </w:r>
    </w:p>
    <w:p>
      <w:pPr>
        <w:jc w:val="center"/>
        <w:ind w:right="4939"/>
        <w:spacing w:after="0" w:line="238" w:lineRule="auto"/>
        <w:rPr>
          <w:sz w:val="20"/>
          <w:szCs w:val="20"/>
          <w:color w:val="auto"/>
        </w:rPr>
      </w:pPr>
      <w:r>
        <w:rPr>
          <w:rFonts w:ascii="Courier New" w:cs="Courier New" w:eastAsia="Courier New" w:hAnsi="Courier New"/>
          <w:sz w:val="18"/>
          <w:szCs w:val="18"/>
          <w:color w:val="auto"/>
        </w:rPr>
        <w:t>Boston, Massachusetts 02116 All directors and</w:t>
      </w:r>
    </w:p>
    <w:p>
      <w:pPr>
        <w:jc w:val="center"/>
        <w:ind w:right="4939"/>
        <w:spacing w:after="0"/>
        <w:rPr>
          <w:sz w:val="20"/>
          <w:szCs w:val="20"/>
          <w:color w:val="auto"/>
        </w:rPr>
      </w:pPr>
      <w:r>
        <w:rPr>
          <w:rFonts w:ascii="Courier New" w:cs="Courier New" w:eastAsia="Courier New" w:hAnsi="Courier New"/>
          <w:sz w:val="18"/>
          <w:szCs w:val="18"/>
          <w:color w:val="auto"/>
        </w:rPr>
        <w:t>executive officers as a group (18 persons)</w:t>
      </w:r>
    </w:p>
    <w:p>
      <w:pPr>
        <w:spacing w:after="0" w:line="238" w:lineRule="auto"/>
        <w:rPr>
          <w:sz w:val="20"/>
          <w:szCs w:val="20"/>
          <w:color w:val="auto"/>
        </w:rPr>
      </w:pPr>
      <w:r>
        <w:rPr>
          <w:rFonts w:ascii="Courier New" w:cs="Courier New" w:eastAsia="Courier New" w:hAnsi="Courier New"/>
          <w:sz w:val="18"/>
          <w:szCs w:val="18"/>
          <w:color w:val="auto"/>
        </w:rPr>
        <w:t>(3)...............................................</w:t>
      </w:r>
    </w:p>
    <w:p>
      <w:pPr>
        <w:ind w:left="1800"/>
        <w:spacing w:after="0"/>
        <w:rPr>
          <w:sz w:val="20"/>
          <w:szCs w:val="20"/>
          <w:color w:val="auto"/>
        </w:rPr>
      </w:pPr>
      <w:r>
        <w:rPr>
          <w:rFonts w:ascii="Courier New" w:cs="Courier New" w:eastAsia="Courier New" w:hAnsi="Courier New"/>
          <w:sz w:val="18"/>
          <w:szCs w:val="18"/>
          <w:color w:val="auto"/>
        </w:rPr>
        <w:t>33,465,836 15.4%</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31" w:lineRule="exact"/>
        <w:rPr>
          <w:sz w:val="20"/>
          <w:szCs w:val="20"/>
          <w:color w:val="auto"/>
        </w:rPr>
      </w:pPr>
    </w:p>
    <w:p>
      <w:pPr>
        <w:ind w:left="420" w:right="2099" w:hanging="412"/>
        <w:spacing w:after="0" w:line="256" w:lineRule="auto"/>
        <w:tabs>
          <w:tab w:leader="none" w:pos="42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upon information provided to us by SBC, SBCI, a wholly owned subsidiary of SBC, holds 7,551,875 of our ordinary shares, and SBC Option Delivery LLC, a majority-owned subsidiary of SBCI holds 12,745,823 of our ordinary shares. James S. Kahan, Senior Executive Vice President of SBC, serves on our Board of Directors.</w:t>
      </w:r>
    </w:p>
    <w:p>
      <w:pPr>
        <w:spacing w:after="0" w:line="95" w:lineRule="exact"/>
        <w:rPr>
          <w:rFonts w:ascii="Courier New" w:cs="Courier New" w:eastAsia="Courier New" w:hAnsi="Courier New"/>
          <w:sz w:val="18"/>
          <w:szCs w:val="18"/>
          <w:color w:val="auto"/>
        </w:rPr>
      </w:pPr>
    </w:p>
    <w:p>
      <w:pPr>
        <w:ind w:left="420" w:right="2099" w:hanging="412"/>
        <w:spacing w:after="0" w:line="292" w:lineRule="auto"/>
        <w:tabs>
          <w:tab w:leader="none" w:pos="42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a third-party report obtained by the Company regarding share ownership by institutional investors, MFS Investment Management Co. owned 17,225,000 shares at November 25, 2003.</w:t>
      </w:r>
    </w:p>
    <w:p>
      <w:pPr>
        <w:spacing w:after="0" w:line="66" w:lineRule="exact"/>
        <w:rPr>
          <w:rFonts w:ascii="Courier New" w:cs="Courier New" w:eastAsia="Courier New" w:hAnsi="Courier New"/>
          <w:sz w:val="18"/>
          <w:szCs w:val="18"/>
          <w:color w:val="auto"/>
        </w:rPr>
      </w:pPr>
    </w:p>
    <w:p>
      <w:pPr>
        <w:ind w:left="420" w:right="1879" w:hanging="412"/>
        <w:spacing w:after="0" w:line="256" w:lineRule="auto"/>
        <w:tabs>
          <w:tab w:leader="none" w:pos="42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ordinary shares held by SBC. See footnote 1 above. Mr. Kahan, Senior Executive Vice President of SBC, serves on the Company's Board of Directors and, accordingly, may be deemed to be the beneficial owner of the ordinary shares held by SBC. Mr. Kahan disclaims beneficial ownership of such shares. Also includes options granted to such directors and executive officers of the Company, which are exercisable within 60 days of November 28, 2003.</w:t>
      </w:r>
    </w:p>
    <w:p>
      <w:pPr>
        <w:spacing w:after="0" w:line="98" w:lineRule="exact"/>
        <w:rPr>
          <w:sz w:val="20"/>
          <w:szCs w:val="20"/>
          <w:color w:val="auto"/>
        </w:rPr>
      </w:pPr>
    </w:p>
    <w:p>
      <w:pPr>
        <w:ind w:right="1879" w:firstLine="527"/>
        <w:spacing w:after="0" w:line="283" w:lineRule="auto"/>
        <w:rPr>
          <w:sz w:val="20"/>
          <w:szCs w:val="20"/>
          <w:color w:val="auto"/>
        </w:rPr>
      </w:pPr>
      <w:r>
        <w:rPr>
          <w:rFonts w:ascii="Courier New" w:cs="Courier New" w:eastAsia="Courier New" w:hAnsi="Courier New"/>
          <w:sz w:val="16"/>
          <w:szCs w:val="16"/>
          <w:color w:val="auto"/>
        </w:rPr>
        <w:t>Over the last three years, our major shareholders have included our directors and executive officers as a group, SBC, WCAS and other institutional investors. The share ownership by SBC has not significantly changed during this period. Investment partnerships affiliated with WCAS, which had been major shareholders in each of the last three fiscal years, ceased to be shareholders of the Company in September 2003 as a result of distributions made to the partners of such investment partnerships. Although the ownership of our directors and executive officers as a group appears to have decreased substantially in fiscal 2003, excluding the shares held WCAS, the share ownership has not changed significantly during the last three years. Because Messrs. Anderson and Minicucci, affiliates of various WCAS entities, serve on</w:t>
      </w:r>
    </w:p>
    <w:p>
      <w:pPr>
        <w:spacing w:after="0" w:line="29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52</w:t>
      </w:r>
    </w:p>
    <w:p>
      <w:pPr>
        <w:sectPr>
          <w:pgSz w:w="11900" w:h="16838" w:orient="portrait"/>
          <w:cols w:equalWidth="0" w:num="1">
            <w:col w:w="10219"/>
          </w:cols>
          <w:pgMar w:left="240" w:top="691" w:right="1440" w:bottom="793" w:gutter="0" w:footer="0" w:header="0"/>
        </w:sectPr>
      </w:pPr>
    </w:p>
    <w:bookmarkStart w:id="57" w:name="page58"/>
    <w:bookmarkEnd w:id="57"/>
    <w:p>
      <w:pPr>
        <w:ind w:right="1779"/>
        <w:spacing w:after="0" w:line="256" w:lineRule="auto"/>
        <w:rPr>
          <w:sz w:val="20"/>
          <w:szCs w:val="20"/>
          <w:color w:val="auto"/>
        </w:rPr>
      </w:pPr>
      <w:r>
        <w:rPr>
          <w:rFonts w:ascii="Courier New" w:cs="Courier New" w:eastAsia="Courier New" w:hAnsi="Courier New"/>
          <w:sz w:val="18"/>
          <w:szCs w:val="18"/>
          <w:color w:val="auto"/>
        </w:rPr>
        <w:t>our Board of Directors, the shares owned by WCAS had been included in the aggregate holdings of our executive officers and directors as a group in prior years. Southeastern Asset Management, which had been a major shareholder in fiscal 2002, ceased to be a major shareholder in June 2003. AXA Financial, which had been a major shareholder in fiscal 2001, ceased to be a major shareholder in December 2002. MFS Investment Management became a major shareholder in September 2003.</w:t>
      </w:r>
    </w:p>
    <w:p>
      <w:pPr>
        <w:spacing w:after="0" w:line="98" w:lineRule="exact"/>
        <w:rPr>
          <w:sz w:val="20"/>
          <w:szCs w:val="20"/>
          <w:color w:val="auto"/>
        </w:rPr>
      </w:pPr>
    </w:p>
    <w:p>
      <w:pPr>
        <w:ind w:right="2519" w:firstLine="527"/>
        <w:spacing w:after="0" w:line="274" w:lineRule="auto"/>
        <w:rPr>
          <w:sz w:val="20"/>
          <w:szCs w:val="20"/>
          <w:color w:val="auto"/>
        </w:rPr>
      </w:pPr>
      <w:r>
        <w:rPr>
          <w:rFonts w:ascii="Courier New" w:cs="Courier New" w:eastAsia="Courier New" w:hAnsi="Courier New"/>
          <w:sz w:val="18"/>
          <w:szCs w:val="18"/>
          <w:color w:val="auto"/>
        </w:rPr>
        <w:t>As of December 11, 2003, our ordinary shares were held by 231 recordholders. Based on a review of the information provided to us by our transfer agent, 173 recordholders, holding approximately 96.2% of our outstanding ordinary shares, were residents of the United States.</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RELATED PARTY TRANSACTIONS</w:t>
      </w:r>
    </w:p>
    <w:p>
      <w:pPr>
        <w:spacing w:after="0" w:line="201" w:lineRule="exact"/>
        <w:rPr>
          <w:sz w:val="20"/>
          <w:szCs w:val="20"/>
          <w:color w:val="auto"/>
        </w:rPr>
      </w:pPr>
    </w:p>
    <w:p>
      <w:pPr>
        <w:ind w:right="1779" w:firstLine="527"/>
        <w:spacing w:after="0" w:line="252" w:lineRule="auto"/>
        <w:rPr>
          <w:sz w:val="20"/>
          <w:szCs w:val="20"/>
          <w:color w:val="auto"/>
        </w:rPr>
      </w:pPr>
      <w:r>
        <w:rPr>
          <w:rFonts w:ascii="Courier New" w:cs="Courier New" w:eastAsia="Courier New" w:hAnsi="Courier New"/>
          <w:sz w:val="18"/>
          <w:szCs w:val="18"/>
          <w:color w:val="auto"/>
        </w:rPr>
        <w:t>In addition to being a major shareholder, SBC, and some of its operating subsidiaries, are also significant customers of ours. During fiscal 2003, 2002 and 2001, SBC and those subsidiaries accounted for approximately 11%, 11% and 13%, respectively, of our revenue. Based on long-term agreements currently in place with certain SBC subsidiaries and the Managed Services agreement announced in January 2003 with SBC's directory operations, we expect that revenue attributable to SBC entities will remain a significant portion of our revenue in 2004. Mr. Kahan, a member of our Board of Directors, is also Senior Executive Vice President of SBC.</w:t>
      </w:r>
    </w:p>
    <w:p>
      <w:pPr>
        <w:spacing w:after="0" w:line="99" w:lineRule="exact"/>
        <w:rPr>
          <w:sz w:val="20"/>
          <w:szCs w:val="20"/>
          <w:color w:val="auto"/>
        </w:rPr>
      </w:pPr>
    </w:p>
    <w:p>
      <w:pPr>
        <w:ind w:right="2939" w:firstLine="527"/>
        <w:spacing w:after="0" w:line="347" w:lineRule="auto"/>
        <w:rPr>
          <w:sz w:val="20"/>
          <w:szCs w:val="20"/>
          <w:color w:val="auto"/>
        </w:rPr>
      </w:pPr>
      <w:r>
        <w:rPr>
          <w:rFonts w:ascii="Courier New" w:cs="Courier New" w:eastAsia="Courier New" w:hAnsi="Courier New"/>
          <w:sz w:val="18"/>
          <w:szCs w:val="18"/>
          <w:color w:val="auto"/>
        </w:rPr>
        <w:t>SBC is also a beneficial owner of companies that provide certain miscellaneous support services to us in United States.</w:t>
      </w:r>
    </w:p>
    <w:p>
      <w:pPr>
        <w:spacing w:after="0" w:line="1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FINANCIAL INFORMATION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FINANCIAL STATEMENTS</w:t>
      </w:r>
    </w:p>
    <w:p>
      <w:pPr>
        <w:spacing w:after="0" w:line="201" w:lineRule="exact"/>
        <w:rPr>
          <w:sz w:val="20"/>
          <w:szCs w:val="20"/>
          <w:color w:val="auto"/>
        </w:rPr>
      </w:pPr>
    </w:p>
    <w:p>
      <w:pPr>
        <w:ind w:right="1779" w:firstLine="527"/>
        <w:spacing w:after="0" w:line="402" w:lineRule="auto"/>
        <w:rPr>
          <w:sz w:val="20"/>
          <w:szCs w:val="20"/>
          <w:color w:val="auto"/>
        </w:rPr>
      </w:pPr>
      <w:r>
        <w:rPr>
          <w:rFonts w:ascii="Courier New" w:cs="Courier New" w:eastAsia="Courier New" w:hAnsi="Courier New"/>
          <w:sz w:val="16"/>
          <w:szCs w:val="16"/>
          <w:color w:val="auto"/>
        </w:rPr>
        <w:t>See "Financial Statements" for our audited Consolidated Financial Statements and Financial Statement Schedule filed as part of this Annual Report.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LEGAL PROCEEDINGS</w:t>
      </w:r>
    </w:p>
    <w:p>
      <w:pPr>
        <w:spacing w:after="0" w:line="201" w:lineRule="exact"/>
        <w:rPr>
          <w:sz w:val="20"/>
          <w:szCs w:val="20"/>
          <w:color w:val="auto"/>
        </w:rPr>
      </w:pPr>
    </w:p>
    <w:p>
      <w:pPr>
        <w:ind w:right="1779" w:firstLine="527"/>
        <w:spacing w:after="0" w:line="250" w:lineRule="auto"/>
        <w:rPr>
          <w:sz w:val="20"/>
          <w:szCs w:val="20"/>
          <w:color w:val="auto"/>
        </w:rPr>
      </w:pPr>
      <w:r>
        <w:rPr>
          <w:rFonts w:ascii="Courier New" w:cs="Courier New" w:eastAsia="Courier New" w:hAnsi="Courier New"/>
          <w:sz w:val="18"/>
          <w:szCs w:val="18"/>
          <w:color w:val="auto"/>
        </w:rPr>
        <w:t>On December 2, 2003 we announced that the United States District Court for the Eastern District of Missouri had issued an order granting our motion to dismiss the securities class action lawsuits that had been pending against us and certain of our directors and officers since June 2002. The court's order also directed that judgment be entered in favor of the defendants. The consolidated complaint filed in the action alleged that we and the individual defendants had made false or misleading statements about our business and future prospects during a putative class period between July 18, 2000 and June 20, 2002. Under the Federal rules the plaintiffs have a period of 30 days in which to appeal the court's decision.</w:t>
      </w:r>
    </w:p>
    <w:p>
      <w:pPr>
        <w:spacing w:after="0" w:line="1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DIVIDEND POLICY</w:t>
      </w:r>
    </w:p>
    <w:p>
      <w:pPr>
        <w:spacing w:after="0" w:line="201" w:lineRule="exact"/>
        <w:rPr>
          <w:sz w:val="20"/>
          <w:szCs w:val="20"/>
          <w:color w:val="auto"/>
        </w:rPr>
      </w:pPr>
    </w:p>
    <w:p>
      <w:pPr>
        <w:ind w:right="1779" w:firstLine="527"/>
        <w:spacing w:after="0" w:line="253" w:lineRule="auto"/>
        <w:rPr>
          <w:sz w:val="20"/>
          <w:szCs w:val="20"/>
          <w:color w:val="auto"/>
        </w:rPr>
      </w:pPr>
      <w:r>
        <w:rPr>
          <w:rFonts w:ascii="Courier New" w:cs="Courier New" w:eastAsia="Courier New" w:hAnsi="Courier New"/>
          <w:sz w:val="18"/>
          <w:szCs w:val="18"/>
          <w:color w:val="auto"/>
        </w:rPr>
        <w:t>We did not pay any cash dividends on our ordinary shares in fiscal 2003, 2002 or 2001. After the payment of dividends in 1998 that followed a corporate reorganization, we decided in general to retain earnings to finance the development of our business. The payment of any future dividends will be paid by us based on conditions then existing, including our earnings, financial condition and capital requirements, as well as other conditions we deem relevant. The terms of any debt that we may incur could effectively limit our ability to pay dividends.</w:t>
      </w:r>
    </w:p>
    <w:p>
      <w:pPr>
        <w:spacing w:after="0" w:line="1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53</w:t>
      </w:r>
    </w:p>
    <w:p>
      <w:pPr>
        <w:sectPr>
          <w:pgSz w:w="11900" w:h="16838" w:orient="portrait"/>
          <w:cols w:equalWidth="0" w:num="1">
            <w:col w:w="10219"/>
          </w:cols>
          <w:pgMar w:left="240" w:top="691" w:right="1440" w:bottom="1440" w:gutter="0" w:footer="0" w:header="0"/>
        </w:sectPr>
      </w:pPr>
    </w:p>
    <w:bookmarkStart w:id="58" w:name="page59"/>
    <w:bookmarkEnd w:id="58"/>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THE OFFER AND LISTING</w:t>
      </w:r>
    </w:p>
    <w:p>
      <w:pPr>
        <w:spacing w:after="0" w:line="201" w:lineRule="exact"/>
        <w:rPr>
          <w:sz w:val="20"/>
          <w:szCs w:val="20"/>
          <w:color w:val="auto"/>
        </w:rPr>
      </w:pPr>
    </w:p>
    <w:p>
      <w:pPr>
        <w:ind w:right="1779" w:firstLine="527"/>
        <w:spacing w:after="0" w:line="292" w:lineRule="auto"/>
        <w:rPr>
          <w:sz w:val="20"/>
          <w:szCs w:val="20"/>
          <w:color w:val="auto"/>
        </w:rPr>
      </w:pPr>
      <w:r>
        <w:rPr>
          <w:rFonts w:ascii="Courier New" w:cs="Courier New" w:eastAsia="Courier New" w:hAnsi="Courier New"/>
          <w:sz w:val="18"/>
          <w:szCs w:val="18"/>
          <w:color w:val="auto"/>
        </w:rPr>
        <w:t>Our ordinary shares have been quoted on the NYSE since June 19, 1998, under the symbol "DOX". The following table sets forth the high and low reported sale prices for our ordinary shares for the periods indicated:</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60" w:type="dxa"/>
            <w:vAlign w:val="bottom"/>
          </w:tcPr>
          <w:p>
            <w:pPr>
              <w:jc w:val="right"/>
              <w:spacing w:after="0"/>
              <w:rPr>
                <w:sz w:val="20"/>
                <w:szCs w:val="20"/>
                <w:color w:val="auto"/>
              </w:rPr>
            </w:pPr>
            <w:r>
              <w:rPr>
                <w:rFonts w:ascii="Courier New" w:cs="Courier New" w:eastAsia="Courier New" w:hAnsi="Courier New"/>
                <w:sz w:val="18"/>
                <w:szCs w:val="18"/>
                <w:color w:val="auto"/>
              </w:rPr>
              <w:t>HIGH LOW -------</w:t>
            </w:r>
          </w:p>
        </w:tc>
        <w:tc>
          <w:tcPr>
            <w:tcW w:w="420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 FISCAL YEAR ENDED SEPTEMBER 30</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1"/>
        </w:trPr>
        <w:tc>
          <w:tcPr>
            <w:tcW w:w="1860" w:type="dxa"/>
            <w:vAlign w:val="bottom"/>
          </w:tcPr>
          <w:p>
            <w:pPr>
              <w:jc w:val="right"/>
              <w:spacing w:after="0"/>
              <w:rPr>
                <w:sz w:val="20"/>
                <w:szCs w:val="20"/>
                <w:color w:val="auto"/>
              </w:rPr>
            </w:pPr>
            <w:r>
              <w:rPr>
                <w:rFonts w:ascii="Courier New" w:cs="Courier New" w:eastAsia="Courier New" w:hAnsi="Courier New"/>
                <w:sz w:val="2"/>
                <w:szCs w:val="2"/>
                <w:color w:val="auto"/>
                <w:w w:val="85"/>
                <w:vertAlign w:val="superscript"/>
              </w:rPr>
              <w:t>1999................................................................................................................</w:t>
            </w:r>
            <w:r>
              <w:rPr>
                <w:rFonts w:ascii="Courier New" w:cs="Courier New" w:eastAsia="Courier New" w:hAnsi="Courier New"/>
                <w:sz w:val="1"/>
                <w:szCs w:val="1"/>
                <w:color w:val="auto"/>
                <w:w w:val="85"/>
              </w:rPr>
              <w:t>........................................................</w:t>
            </w:r>
            <w:r>
              <w:rPr>
                <w:rFonts w:ascii="Courier New" w:cs="Courier New" w:eastAsia="Courier New" w:hAnsi="Courier New"/>
                <w:sz w:val="2"/>
                <w:szCs w:val="2"/>
                <w:color w:val="auto"/>
                <w:w w:val="85"/>
                <w:vertAlign w:val="subscript"/>
              </w:rPr>
              <w:t>................................................................................................................</w:t>
            </w:r>
          </w:p>
        </w:tc>
        <w:tc>
          <w:tcPr>
            <w:tcW w:w="1340" w:type="dxa"/>
            <w:vAlign w:val="bottom"/>
            <w:gridSpan w:val="2"/>
            <w:vMerge w:val="restart"/>
          </w:tcPr>
          <w:p>
            <w:pPr>
              <w:jc w:val="right"/>
              <w:spacing w:after="0"/>
              <w:rPr>
                <w:sz w:val="20"/>
                <w:szCs w:val="20"/>
                <w:color w:val="auto"/>
              </w:rPr>
            </w:pPr>
            <w:r>
              <w:rPr>
                <w:rFonts w:ascii="Courier New" w:cs="Courier New" w:eastAsia="Courier New" w:hAnsi="Courier New"/>
                <w:sz w:val="18"/>
                <w:szCs w:val="18"/>
                <w:color w:val="auto"/>
              </w:rPr>
              <w:t>$ 30.25</w:t>
            </w:r>
          </w:p>
        </w:tc>
        <w:tc>
          <w:tcPr>
            <w:tcW w:w="2860" w:type="dxa"/>
            <w:vAlign w:val="bottom"/>
            <w:vMerge w:val="restart"/>
          </w:tcPr>
          <w:p>
            <w:pPr>
              <w:jc w:val="center"/>
              <w:ind w:right="1992"/>
              <w:spacing w:after="0"/>
              <w:rPr>
                <w:sz w:val="20"/>
                <w:szCs w:val="20"/>
                <w:color w:val="auto"/>
              </w:rPr>
            </w:pPr>
            <w:r>
              <w:rPr>
                <w:rFonts w:ascii="Courier New" w:cs="Courier New" w:eastAsia="Courier New" w:hAnsi="Courier New"/>
                <w:sz w:val="18"/>
                <w:szCs w:val="18"/>
                <w:color w:val="auto"/>
                <w:w w:val="95"/>
              </w:rPr>
              <w:t>$ 8.75</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860" w:type="dxa"/>
            <w:vAlign w:val="bottom"/>
            <w:vMerge w:val="restart"/>
          </w:tcPr>
          <w:p>
            <w:pPr>
              <w:jc w:val="right"/>
              <w:ind w:right="1377"/>
              <w:spacing w:after="0"/>
              <w:rPr>
                <w:sz w:val="20"/>
                <w:szCs w:val="20"/>
                <w:color w:val="auto"/>
              </w:rPr>
            </w:pPr>
            <w:r>
              <w:rPr>
                <w:rFonts w:ascii="Courier New" w:cs="Courier New" w:eastAsia="Courier New" w:hAnsi="Courier New"/>
                <w:sz w:val="18"/>
                <w:szCs w:val="18"/>
                <w:color w:val="auto"/>
                <w:w w:val="92"/>
              </w:rPr>
              <w:t>2000</w:t>
            </w:r>
          </w:p>
        </w:tc>
        <w:tc>
          <w:tcPr>
            <w:tcW w:w="1340" w:type="dxa"/>
            <w:vAlign w:val="bottom"/>
            <w:gridSpan w:val="2"/>
            <w:vMerge w:val="continue"/>
          </w:tcPr>
          <w:p>
            <w:pPr>
              <w:spacing w:after="0"/>
              <w:rPr>
                <w:sz w:val="10"/>
                <w:szCs w:val="10"/>
                <w:color w:val="auto"/>
              </w:rPr>
            </w:pPr>
          </w:p>
        </w:tc>
        <w:tc>
          <w:tcPr>
            <w:tcW w:w="286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1860" w:type="dxa"/>
            <w:vAlign w:val="bottom"/>
            <w:vMerge w:val="continue"/>
          </w:tcPr>
          <w:p>
            <w:pPr>
              <w:spacing w:after="0"/>
              <w:rPr>
                <w:sz w:val="17"/>
                <w:szCs w:val="17"/>
                <w:color w:val="auto"/>
              </w:rPr>
            </w:pPr>
          </w:p>
        </w:tc>
        <w:tc>
          <w:tcPr>
            <w:tcW w:w="1340" w:type="dxa"/>
            <w:vAlign w:val="bottom"/>
            <w:gridSpan w:val="2"/>
            <w:vMerge w:val="restart"/>
          </w:tcPr>
          <w:p>
            <w:pPr>
              <w:jc w:val="right"/>
              <w:spacing w:after="0"/>
              <w:rPr>
                <w:sz w:val="20"/>
                <w:szCs w:val="20"/>
                <w:color w:val="auto"/>
              </w:rPr>
            </w:pPr>
            <w:r>
              <w:rPr>
                <w:rFonts w:ascii="Courier New" w:cs="Courier New" w:eastAsia="Courier New" w:hAnsi="Courier New"/>
                <w:sz w:val="18"/>
                <w:szCs w:val="18"/>
                <w:color w:val="auto"/>
              </w:rPr>
              <w:t>$ 96.00</w:t>
            </w:r>
          </w:p>
        </w:tc>
        <w:tc>
          <w:tcPr>
            <w:tcW w:w="2860" w:type="dxa"/>
            <w:vAlign w:val="bottom"/>
            <w:vMerge w:val="restart"/>
          </w:tcPr>
          <w:p>
            <w:pPr>
              <w:jc w:val="center"/>
              <w:ind w:right="1992"/>
              <w:spacing w:after="0"/>
              <w:rPr>
                <w:sz w:val="20"/>
                <w:szCs w:val="20"/>
                <w:color w:val="auto"/>
              </w:rPr>
            </w:pPr>
            <w:r>
              <w:rPr>
                <w:rFonts w:ascii="Courier New" w:cs="Courier New" w:eastAsia="Courier New" w:hAnsi="Courier New"/>
                <w:sz w:val="18"/>
                <w:szCs w:val="18"/>
                <w:color w:val="auto"/>
                <w:w w:val="97"/>
              </w:rPr>
              <w:t>$ 19.81</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60" w:type="dxa"/>
            <w:vAlign w:val="bottom"/>
            <w:vMerge w:val="restart"/>
          </w:tcPr>
          <w:p>
            <w:pPr>
              <w:jc w:val="right"/>
              <w:ind w:right="1377"/>
              <w:spacing w:after="0"/>
              <w:rPr>
                <w:sz w:val="20"/>
                <w:szCs w:val="20"/>
                <w:color w:val="auto"/>
              </w:rPr>
            </w:pPr>
            <w:r>
              <w:rPr>
                <w:rFonts w:ascii="Courier New" w:cs="Courier New" w:eastAsia="Courier New" w:hAnsi="Courier New"/>
                <w:sz w:val="18"/>
                <w:szCs w:val="18"/>
                <w:color w:val="auto"/>
                <w:w w:val="92"/>
              </w:rPr>
              <w:t>2001</w:t>
            </w:r>
          </w:p>
        </w:tc>
        <w:tc>
          <w:tcPr>
            <w:tcW w:w="1340" w:type="dxa"/>
            <w:vAlign w:val="bottom"/>
            <w:gridSpan w:val="2"/>
            <w:vMerge w:val="continue"/>
          </w:tcPr>
          <w:p>
            <w:pPr>
              <w:spacing w:after="0"/>
              <w:rPr>
                <w:sz w:val="17"/>
                <w:szCs w:val="17"/>
                <w:color w:val="auto"/>
              </w:rPr>
            </w:pPr>
          </w:p>
        </w:tc>
        <w:tc>
          <w:tcPr>
            <w:tcW w:w="28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60" w:type="dxa"/>
            <w:vAlign w:val="bottom"/>
            <w:vMerge w:val="continue"/>
          </w:tcPr>
          <w:p>
            <w:pPr>
              <w:spacing w:after="0"/>
              <w:rPr>
                <w:sz w:val="17"/>
                <w:szCs w:val="17"/>
                <w:color w:val="auto"/>
              </w:rPr>
            </w:pPr>
          </w:p>
        </w:tc>
        <w:tc>
          <w:tcPr>
            <w:tcW w:w="1340" w:type="dxa"/>
            <w:vAlign w:val="bottom"/>
            <w:gridSpan w:val="2"/>
            <w:vMerge w:val="restart"/>
          </w:tcPr>
          <w:p>
            <w:pPr>
              <w:jc w:val="right"/>
              <w:spacing w:after="0"/>
              <w:rPr>
                <w:sz w:val="20"/>
                <w:szCs w:val="20"/>
                <w:color w:val="auto"/>
              </w:rPr>
            </w:pPr>
            <w:r>
              <w:rPr>
                <w:rFonts w:ascii="Courier New" w:cs="Courier New" w:eastAsia="Courier New" w:hAnsi="Courier New"/>
                <w:sz w:val="18"/>
                <w:szCs w:val="18"/>
                <w:color w:val="auto"/>
              </w:rPr>
              <w:t>$ 80.50</w:t>
            </w:r>
          </w:p>
        </w:tc>
        <w:tc>
          <w:tcPr>
            <w:tcW w:w="2860" w:type="dxa"/>
            <w:vAlign w:val="bottom"/>
            <w:vMerge w:val="restart"/>
          </w:tcPr>
          <w:p>
            <w:pPr>
              <w:jc w:val="center"/>
              <w:ind w:right="1992"/>
              <w:spacing w:after="0"/>
              <w:rPr>
                <w:sz w:val="20"/>
                <w:szCs w:val="20"/>
                <w:color w:val="auto"/>
              </w:rPr>
            </w:pPr>
            <w:r>
              <w:rPr>
                <w:rFonts w:ascii="Courier New" w:cs="Courier New" w:eastAsia="Courier New" w:hAnsi="Courier New"/>
                <w:sz w:val="18"/>
                <w:szCs w:val="18"/>
                <w:color w:val="auto"/>
                <w:w w:val="97"/>
              </w:rPr>
              <w:t>$ 25.85</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60" w:type="dxa"/>
            <w:vAlign w:val="bottom"/>
            <w:vMerge w:val="restart"/>
          </w:tcPr>
          <w:p>
            <w:pPr>
              <w:jc w:val="right"/>
              <w:ind w:right="1377"/>
              <w:spacing w:after="0"/>
              <w:rPr>
                <w:sz w:val="20"/>
                <w:szCs w:val="20"/>
                <w:color w:val="auto"/>
              </w:rPr>
            </w:pPr>
            <w:r>
              <w:rPr>
                <w:rFonts w:ascii="Courier New" w:cs="Courier New" w:eastAsia="Courier New" w:hAnsi="Courier New"/>
                <w:sz w:val="18"/>
                <w:szCs w:val="18"/>
                <w:color w:val="auto"/>
                <w:w w:val="92"/>
              </w:rPr>
              <w:t>2002</w:t>
            </w:r>
          </w:p>
        </w:tc>
        <w:tc>
          <w:tcPr>
            <w:tcW w:w="1340" w:type="dxa"/>
            <w:vAlign w:val="bottom"/>
            <w:gridSpan w:val="2"/>
            <w:vMerge w:val="continue"/>
          </w:tcPr>
          <w:p>
            <w:pPr>
              <w:spacing w:after="0"/>
              <w:rPr>
                <w:sz w:val="17"/>
                <w:szCs w:val="17"/>
                <w:color w:val="auto"/>
              </w:rPr>
            </w:pPr>
          </w:p>
        </w:tc>
        <w:tc>
          <w:tcPr>
            <w:tcW w:w="28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60" w:type="dxa"/>
            <w:vAlign w:val="bottom"/>
            <w:vMerge w:val="continue"/>
          </w:tcPr>
          <w:p>
            <w:pPr>
              <w:spacing w:after="0"/>
              <w:rPr>
                <w:sz w:val="17"/>
                <w:szCs w:val="17"/>
                <w:color w:val="auto"/>
              </w:rPr>
            </w:pPr>
          </w:p>
        </w:tc>
        <w:tc>
          <w:tcPr>
            <w:tcW w:w="1340" w:type="dxa"/>
            <w:vAlign w:val="bottom"/>
            <w:gridSpan w:val="2"/>
            <w:vMerge w:val="restart"/>
          </w:tcPr>
          <w:p>
            <w:pPr>
              <w:jc w:val="right"/>
              <w:spacing w:after="0"/>
              <w:rPr>
                <w:sz w:val="20"/>
                <w:szCs w:val="20"/>
                <w:color w:val="auto"/>
              </w:rPr>
            </w:pPr>
            <w:r>
              <w:rPr>
                <w:rFonts w:ascii="Courier New" w:cs="Courier New" w:eastAsia="Courier New" w:hAnsi="Courier New"/>
                <w:sz w:val="18"/>
                <w:szCs w:val="18"/>
                <w:color w:val="auto"/>
              </w:rPr>
              <w:t>$ 39.25</w:t>
            </w:r>
          </w:p>
        </w:tc>
        <w:tc>
          <w:tcPr>
            <w:tcW w:w="2860" w:type="dxa"/>
            <w:vAlign w:val="bottom"/>
            <w:vMerge w:val="restart"/>
          </w:tcPr>
          <w:p>
            <w:pPr>
              <w:jc w:val="center"/>
              <w:ind w:right="1992"/>
              <w:spacing w:after="0"/>
              <w:rPr>
                <w:sz w:val="20"/>
                <w:szCs w:val="20"/>
                <w:color w:val="auto"/>
              </w:rPr>
            </w:pPr>
            <w:r>
              <w:rPr>
                <w:rFonts w:ascii="Courier New" w:cs="Courier New" w:eastAsia="Courier New" w:hAnsi="Courier New"/>
                <w:sz w:val="18"/>
                <w:szCs w:val="18"/>
                <w:color w:val="auto"/>
                <w:w w:val="95"/>
              </w:rPr>
              <w:t>$ 6.10</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60" w:type="dxa"/>
            <w:vAlign w:val="bottom"/>
            <w:vMerge w:val="restart"/>
          </w:tcPr>
          <w:p>
            <w:pPr>
              <w:jc w:val="right"/>
              <w:ind w:right="1377"/>
              <w:spacing w:after="0"/>
              <w:rPr>
                <w:sz w:val="20"/>
                <w:szCs w:val="20"/>
                <w:color w:val="auto"/>
              </w:rPr>
            </w:pPr>
            <w:r>
              <w:rPr>
                <w:rFonts w:ascii="Courier New" w:cs="Courier New" w:eastAsia="Courier New" w:hAnsi="Courier New"/>
                <w:sz w:val="18"/>
                <w:szCs w:val="18"/>
                <w:color w:val="auto"/>
                <w:w w:val="92"/>
              </w:rPr>
              <w:t>2003</w:t>
            </w:r>
          </w:p>
        </w:tc>
        <w:tc>
          <w:tcPr>
            <w:tcW w:w="1340" w:type="dxa"/>
            <w:vAlign w:val="bottom"/>
            <w:gridSpan w:val="2"/>
            <w:vMerge w:val="continue"/>
          </w:tcPr>
          <w:p>
            <w:pPr>
              <w:spacing w:after="0"/>
              <w:rPr>
                <w:sz w:val="17"/>
                <w:szCs w:val="17"/>
                <w:color w:val="auto"/>
              </w:rPr>
            </w:pPr>
          </w:p>
        </w:tc>
        <w:tc>
          <w:tcPr>
            <w:tcW w:w="28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1860" w:type="dxa"/>
            <w:vAlign w:val="bottom"/>
            <w:vMerge w:val="continue"/>
          </w:tcPr>
          <w:p>
            <w:pPr>
              <w:spacing w:after="0"/>
              <w:rPr>
                <w:sz w:val="9"/>
                <w:szCs w:val="9"/>
                <w:color w:val="auto"/>
              </w:rPr>
            </w:pPr>
          </w:p>
        </w:tc>
        <w:tc>
          <w:tcPr>
            <w:tcW w:w="4200" w:type="dxa"/>
            <w:vAlign w:val="bottom"/>
            <w:gridSpan w:val="3"/>
            <w:vMerge w:val="restart"/>
          </w:tcPr>
          <w:p>
            <w:pPr>
              <w:jc w:val="right"/>
              <w:ind w:right="652"/>
              <w:spacing w:after="0"/>
              <w:rPr>
                <w:sz w:val="20"/>
                <w:szCs w:val="20"/>
                <w:color w:val="auto"/>
              </w:rPr>
            </w:pPr>
            <w:r>
              <w:rPr>
                <w:rFonts w:ascii="Courier New" w:cs="Courier New" w:eastAsia="Courier New" w:hAnsi="Courier New"/>
                <w:sz w:val="18"/>
                <w:szCs w:val="18"/>
                <w:color w:val="auto"/>
                <w:w w:val="96"/>
              </w:rPr>
              <w:t>$ 5.85 QUARTER Fiscal 2002: First</w:t>
            </w: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1860" w:type="dxa"/>
            <w:vAlign w:val="bottom"/>
          </w:tcPr>
          <w:p>
            <w:pPr>
              <w:jc w:val="right"/>
              <w:ind w:right="57"/>
              <w:spacing w:after="0" w:line="203" w:lineRule="exact"/>
              <w:rPr>
                <w:sz w:val="20"/>
                <w:szCs w:val="20"/>
                <w:color w:val="auto"/>
              </w:rPr>
            </w:pPr>
            <w:r>
              <w:rPr>
                <w:rFonts w:ascii="Courier New" w:cs="Courier New" w:eastAsia="Courier New" w:hAnsi="Courier New"/>
                <w:sz w:val="18"/>
                <w:szCs w:val="18"/>
                <w:color w:val="auto"/>
              </w:rPr>
              <w:t>$ 27.25</w:t>
            </w:r>
          </w:p>
        </w:tc>
        <w:tc>
          <w:tcPr>
            <w:tcW w:w="4200" w:type="dxa"/>
            <w:vAlign w:val="bottom"/>
            <w:gridSpan w:val="3"/>
            <w:vMerge w:val="continue"/>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60" w:type="dxa"/>
            <w:vAlign w:val="bottom"/>
          </w:tcPr>
          <w:p>
            <w:pPr>
              <w:jc w:val="right"/>
              <w:spacing w:after="0"/>
              <w:rPr>
                <w:sz w:val="20"/>
                <w:szCs w:val="20"/>
                <w:color w:val="auto"/>
              </w:rPr>
            </w:pPr>
            <w:r>
              <w:rPr>
                <w:rFonts w:ascii="Courier New" w:cs="Courier New" w:eastAsia="Courier New" w:hAnsi="Courier New"/>
                <w:sz w:val="4"/>
                <w:szCs w:val="4"/>
                <w:color w:val="auto"/>
                <w:w w:val="74"/>
              </w:rPr>
              <w:t>Quarter</w:t>
            </w:r>
            <w:r>
              <w:rPr>
                <w:rFonts w:ascii="Courier New" w:cs="Courier New" w:eastAsia="Courier New" w:hAnsi="Courier New"/>
                <w:sz w:val="7"/>
                <w:szCs w:val="7"/>
                <w:color w:val="auto"/>
                <w:w w:val="74"/>
                <w:vertAlign w:val="subscript"/>
              </w:rPr>
              <w:t>............................................</w:t>
            </w:r>
            <w:r>
              <w:rPr>
                <w:rFonts w:ascii="Courier New" w:cs="Courier New" w:eastAsia="Courier New" w:hAnsi="Courier New"/>
                <w:sz w:val="4"/>
                <w:szCs w:val="4"/>
                <w:color w:val="auto"/>
                <w:w w:val="74"/>
              </w:rPr>
              <w:t>.............................................</w:t>
            </w:r>
          </w:p>
        </w:tc>
        <w:tc>
          <w:tcPr>
            <w:tcW w:w="8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35.90</w:t>
            </w:r>
          </w:p>
        </w:tc>
        <w:tc>
          <w:tcPr>
            <w:tcW w:w="500" w:type="dxa"/>
            <w:vAlign w:val="bottom"/>
          </w:tcPr>
          <w:p>
            <w:pPr>
              <w:spacing w:after="0"/>
              <w:rPr>
                <w:sz w:val="17"/>
                <w:szCs w:val="17"/>
                <w:color w:val="auto"/>
              </w:rPr>
            </w:pPr>
          </w:p>
        </w:tc>
        <w:tc>
          <w:tcPr>
            <w:tcW w:w="2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60" w:type="dxa"/>
            <w:vAlign w:val="bottom"/>
            <w:vMerge w:val="restart"/>
          </w:tcPr>
          <w:p>
            <w:pPr>
              <w:jc w:val="right"/>
              <w:ind w:right="997"/>
              <w:spacing w:after="0"/>
              <w:rPr>
                <w:sz w:val="20"/>
                <w:szCs w:val="20"/>
                <w:color w:val="auto"/>
              </w:rPr>
            </w:pPr>
            <w:r>
              <w:rPr>
                <w:rFonts w:ascii="Courier New" w:cs="Courier New" w:eastAsia="Courier New" w:hAnsi="Courier New"/>
                <w:sz w:val="18"/>
                <w:szCs w:val="18"/>
                <w:color w:val="auto"/>
              </w:rPr>
              <w:t>Quarter</w:t>
            </w:r>
          </w:p>
        </w:tc>
        <w:tc>
          <w:tcPr>
            <w:tcW w:w="840" w:type="dxa"/>
            <w:vAlign w:val="bottom"/>
            <w:vMerge w:val="continue"/>
          </w:tcPr>
          <w:p>
            <w:pPr>
              <w:spacing w:after="0"/>
              <w:rPr>
                <w:sz w:val="17"/>
                <w:szCs w:val="17"/>
                <w:color w:val="auto"/>
              </w:rPr>
            </w:pPr>
          </w:p>
        </w:tc>
        <w:tc>
          <w:tcPr>
            <w:tcW w:w="3360" w:type="dxa"/>
            <w:vAlign w:val="bottom"/>
            <w:gridSpan w:val="2"/>
          </w:tcPr>
          <w:p>
            <w:pPr>
              <w:jc w:val="center"/>
              <w:ind w:right="1712"/>
              <w:spacing w:after="0" w:line="203" w:lineRule="exact"/>
              <w:rPr>
                <w:sz w:val="20"/>
                <w:szCs w:val="20"/>
                <w:color w:val="auto"/>
              </w:rPr>
            </w:pPr>
            <w:r>
              <w:rPr>
                <w:rFonts w:ascii="Courier New" w:cs="Courier New" w:eastAsia="Courier New" w:hAnsi="Courier New"/>
                <w:sz w:val="18"/>
                <w:szCs w:val="18"/>
                <w:color w:val="auto"/>
                <w:w w:val="97"/>
              </w:rPr>
              <w:t>$ 24.00 Second</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60" w:type="dxa"/>
            <w:vAlign w:val="bottom"/>
            <w:vMerge w:val="continue"/>
          </w:tcPr>
          <w:p>
            <w:pPr>
              <w:spacing w:after="0"/>
              <w:rPr>
                <w:sz w:val="17"/>
                <w:szCs w:val="17"/>
                <w:color w:val="auto"/>
              </w:rPr>
            </w:pPr>
          </w:p>
        </w:tc>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$ 39.25</w:t>
            </w:r>
          </w:p>
        </w:tc>
        <w:tc>
          <w:tcPr>
            <w:tcW w:w="0" w:type="dxa"/>
            <w:vAlign w:val="bottom"/>
          </w:tcPr>
          <w:p>
            <w:pPr>
              <w:spacing w:after="0"/>
              <w:rPr>
                <w:sz w:val="1"/>
                <w:szCs w:val="1"/>
                <w:color w:val="auto"/>
              </w:rPr>
            </w:pPr>
          </w:p>
        </w:tc>
      </w:tr>
      <w:tr>
        <w:trPr>
          <w:trHeight w:val="203"/>
        </w:trPr>
        <w:tc>
          <w:tcPr>
            <w:tcW w:w="1860" w:type="dxa"/>
            <w:vAlign w:val="bottom"/>
            <w:vMerge w:val="restart"/>
          </w:tcPr>
          <w:p>
            <w:pPr>
              <w:jc w:val="right"/>
              <w:spacing w:after="0"/>
              <w:rPr>
                <w:sz w:val="20"/>
                <w:szCs w:val="20"/>
                <w:color w:val="auto"/>
              </w:rPr>
            </w:pPr>
            <w:r>
              <w:rPr>
                <w:rFonts w:ascii="Courier New" w:cs="Courier New" w:eastAsia="Courier New" w:hAnsi="Courier New"/>
                <w:sz w:val="4"/>
                <w:szCs w:val="4"/>
                <w:color w:val="auto"/>
                <w:w w:val="74"/>
              </w:rPr>
              <w:t>Quarter</w:t>
            </w:r>
            <w:r>
              <w:rPr>
                <w:rFonts w:ascii="Courier New" w:cs="Courier New" w:eastAsia="Courier New" w:hAnsi="Courier New"/>
                <w:sz w:val="7"/>
                <w:szCs w:val="7"/>
                <w:color w:val="auto"/>
                <w:w w:val="74"/>
                <w:vertAlign w:val="subscript"/>
              </w:rPr>
              <w:t>............................................</w:t>
            </w:r>
            <w:r>
              <w:rPr>
                <w:rFonts w:ascii="Courier New" w:cs="Courier New" w:eastAsia="Courier New" w:hAnsi="Courier New"/>
                <w:sz w:val="4"/>
                <w:szCs w:val="4"/>
                <w:color w:val="auto"/>
                <w:w w:val="74"/>
              </w:rPr>
              <w:t>.............................................</w:t>
            </w:r>
          </w:p>
        </w:tc>
        <w:tc>
          <w:tcPr>
            <w:tcW w:w="4200" w:type="dxa"/>
            <w:vAlign w:val="bottom"/>
            <w:gridSpan w:val="3"/>
          </w:tcPr>
          <w:p>
            <w:pPr>
              <w:jc w:val="center"/>
              <w:ind w:right="1492"/>
              <w:spacing w:after="0" w:line="203" w:lineRule="exact"/>
              <w:rPr>
                <w:sz w:val="20"/>
                <w:szCs w:val="20"/>
                <w:color w:val="auto"/>
              </w:rPr>
            </w:pPr>
            <w:r>
              <w:rPr>
                <w:rFonts w:ascii="Courier New" w:cs="Courier New" w:eastAsia="Courier New" w:hAnsi="Courier New"/>
                <w:sz w:val="18"/>
                <w:szCs w:val="18"/>
                <w:color w:val="auto"/>
                <w:w w:val="98"/>
              </w:rPr>
              <w:t>$ 23.60 Third</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60" w:type="dxa"/>
            <w:vAlign w:val="bottom"/>
            <w:vMerge w:val="continue"/>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26.27</w:t>
            </w:r>
          </w:p>
        </w:tc>
        <w:tc>
          <w:tcPr>
            <w:tcW w:w="500" w:type="dxa"/>
            <w:vAlign w:val="bottom"/>
          </w:tcPr>
          <w:p>
            <w:pPr>
              <w:spacing w:after="0"/>
              <w:rPr>
                <w:sz w:val="17"/>
                <w:szCs w:val="17"/>
                <w:color w:val="auto"/>
              </w:rPr>
            </w:pPr>
          </w:p>
        </w:tc>
        <w:tc>
          <w:tcPr>
            <w:tcW w:w="2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60" w:type="dxa"/>
            <w:vAlign w:val="bottom"/>
            <w:vMerge w:val="restart"/>
          </w:tcPr>
          <w:p>
            <w:pPr>
              <w:ind w:left="120"/>
              <w:spacing w:after="0"/>
              <w:rPr>
                <w:sz w:val="20"/>
                <w:szCs w:val="20"/>
                <w:color w:val="auto"/>
              </w:rPr>
            </w:pPr>
            <w:r>
              <w:rPr>
                <w:rFonts w:ascii="Courier New" w:cs="Courier New" w:eastAsia="Courier New" w:hAnsi="Courier New"/>
                <w:sz w:val="18"/>
                <w:szCs w:val="18"/>
                <w:color w:val="auto"/>
              </w:rPr>
              <w:t>Quarter</w:t>
            </w:r>
          </w:p>
        </w:tc>
        <w:tc>
          <w:tcPr>
            <w:tcW w:w="840" w:type="dxa"/>
            <w:vAlign w:val="bottom"/>
            <w:vMerge w:val="continue"/>
          </w:tcPr>
          <w:p>
            <w:pPr>
              <w:spacing w:after="0"/>
              <w:rPr>
                <w:sz w:val="17"/>
                <w:szCs w:val="17"/>
                <w:color w:val="auto"/>
              </w:rPr>
            </w:pPr>
          </w:p>
        </w:tc>
        <w:tc>
          <w:tcPr>
            <w:tcW w:w="3360" w:type="dxa"/>
            <w:vAlign w:val="bottom"/>
            <w:gridSpan w:val="2"/>
          </w:tcPr>
          <w:p>
            <w:pPr>
              <w:jc w:val="center"/>
              <w:ind w:right="1712"/>
              <w:spacing w:after="0" w:line="203" w:lineRule="exact"/>
              <w:rPr>
                <w:sz w:val="20"/>
                <w:szCs w:val="20"/>
                <w:color w:val="auto"/>
              </w:rPr>
            </w:pPr>
            <w:r>
              <w:rPr>
                <w:rFonts w:ascii="Courier New" w:cs="Courier New" w:eastAsia="Courier New" w:hAnsi="Courier New"/>
                <w:sz w:val="18"/>
                <w:szCs w:val="18"/>
                <w:color w:val="auto"/>
                <w:w w:val="96"/>
              </w:rPr>
              <w:t>$ 6.62 Fourth</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60" w:type="dxa"/>
            <w:vAlign w:val="bottom"/>
            <w:vMerge w:val="continue"/>
          </w:tcPr>
          <w:p>
            <w:pPr>
              <w:spacing w:after="0"/>
              <w:rPr>
                <w:sz w:val="17"/>
                <w:szCs w:val="17"/>
                <w:color w:val="auto"/>
              </w:rPr>
            </w:pPr>
          </w:p>
        </w:tc>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$ 9.65</w:t>
            </w:r>
          </w:p>
        </w:tc>
        <w:tc>
          <w:tcPr>
            <w:tcW w:w="0" w:type="dxa"/>
            <w:vAlign w:val="bottom"/>
          </w:tcPr>
          <w:p>
            <w:pPr>
              <w:spacing w:after="0"/>
              <w:rPr>
                <w:sz w:val="1"/>
                <w:szCs w:val="1"/>
                <w:color w:val="auto"/>
              </w:rPr>
            </w:pPr>
          </w:p>
        </w:tc>
      </w:tr>
      <w:tr>
        <w:trPr>
          <w:trHeight w:val="203"/>
        </w:trPr>
        <w:tc>
          <w:tcPr>
            <w:tcW w:w="1860" w:type="dxa"/>
            <w:vAlign w:val="bottom"/>
            <w:vMerge w:val="restart"/>
          </w:tcPr>
          <w:p>
            <w:pPr>
              <w:jc w:val="right"/>
              <w:spacing w:after="0"/>
              <w:rPr>
                <w:sz w:val="20"/>
                <w:szCs w:val="20"/>
                <w:color w:val="auto"/>
              </w:rPr>
            </w:pPr>
            <w:r>
              <w:rPr>
                <w:rFonts w:ascii="Courier New" w:cs="Courier New" w:eastAsia="Courier New" w:hAnsi="Courier New"/>
                <w:sz w:val="4"/>
                <w:szCs w:val="4"/>
                <w:color w:val="auto"/>
                <w:w w:val="74"/>
              </w:rPr>
              <w:t>Quarter</w:t>
            </w:r>
            <w:r>
              <w:rPr>
                <w:rFonts w:ascii="Courier New" w:cs="Courier New" w:eastAsia="Courier New" w:hAnsi="Courier New"/>
                <w:sz w:val="7"/>
                <w:szCs w:val="7"/>
                <w:color w:val="auto"/>
                <w:w w:val="74"/>
                <w:vertAlign w:val="subscript"/>
              </w:rPr>
              <w:t>............................................</w:t>
            </w:r>
            <w:r>
              <w:rPr>
                <w:rFonts w:ascii="Courier New" w:cs="Courier New" w:eastAsia="Courier New" w:hAnsi="Courier New"/>
                <w:sz w:val="4"/>
                <w:szCs w:val="4"/>
                <w:color w:val="auto"/>
                <w:w w:val="74"/>
              </w:rPr>
              <w:t>.............................................</w:t>
            </w:r>
          </w:p>
        </w:tc>
        <w:tc>
          <w:tcPr>
            <w:tcW w:w="4200" w:type="dxa"/>
            <w:vAlign w:val="bottom"/>
            <w:gridSpan w:val="3"/>
          </w:tcPr>
          <w:p>
            <w:pPr>
              <w:jc w:val="center"/>
              <w:ind w:right="1492"/>
              <w:spacing w:after="0" w:line="203" w:lineRule="exact"/>
              <w:rPr>
                <w:sz w:val="20"/>
                <w:szCs w:val="20"/>
                <w:color w:val="auto"/>
              </w:rPr>
            </w:pPr>
            <w:r>
              <w:rPr>
                <w:rFonts w:ascii="Courier New" w:cs="Courier New" w:eastAsia="Courier New" w:hAnsi="Courier New"/>
                <w:sz w:val="18"/>
                <w:szCs w:val="18"/>
                <w:color w:val="auto"/>
                <w:w w:val="97"/>
              </w:rPr>
              <w:t>$ 6.10 Fiscal 2003: First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60" w:type="dxa"/>
            <w:vAlign w:val="bottom"/>
            <w:vMerge w:val="continue"/>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11.98</w:t>
            </w:r>
          </w:p>
        </w:tc>
        <w:tc>
          <w:tcPr>
            <w:tcW w:w="500" w:type="dxa"/>
            <w:vAlign w:val="bottom"/>
          </w:tcPr>
          <w:p>
            <w:pPr>
              <w:spacing w:after="0"/>
              <w:rPr>
                <w:sz w:val="17"/>
                <w:szCs w:val="17"/>
                <w:color w:val="auto"/>
              </w:rPr>
            </w:pPr>
          </w:p>
        </w:tc>
        <w:tc>
          <w:tcPr>
            <w:tcW w:w="2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60" w:type="dxa"/>
            <w:vAlign w:val="bottom"/>
            <w:vMerge w:val="restart"/>
          </w:tcPr>
          <w:p>
            <w:pPr>
              <w:jc w:val="right"/>
              <w:ind w:right="997"/>
              <w:spacing w:after="0"/>
              <w:rPr>
                <w:sz w:val="20"/>
                <w:szCs w:val="20"/>
                <w:color w:val="auto"/>
              </w:rPr>
            </w:pPr>
            <w:r>
              <w:rPr>
                <w:rFonts w:ascii="Courier New" w:cs="Courier New" w:eastAsia="Courier New" w:hAnsi="Courier New"/>
                <w:sz w:val="18"/>
                <w:szCs w:val="18"/>
                <w:color w:val="auto"/>
              </w:rPr>
              <w:t>Quarter</w:t>
            </w:r>
          </w:p>
        </w:tc>
        <w:tc>
          <w:tcPr>
            <w:tcW w:w="840" w:type="dxa"/>
            <w:vAlign w:val="bottom"/>
            <w:vMerge w:val="continue"/>
          </w:tcPr>
          <w:p>
            <w:pPr>
              <w:spacing w:after="0"/>
              <w:rPr>
                <w:sz w:val="17"/>
                <w:szCs w:val="17"/>
                <w:color w:val="auto"/>
              </w:rPr>
            </w:pPr>
          </w:p>
        </w:tc>
        <w:tc>
          <w:tcPr>
            <w:tcW w:w="3360" w:type="dxa"/>
            <w:vAlign w:val="bottom"/>
            <w:gridSpan w:val="2"/>
          </w:tcPr>
          <w:p>
            <w:pPr>
              <w:jc w:val="center"/>
              <w:ind w:right="1712"/>
              <w:spacing w:after="0" w:line="203" w:lineRule="exact"/>
              <w:rPr>
                <w:sz w:val="20"/>
                <w:szCs w:val="20"/>
                <w:color w:val="auto"/>
              </w:rPr>
            </w:pPr>
            <w:r>
              <w:rPr>
                <w:rFonts w:ascii="Courier New" w:cs="Courier New" w:eastAsia="Courier New" w:hAnsi="Courier New"/>
                <w:sz w:val="18"/>
                <w:szCs w:val="18"/>
                <w:color w:val="auto"/>
                <w:w w:val="96"/>
              </w:rPr>
              <w:t>$ 5.85 Second</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60" w:type="dxa"/>
            <w:vAlign w:val="bottom"/>
            <w:vMerge w:val="continue"/>
          </w:tcPr>
          <w:p>
            <w:pPr>
              <w:spacing w:after="0"/>
              <w:rPr>
                <w:sz w:val="17"/>
                <w:szCs w:val="17"/>
                <w:color w:val="auto"/>
              </w:rPr>
            </w:pPr>
          </w:p>
        </w:tc>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$ 13.95</w:t>
            </w:r>
          </w:p>
        </w:tc>
        <w:tc>
          <w:tcPr>
            <w:tcW w:w="0" w:type="dxa"/>
            <w:vAlign w:val="bottom"/>
          </w:tcPr>
          <w:p>
            <w:pPr>
              <w:spacing w:after="0"/>
              <w:rPr>
                <w:sz w:val="1"/>
                <w:szCs w:val="1"/>
                <w:color w:val="auto"/>
              </w:rPr>
            </w:pPr>
          </w:p>
        </w:tc>
      </w:tr>
      <w:tr>
        <w:trPr>
          <w:trHeight w:val="203"/>
        </w:trPr>
        <w:tc>
          <w:tcPr>
            <w:tcW w:w="1860" w:type="dxa"/>
            <w:vAlign w:val="bottom"/>
            <w:vMerge w:val="restart"/>
          </w:tcPr>
          <w:p>
            <w:pPr>
              <w:jc w:val="right"/>
              <w:spacing w:after="0"/>
              <w:rPr>
                <w:sz w:val="20"/>
                <w:szCs w:val="20"/>
                <w:color w:val="auto"/>
              </w:rPr>
            </w:pPr>
            <w:r>
              <w:rPr>
                <w:rFonts w:ascii="Courier New" w:cs="Courier New" w:eastAsia="Courier New" w:hAnsi="Courier New"/>
                <w:sz w:val="4"/>
                <w:szCs w:val="4"/>
                <w:color w:val="auto"/>
                <w:w w:val="74"/>
              </w:rPr>
              <w:t>Quarter</w:t>
            </w:r>
            <w:r>
              <w:rPr>
                <w:rFonts w:ascii="Courier New" w:cs="Courier New" w:eastAsia="Courier New" w:hAnsi="Courier New"/>
                <w:sz w:val="7"/>
                <w:szCs w:val="7"/>
                <w:color w:val="auto"/>
                <w:w w:val="74"/>
                <w:vertAlign w:val="subscript"/>
              </w:rPr>
              <w:t>............................................</w:t>
            </w:r>
            <w:r>
              <w:rPr>
                <w:rFonts w:ascii="Courier New" w:cs="Courier New" w:eastAsia="Courier New" w:hAnsi="Courier New"/>
                <w:sz w:val="4"/>
                <w:szCs w:val="4"/>
                <w:color w:val="auto"/>
                <w:w w:val="74"/>
              </w:rPr>
              <w:t>.............................................</w:t>
            </w:r>
          </w:p>
        </w:tc>
        <w:tc>
          <w:tcPr>
            <w:tcW w:w="4200" w:type="dxa"/>
            <w:vAlign w:val="bottom"/>
            <w:gridSpan w:val="3"/>
          </w:tcPr>
          <w:p>
            <w:pPr>
              <w:jc w:val="center"/>
              <w:ind w:right="1492"/>
              <w:spacing w:after="0" w:line="203" w:lineRule="exact"/>
              <w:rPr>
                <w:sz w:val="20"/>
                <w:szCs w:val="20"/>
                <w:color w:val="auto"/>
              </w:rPr>
            </w:pPr>
            <w:r>
              <w:rPr>
                <w:rFonts w:ascii="Courier New" w:cs="Courier New" w:eastAsia="Courier New" w:hAnsi="Courier New"/>
                <w:sz w:val="18"/>
                <w:szCs w:val="18"/>
                <w:color w:val="auto"/>
                <w:w w:val="97"/>
              </w:rPr>
              <w:t>$ 9.86 Third</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60" w:type="dxa"/>
            <w:vAlign w:val="bottom"/>
            <w:vMerge w:val="continue"/>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25.01</w:t>
            </w:r>
          </w:p>
        </w:tc>
        <w:tc>
          <w:tcPr>
            <w:tcW w:w="500" w:type="dxa"/>
            <w:vAlign w:val="bottom"/>
          </w:tcPr>
          <w:p>
            <w:pPr>
              <w:spacing w:after="0"/>
              <w:rPr>
                <w:sz w:val="17"/>
                <w:szCs w:val="17"/>
                <w:color w:val="auto"/>
              </w:rPr>
            </w:pPr>
          </w:p>
        </w:tc>
        <w:tc>
          <w:tcPr>
            <w:tcW w:w="2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60" w:type="dxa"/>
            <w:vAlign w:val="bottom"/>
            <w:vMerge w:val="restart"/>
          </w:tcPr>
          <w:p>
            <w:pPr>
              <w:jc w:val="right"/>
              <w:ind w:right="997"/>
              <w:spacing w:after="0"/>
              <w:rPr>
                <w:sz w:val="20"/>
                <w:szCs w:val="20"/>
                <w:color w:val="auto"/>
              </w:rPr>
            </w:pPr>
            <w:r>
              <w:rPr>
                <w:rFonts w:ascii="Courier New" w:cs="Courier New" w:eastAsia="Courier New" w:hAnsi="Courier New"/>
                <w:sz w:val="18"/>
                <w:szCs w:val="18"/>
                <w:color w:val="auto"/>
              </w:rPr>
              <w:t>Quarter</w:t>
            </w:r>
          </w:p>
        </w:tc>
        <w:tc>
          <w:tcPr>
            <w:tcW w:w="840" w:type="dxa"/>
            <w:vAlign w:val="bottom"/>
            <w:vMerge w:val="continue"/>
          </w:tcPr>
          <w:p>
            <w:pPr>
              <w:spacing w:after="0"/>
              <w:rPr>
                <w:sz w:val="17"/>
                <w:szCs w:val="17"/>
                <w:color w:val="auto"/>
              </w:rPr>
            </w:pPr>
          </w:p>
        </w:tc>
        <w:tc>
          <w:tcPr>
            <w:tcW w:w="3360" w:type="dxa"/>
            <w:vAlign w:val="bottom"/>
            <w:gridSpan w:val="2"/>
          </w:tcPr>
          <w:p>
            <w:pPr>
              <w:jc w:val="center"/>
              <w:ind w:right="1712"/>
              <w:spacing w:after="0" w:line="203" w:lineRule="exact"/>
              <w:rPr>
                <w:sz w:val="20"/>
                <w:szCs w:val="20"/>
                <w:color w:val="auto"/>
              </w:rPr>
            </w:pPr>
            <w:r>
              <w:rPr>
                <w:rFonts w:ascii="Courier New" w:cs="Courier New" w:eastAsia="Courier New" w:hAnsi="Courier New"/>
                <w:sz w:val="18"/>
                <w:szCs w:val="18"/>
                <w:color w:val="auto"/>
                <w:w w:val="97"/>
              </w:rPr>
              <w:t>$ 13.25 Fourth</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60" w:type="dxa"/>
            <w:vAlign w:val="bottom"/>
            <w:vMerge w:val="continue"/>
          </w:tcPr>
          <w:p>
            <w:pPr>
              <w:spacing w:after="0"/>
              <w:rPr>
                <w:sz w:val="17"/>
                <w:szCs w:val="17"/>
                <w:color w:val="auto"/>
              </w:rPr>
            </w:pPr>
          </w:p>
        </w:tc>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$ 27.25</w:t>
            </w:r>
          </w:p>
        </w:tc>
        <w:tc>
          <w:tcPr>
            <w:tcW w:w="0" w:type="dxa"/>
            <w:vAlign w:val="bottom"/>
          </w:tcPr>
          <w:p>
            <w:pPr>
              <w:spacing w:after="0"/>
              <w:rPr>
                <w:sz w:val="1"/>
                <w:szCs w:val="1"/>
                <w:color w:val="auto"/>
              </w:rPr>
            </w:pPr>
          </w:p>
        </w:tc>
      </w:tr>
      <w:tr>
        <w:trPr>
          <w:trHeight w:val="203"/>
        </w:trPr>
        <w:tc>
          <w:tcPr>
            <w:tcW w:w="6280" w:type="dxa"/>
            <w:vAlign w:val="bottom"/>
            <w:gridSpan w:val="5"/>
          </w:tcPr>
          <w:p>
            <w:pPr>
              <w:jc w:val="center"/>
              <w:spacing w:after="0" w:line="203" w:lineRule="exact"/>
              <w:rPr>
                <w:sz w:val="20"/>
                <w:szCs w:val="20"/>
                <w:color w:val="auto"/>
              </w:rPr>
            </w:pPr>
            <w:r>
              <w:rPr>
                <w:rFonts w:ascii="Courier New" w:cs="Courier New" w:eastAsia="Courier New" w:hAnsi="Courier New"/>
                <w:sz w:val="18"/>
                <w:szCs w:val="18"/>
                <w:color w:val="auto"/>
                <w:w w:val="97"/>
              </w:rPr>
              <w:t>$ 18.55 Fiscal 2004: First Quarter (through December 22,</w:t>
            </w:r>
          </w:p>
        </w:tc>
        <w:tc>
          <w:tcPr>
            <w:tcW w:w="0" w:type="dxa"/>
            <w:vAlign w:val="bottom"/>
          </w:tcPr>
          <w:p>
            <w:pPr>
              <w:spacing w:after="0"/>
              <w:rPr>
                <w:sz w:val="1"/>
                <w:szCs w:val="1"/>
                <w:color w:val="auto"/>
              </w:rPr>
            </w:pPr>
          </w:p>
        </w:tc>
      </w:tr>
      <w:tr>
        <w:trPr>
          <w:trHeight w:val="203"/>
        </w:trPr>
        <w:tc>
          <w:tcPr>
            <w:tcW w:w="2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2003).................</w:t>
            </w:r>
          </w:p>
        </w:tc>
        <w:tc>
          <w:tcPr>
            <w:tcW w:w="3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$ 27.10 $ 18.90 MOST RECENT SIX</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60" w:type="dxa"/>
            <w:vAlign w:val="bottom"/>
            <w:vMerge w:val="restart"/>
          </w:tcPr>
          <w:p>
            <w:pPr>
              <w:jc w:val="right"/>
              <w:spacing w:after="0"/>
              <w:rPr>
                <w:sz w:val="20"/>
                <w:szCs w:val="20"/>
                <w:color w:val="auto"/>
              </w:rPr>
            </w:pPr>
            <w:r>
              <w:rPr>
                <w:rFonts w:ascii="Courier New" w:cs="Courier New" w:eastAsia="Courier New" w:hAnsi="Courier New"/>
                <w:sz w:val="4"/>
                <w:szCs w:val="4"/>
                <w:color w:val="auto"/>
                <w:w w:val="85"/>
                <w:vertAlign w:val="superscript"/>
              </w:rPr>
              <w:t>2003</w:t>
            </w:r>
            <w:r>
              <w:rPr>
                <w:rFonts w:ascii="Courier New" w:cs="Courier New" w:eastAsia="Courier New" w:hAnsi="Courier New"/>
                <w:sz w:val="4"/>
                <w:szCs w:val="4"/>
                <w:color w:val="auto"/>
                <w:w w:val="85"/>
                <w:vertAlign w:val="subscript"/>
              </w:rPr>
              <w:t>..............................................</w:t>
            </w:r>
            <w:r>
              <w:rPr>
                <w:rFonts w:ascii="Courier New" w:cs="Courier New" w:eastAsia="Courier New" w:hAnsi="Courier New"/>
                <w:sz w:val="4"/>
                <w:szCs w:val="4"/>
                <w:color w:val="auto"/>
                <w:w w:val="85"/>
                <w:vertAlign w:val="superscript"/>
              </w:rPr>
              <w:t>................................................</w:t>
            </w:r>
            <w:r>
              <w:rPr>
                <w:rFonts w:ascii="Courier New" w:cs="Courier New" w:eastAsia="Courier New" w:hAnsi="Courier New"/>
                <w:sz w:val="2"/>
                <w:szCs w:val="2"/>
                <w:color w:val="auto"/>
                <w:w w:val="85"/>
              </w:rPr>
              <w:t>................................................</w:t>
            </w:r>
          </w:p>
        </w:tc>
        <w:tc>
          <w:tcPr>
            <w:tcW w:w="4200" w:type="dxa"/>
            <w:vAlign w:val="bottom"/>
            <w:gridSpan w:val="3"/>
          </w:tcPr>
          <w:p>
            <w:pPr>
              <w:jc w:val="center"/>
              <w:ind w:right="1492"/>
              <w:spacing w:after="0" w:line="203" w:lineRule="exact"/>
              <w:rPr>
                <w:sz w:val="20"/>
                <w:szCs w:val="20"/>
                <w:color w:val="auto"/>
              </w:rPr>
            </w:pPr>
            <w:r>
              <w:rPr>
                <w:rFonts w:ascii="Courier New" w:cs="Courier New" w:eastAsia="Courier New" w:hAnsi="Courier New"/>
                <w:sz w:val="18"/>
                <w:szCs w:val="18"/>
                <w:color w:val="auto"/>
                <w:w w:val="97"/>
              </w:rPr>
              <w:t>MONTHS June,</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60" w:type="dxa"/>
            <w:vAlign w:val="bottom"/>
            <w:vMerge w:val="continue"/>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25.01</w:t>
            </w:r>
          </w:p>
        </w:tc>
        <w:tc>
          <w:tcPr>
            <w:tcW w:w="500" w:type="dxa"/>
            <w:vAlign w:val="bottom"/>
          </w:tcPr>
          <w:p>
            <w:pPr>
              <w:spacing w:after="0"/>
              <w:rPr>
                <w:sz w:val="17"/>
                <w:szCs w:val="17"/>
                <w:color w:val="auto"/>
              </w:rPr>
            </w:pPr>
          </w:p>
        </w:tc>
        <w:tc>
          <w:tcPr>
            <w:tcW w:w="2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60" w:type="dxa"/>
            <w:vAlign w:val="bottom"/>
            <w:vMerge w:val="restart"/>
          </w:tcPr>
          <w:p>
            <w:pPr>
              <w:jc w:val="right"/>
              <w:ind w:right="1057"/>
              <w:spacing w:after="0"/>
              <w:rPr>
                <w:sz w:val="20"/>
                <w:szCs w:val="20"/>
                <w:color w:val="auto"/>
              </w:rPr>
            </w:pPr>
            <w:r>
              <w:rPr>
                <w:rFonts w:ascii="Courier New" w:cs="Courier New" w:eastAsia="Courier New" w:hAnsi="Courier New"/>
                <w:sz w:val="18"/>
                <w:szCs w:val="18"/>
                <w:color w:val="auto"/>
              </w:rPr>
              <w:t>2003</w:t>
            </w:r>
          </w:p>
        </w:tc>
        <w:tc>
          <w:tcPr>
            <w:tcW w:w="840" w:type="dxa"/>
            <w:vAlign w:val="bottom"/>
            <w:vMerge w:val="continue"/>
          </w:tcPr>
          <w:p>
            <w:pPr>
              <w:spacing w:after="0"/>
              <w:rPr>
                <w:sz w:val="17"/>
                <w:szCs w:val="17"/>
                <w:color w:val="auto"/>
              </w:rPr>
            </w:pPr>
          </w:p>
        </w:tc>
        <w:tc>
          <w:tcPr>
            <w:tcW w:w="3360" w:type="dxa"/>
            <w:vAlign w:val="bottom"/>
            <w:gridSpan w:val="2"/>
          </w:tcPr>
          <w:p>
            <w:pPr>
              <w:jc w:val="center"/>
              <w:ind w:right="1712"/>
              <w:spacing w:after="0" w:line="203" w:lineRule="exact"/>
              <w:rPr>
                <w:sz w:val="20"/>
                <w:szCs w:val="20"/>
                <w:color w:val="auto"/>
              </w:rPr>
            </w:pPr>
            <w:r>
              <w:rPr>
                <w:rFonts w:ascii="Courier New" w:cs="Courier New" w:eastAsia="Courier New" w:hAnsi="Courier New"/>
                <w:sz w:val="18"/>
                <w:szCs w:val="18"/>
                <w:color w:val="auto"/>
                <w:w w:val="96"/>
              </w:rPr>
              <w:t>$ 19.60 July,</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60" w:type="dxa"/>
            <w:vAlign w:val="bottom"/>
            <w:vMerge w:val="continue"/>
          </w:tcPr>
          <w:p>
            <w:pPr>
              <w:spacing w:after="0"/>
              <w:rPr>
                <w:sz w:val="17"/>
                <w:szCs w:val="17"/>
                <w:color w:val="auto"/>
              </w:rPr>
            </w:pPr>
          </w:p>
        </w:tc>
        <w:tc>
          <w:tcPr>
            <w:tcW w:w="84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27.25</w:t>
            </w:r>
          </w:p>
        </w:tc>
        <w:tc>
          <w:tcPr>
            <w:tcW w:w="500" w:type="dxa"/>
            <w:vAlign w:val="bottom"/>
          </w:tcPr>
          <w:p>
            <w:pPr>
              <w:spacing w:after="0"/>
              <w:rPr>
                <w:sz w:val="17"/>
                <w:szCs w:val="17"/>
                <w:color w:val="auto"/>
              </w:rPr>
            </w:pPr>
          </w:p>
        </w:tc>
        <w:tc>
          <w:tcPr>
            <w:tcW w:w="2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60" w:type="dxa"/>
            <w:vAlign w:val="bottom"/>
            <w:vMerge w:val="restart"/>
          </w:tcPr>
          <w:p>
            <w:pPr>
              <w:ind w:left="120"/>
              <w:spacing w:after="0"/>
              <w:rPr>
                <w:sz w:val="20"/>
                <w:szCs w:val="20"/>
                <w:color w:val="auto"/>
              </w:rPr>
            </w:pPr>
            <w:r>
              <w:rPr>
                <w:rFonts w:ascii="Courier New" w:cs="Courier New" w:eastAsia="Courier New" w:hAnsi="Courier New"/>
                <w:sz w:val="18"/>
                <w:szCs w:val="18"/>
                <w:color w:val="auto"/>
              </w:rPr>
              <w:t>2003</w:t>
            </w:r>
          </w:p>
        </w:tc>
        <w:tc>
          <w:tcPr>
            <w:tcW w:w="840" w:type="dxa"/>
            <w:vAlign w:val="bottom"/>
            <w:vMerge w:val="continue"/>
          </w:tcPr>
          <w:p>
            <w:pPr>
              <w:spacing w:after="0"/>
              <w:rPr>
                <w:sz w:val="17"/>
                <w:szCs w:val="17"/>
                <w:color w:val="auto"/>
              </w:rPr>
            </w:pPr>
          </w:p>
        </w:tc>
        <w:tc>
          <w:tcPr>
            <w:tcW w:w="3360" w:type="dxa"/>
            <w:vAlign w:val="bottom"/>
            <w:gridSpan w:val="2"/>
          </w:tcPr>
          <w:p>
            <w:pPr>
              <w:jc w:val="center"/>
              <w:ind w:right="1692"/>
              <w:spacing w:after="0" w:line="203" w:lineRule="exact"/>
              <w:rPr>
                <w:sz w:val="20"/>
                <w:szCs w:val="20"/>
                <w:color w:val="auto"/>
              </w:rPr>
            </w:pPr>
            <w:r>
              <w:rPr>
                <w:rFonts w:ascii="Courier New" w:cs="Courier New" w:eastAsia="Courier New" w:hAnsi="Courier New"/>
                <w:sz w:val="18"/>
                <w:szCs w:val="18"/>
                <w:color w:val="auto"/>
                <w:w w:val="97"/>
              </w:rPr>
              <w:t>$ 19.50 August,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60" w:type="dxa"/>
            <w:vAlign w:val="bottom"/>
            <w:vMerge w:val="continue"/>
          </w:tcPr>
          <w:p>
            <w:pPr>
              <w:spacing w:after="0"/>
              <w:rPr>
                <w:sz w:val="17"/>
                <w:szCs w:val="17"/>
                <w:color w:val="auto"/>
              </w:rPr>
            </w:pPr>
          </w:p>
        </w:tc>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$ 22.60</w:t>
            </w:r>
          </w:p>
        </w:tc>
        <w:tc>
          <w:tcPr>
            <w:tcW w:w="0" w:type="dxa"/>
            <w:vAlign w:val="bottom"/>
          </w:tcPr>
          <w:p>
            <w:pPr>
              <w:spacing w:after="0"/>
              <w:rPr>
                <w:sz w:val="1"/>
                <w:szCs w:val="1"/>
                <w:color w:val="auto"/>
              </w:rPr>
            </w:pPr>
          </w:p>
        </w:tc>
      </w:tr>
      <w:tr>
        <w:trPr>
          <w:trHeight w:val="203"/>
        </w:trPr>
        <w:tc>
          <w:tcPr>
            <w:tcW w:w="1860" w:type="dxa"/>
            <w:vAlign w:val="bottom"/>
            <w:vMerge w:val="restart"/>
          </w:tcPr>
          <w:p>
            <w:pPr>
              <w:jc w:val="right"/>
              <w:spacing w:after="0"/>
              <w:rPr>
                <w:sz w:val="20"/>
                <w:szCs w:val="20"/>
                <w:color w:val="auto"/>
              </w:rPr>
            </w:pPr>
            <w:r>
              <w:rPr>
                <w:rFonts w:ascii="Courier New" w:cs="Courier New" w:eastAsia="Courier New" w:hAnsi="Courier New"/>
                <w:sz w:val="9"/>
                <w:szCs w:val="9"/>
                <w:color w:val="auto"/>
                <w:w w:val="72"/>
              </w:rPr>
              <w:t>2003...........................................</w:t>
            </w:r>
          </w:p>
        </w:tc>
        <w:tc>
          <w:tcPr>
            <w:tcW w:w="4200" w:type="dxa"/>
            <w:vAlign w:val="bottom"/>
            <w:gridSpan w:val="3"/>
          </w:tcPr>
          <w:p>
            <w:pPr>
              <w:jc w:val="center"/>
              <w:ind w:right="1492"/>
              <w:spacing w:after="0" w:line="203" w:lineRule="exact"/>
              <w:rPr>
                <w:sz w:val="20"/>
                <w:szCs w:val="20"/>
                <w:color w:val="auto"/>
              </w:rPr>
            </w:pPr>
            <w:r>
              <w:rPr>
                <w:rFonts w:ascii="Courier New" w:cs="Courier New" w:eastAsia="Courier New" w:hAnsi="Courier New"/>
                <w:sz w:val="18"/>
                <w:szCs w:val="18"/>
                <w:color w:val="auto"/>
                <w:w w:val="97"/>
              </w:rPr>
              <w:t>$ 18.55 September,</w:t>
            </w:r>
          </w:p>
        </w:tc>
        <w:tc>
          <w:tcPr>
            <w:tcW w:w="2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w w:val="92"/>
              </w:rPr>
              <w:t>$</w:t>
            </w:r>
          </w:p>
        </w:tc>
        <w:tc>
          <w:tcPr>
            <w:tcW w:w="0" w:type="dxa"/>
            <w:vAlign w:val="bottom"/>
          </w:tcPr>
          <w:p>
            <w:pPr>
              <w:spacing w:after="0"/>
              <w:rPr>
                <w:sz w:val="1"/>
                <w:szCs w:val="1"/>
                <w:color w:val="auto"/>
              </w:rPr>
            </w:pPr>
          </w:p>
        </w:tc>
      </w:tr>
      <w:tr>
        <w:trPr>
          <w:trHeight w:val="203"/>
        </w:trPr>
        <w:tc>
          <w:tcPr>
            <w:tcW w:w="1860" w:type="dxa"/>
            <w:vAlign w:val="bottom"/>
            <w:vMerge w:val="continue"/>
          </w:tcPr>
          <w:p>
            <w:pPr>
              <w:spacing w:after="0"/>
              <w:rPr>
                <w:sz w:val="17"/>
                <w:szCs w:val="17"/>
                <w:color w:val="auto"/>
              </w:rPr>
            </w:pPr>
          </w:p>
        </w:tc>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$ 23.50</w:t>
            </w:r>
          </w:p>
        </w:tc>
        <w:tc>
          <w:tcPr>
            <w:tcW w:w="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60" w:type="dxa"/>
            <w:vAlign w:val="bottom"/>
            <w:vMerge w:val="restart"/>
          </w:tcPr>
          <w:p>
            <w:pPr>
              <w:jc w:val="right"/>
              <w:spacing w:after="0"/>
              <w:rPr>
                <w:sz w:val="20"/>
                <w:szCs w:val="20"/>
                <w:color w:val="auto"/>
              </w:rPr>
            </w:pPr>
            <w:r>
              <w:rPr>
                <w:rFonts w:ascii="Courier New" w:cs="Courier New" w:eastAsia="Courier New" w:hAnsi="Courier New"/>
                <w:sz w:val="8"/>
                <w:szCs w:val="8"/>
                <w:color w:val="auto"/>
                <w:w w:val="78"/>
              </w:rPr>
              <w:t>2003.............................................</w:t>
            </w:r>
          </w:p>
        </w:tc>
        <w:tc>
          <w:tcPr>
            <w:tcW w:w="4200" w:type="dxa"/>
            <w:vAlign w:val="bottom"/>
            <w:gridSpan w:val="3"/>
          </w:tcPr>
          <w:p>
            <w:pPr>
              <w:jc w:val="center"/>
              <w:ind w:right="1492"/>
              <w:spacing w:after="0" w:line="203" w:lineRule="exact"/>
              <w:rPr>
                <w:sz w:val="20"/>
                <w:szCs w:val="20"/>
                <w:color w:val="auto"/>
              </w:rPr>
            </w:pPr>
            <w:r>
              <w:rPr>
                <w:rFonts w:ascii="Courier New" w:cs="Courier New" w:eastAsia="Courier New" w:hAnsi="Courier New"/>
                <w:sz w:val="18"/>
                <w:szCs w:val="18"/>
                <w:color w:val="auto"/>
                <w:w w:val="96"/>
              </w:rPr>
              <w:t>18.60 October,</w:t>
            </w:r>
          </w:p>
        </w:tc>
        <w:tc>
          <w:tcPr>
            <w:tcW w:w="2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860" w:type="dxa"/>
            <w:vAlign w:val="bottom"/>
            <w:vMerge w:val="continue"/>
          </w:tcPr>
          <w:p>
            <w:pPr>
              <w:spacing w:after="0"/>
              <w:rPr>
                <w:sz w:val="17"/>
                <w:szCs w:val="17"/>
                <w:color w:val="auto"/>
              </w:rPr>
            </w:pPr>
          </w:p>
        </w:tc>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$ 21.70</w:t>
            </w:r>
          </w:p>
        </w:tc>
        <w:tc>
          <w:tcPr>
            <w:tcW w:w="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60" w:type="dxa"/>
            <w:vAlign w:val="bottom"/>
            <w:vMerge w:val="restart"/>
          </w:tcPr>
          <w:p>
            <w:pPr>
              <w:jc w:val="right"/>
              <w:spacing w:after="0"/>
              <w:rPr>
                <w:sz w:val="20"/>
                <w:szCs w:val="20"/>
                <w:color w:val="auto"/>
              </w:rPr>
            </w:pPr>
            <w:r>
              <w:rPr>
                <w:rFonts w:ascii="Courier New" w:cs="Courier New" w:eastAsia="Courier New" w:hAnsi="Courier New"/>
                <w:sz w:val="9"/>
                <w:szCs w:val="9"/>
                <w:color w:val="auto"/>
                <w:w w:val="70"/>
              </w:rPr>
              <w:t>2003............................................</w:t>
            </w:r>
          </w:p>
        </w:tc>
        <w:tc>
          <w:tcPr>
            <w:tcW w:w="4200" w:type="dxa"/>
            <w:vAlign w:val="bottom"/>
            <w:gridSpan w:val="3"/>
          </w:tcPr>
          <w:p>
            <w:pPr>
              <w:jc w:val="center"/>
              <w:ind w:right="1492"/>
              <w:spacing w:after="0" w:line="203" w:lineRule="exact"/>
              <w:rPr>
                <w:sz w:val="20"/>
                <w:szCs w:val="20"/>
                <w:color w:val="auto"/>
              </w:rPr>
            </w:pPr>
            <w:r>
              <w:rPr>
                <w:rFonts w:ascii="Courier New" w:cs="Courier New" w:eastAsia="Courier New" w:hAnsi="Courier New"/>
                <w:sz w:val="18"/>
                <w:szCs w:val="18"/>
                <w:color w:val="auto"/>
                <w:w w:val="97"/>
              </w:rPr>
              <w:t>18.90 November,</w:t>
            </w:r>
          </w:p>
        </w:tc>
        <w:tc>
          <w:tcPr>
            <w:tcW w:w="2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860" w:type="dxa"/>
            <w:vAlign w:val="bottom"/>
            <w:vMerge w:val="continue"/>
          </w:tcPr>
          <w:p>
            <w:pPr>
              <w:spacing w:after="0"/>
              <w:rPr>
                <w:sz w:val="17"/>
                <w:szCs w:val="17"/>
                <w:color w:val="auto"/>
              </w:rPr>
            </w:pPr>
          </w:p>
        </w:tc>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$ 25.66</w:t>
            </w:r>
          </w:p>
        </w:tc>
        <w:tc>
          <w:tcPr>
            <w:tcW w:w="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360" w:type="dxa"/>
            <w:vAlign w:val="bottom"/>
            <w:gridSpan w:val="2"/>
          </w:tcPr>
          <w:p>
            <w:pPr>
              <w:jc w:val="center"/>
              <w:ind w:right="2332"/>
              <w:spacing w:after="0"/>
              <w:rPr>
                <w:sz w:val="20"/>
                <w:szCs w:val="20"/>
                <w:color w:val="auto"/>
              </w:rPr>
            </w:pPr>
            <w:r>
              <w:rPr>
                <w:rFonts w:ascii="Courier New" w:cs="Courier New" w:eastAsia="Courier New" w:hAnsi="Courier New"/>
                <w:sz w:val="18"/>
                <w:szCs w:val="18"/>
                <w:color w:val="auto"/>
                <w:w w:val="99"/>
              </w:rPr>
              <w:t>20.85</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ADDITIONAL INFORMATION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MEMORANDUM AND ARTICLES OF ASSOCIATION</w:t>
      </w:r>
    </w:p>
    <w:p>
      <w:pPr>
        <w:spacing w:after="0" w:line="201" w:lineRule="exact"/>
        <w:rPr>
          <w:sz w:val="20"/>
          <w:szCs w:val="20"/>
          <w:color w:val="auto"/>
        </w:rPr>
      </w:pPr>
    </w:p>
    <w:p>
      <w:pPr>
        <w:ind w:right="1879" w:firstLine="527"/>
        <w:spacing w:after="0" w:line="265" w:lineRule="auto"/>
        <w:rPr>
          <w:sz w:val="20"/>
          <w:szCs w:val="20"/>
          <w:color w:val="auto"/>
        </w:rPr>
      </w:pPr>
      <w:r>
        <w:rPr>
          <w:rFonts w:ascii="Courier New" w:cs="Courier New" w:eastAsia="Courier New" w:hAnsi="Courier New"/>
          <w:sz w:val="18"/>
          <w:szCs w:val="18"/>
          <w:color w:val="auto"/>
        </w:rPr>
        <w:t>The Company is registered at the Greffe (Companies Registry) in Guernsey, the Channel Islands and has been assigned company number 19528, registered office situated at Suite 5, Tower Hill House, Le Bordage, St Peter Port, Island of Guernsey, GY1 3QT, Channel Islands. The telephone number at that location is 011-44-1481-728444.</w:t>
      </w:r>
    </w:p>
    <w:p>
      <w:pPr>
        <w:spacing w:after="0" w:line="90" w:lineRule="exact"/>
        <w:rPr>
          <w:sz w:val="20"/>
          <w:szCs w:val="20"/>
          <w:color w:val="auto"/>
        </w:rPr>
      </w:pPr>
    </w:p>
    <w:p>
      <w:pPr>
        <w:ind w:right="1779" w:firstLine="527"/>
        <w:spacing w:after="0" w:line="344" w:lineRule="auto"/>
        <w:rPr>
          <w:sz w:val="20"/>
          <w:szCs w:val="20"/>
          <w:color w:val="auto"/>
        </w:rPr>
      </w:pPr>
      <w:r>
        <w:rPr>
          <w:rFonts w:ascii="Courier New" w:cs="Courier New" w:eastAsia="Courier New" w:hAnsi="Courier New"/>
          <w:sz w:val="16"/>
          <w:szCs w:val="16"/>
          <w:color w:val="auto"/>
        </w:rPr>
        <w:t>The purpose of the Company is to perform any and all corporate activities permissible under Guernsey law, as forth in detail at Clause 3(1) to (37) of the Memorandum of Association of the Company (the "Memorandum of Association").</w:t>
      </w:r>
    </w:p>
    <w:p>
      <w:pPr>
        <w:spacing w:after="0" w:line="31" w:lineRule="exact"/>
        <w:rPr>
          <w:sz w:val="20"/>
          <w:szCs w:val="20"/>
          <w:color w:val="auto"/>
        </w:rPr>
      </w:pPr>
    </w:p>
    <w:p>
      <w:pPr>
        <w:ind w:right="1779" w:firstLine="527"/>
        <w:spacing w:after="0" w:line="250" w:lineRule="auto"/>
        <w:rPr>
          <w:sz w:val="20"/>
          <w:szCs w:val="20"/>
          <w:color w:val="auto"/>
        </w:rPr>
      </w:pPr>
      <w:r>
        <w:rPr>
          <w:rFonts w:ascii="Courier New" w:cs="Courier New" w:eastAsia="Courier New" w:hAnsi="Courier New"/>
          <w:sz w:val="18"/>
          <w:szCs w:val="18"/>
          <w:color w:val="auto"/>
        </w:rPr>
        <w:t>Article 21(2) of the Amended and Restated Articles of Association of the Company (the "Articles of Association") provides that a director may vote in respect of any contract or arrangement in which such director has an interest notwithstanding such director's interest and an interested director will not be liable to the Company for any profit realized through any such contract or arrangement by reason of such director holding the office of director. Article 21 of the Articles of Association provides that the remuneration of the directors shall from time to time be determined by the Company by ordinary resolution. No provision is made in the Articles of Association for directors to vote compensation to</w:t>
      </w:r>
    </w:p>
    <w:p>
      <w:pPr>
        <w:spacing w:after="0" w:line="1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54</w:t>
      </w:r>
    </w:p>
    <w:p>
      <w:pPr>
        <w:sectPr>
          <w:pgSz w:w="11900" w:h="16838" w:orient="portrait"/>
          <w:cols w:equalWidth="0" w:num="1">
            <w:col w:w="10219"/>
          </w:cols>
          <w:pgMar w:left="240" w:top="691" w:right="1440" w:bottom="388" w:gutter="0" w:footer="0" w:header="0"/>
        </w:sectPr>
      </w:pPr>
    </w:p>
    <w:bookmarkStart w:id="59" w:name="page60"/>
    <w:bookmarkEnd w:id="59"/>
    <w:p>
      <w:pPr>
        <w:ind w:right="1779"/>
        <w:spacing w:after="0" w:line="253" w:lineRule="auto"/>
        <w:rPr>
          <w:sz w:val="20"/>
          <w:szCs w:val="20"/>
          <w:color w:val="auto"/>
        </w:rPr>
      </w:pPr>
      <w:r>
        <w:rPr>
          <w:rFonts w:ascii="Courier New" w:cs="Courier New" w:eastAsia="Courier New" w:hAnsi="Courier New"/>
          <w:sz w:val="18"/>
          <w:szCs w:val="18"/>
          <w:color w:val="auto"/>
        </w:rPr>
        <w:t>themselves or any members of their body under any circumstances. Article 22 provides that directors may exercise all the powers of the Company to borrow money, and to mortgage or charge its undertaking, property and uncalled capital or any part thereof, and to issue securities whether outright or as security for any debt, liability or obligation of the Company for any third party. Such borrowing powers can only be altered through an amendment to the Articles of Association. Directors of the Company are not required to own shares of the Company in order to serve as directors.</w:t>
      </w:r>
    </w:p>
    <w:p>
      <w:pPr>
        <w:spacing w:after="0" w:line="104" w:lineRule="exact"/>
        <w:rPr>
          <w:sz w:val="20"/>
          <w:szCs w:val="20"/>
          <w:color w:val="auto"/>
        </w:rPr>
      </w:pPr>
    </w:p>
    <w:p>
      <w:pPr>
        <w:ind w:right="1779" w:firstLine="527"/>
        <w:spacing w:after="0" w:line="253" w:lineRule="auto"/>
        <w:rPr>
          <w:sz w:val="20"/>
          <w:szCs w:val="20"/>
          <w:color w:val="auto"/>
        </w:rPr>
      </w:pPr>
      <w:r>
        <w:rPr>
          <w:rFonts w:ascii="Courier New" w:cs="Courier New" w:eastAsia="Courier New" w:hAnsi="Courier New"/>
          <w:sz w:val="18"/>
          <w:szCs w:val="18"/>
          <w:color w:val="auto"/>
        </w:rPr>
        <w:t>The share capital of the Company is L5,750,000 divided into (i) 25,000,000 preferred shares with a par value of L0.01 per share and (ii) 550,000,000 ordinary shares with a par value of L0.01 per share, consisting of 500,000,000 voting ordinary shares and 50,000,000 non-voting ordinary shares. As of September 30, 2003, 216,057,098 ordinary shares were outstanding (net of treasury shares) and no non-voting ordinary shares or preferred shares were outstanding. The rights, preferences and restrictions attaching to each class of the shares are as follows:</w:t>
      </w:r>
    </w:p>
    <w:p>
      <w:pPr>
        <w:spacing w:after="0" w:line="1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PREFERRED SHARES</w:t>
      </w:r>
    </w:p>
    <w:p>
      <w:pPr>
        <w:spacing w:after="0" w:line="201" w:lineRule="exact"/>
        <w:rPr>
          <w:sz w:val="20"/>
          <w:szCs w:val="20"/>
          <w:color w:val="auto"/>
        </w:rPr>
      </w:pPr>
    </w:p>
    <w:p>
      <w:pPr>
        <w:ind w:left="740" w:right="1999" w:hanging="205"/>
        <w:spacing w:after="0" w:line="347" w:lineRule="auto"/>
        <w:tabs>
          <w:tab w:leader="none" w:pos="74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Issue -- the preferred shares may be issued from time to time in one or more series of any number of shares up to the amount authorized.</w:t>
      </w:r>
    </w:p>
    <w:p>
      <w:pPr>
        <w:spacing w:after="0" w:line="18" w:lineRule="exact"/>
        <w:rPr>
          <w:rFonts w:ascii="Courier New" w:cs="Courier New" w:eastAsia="Courier New" w:hAnsi="Courier New"/>
          <w:sz w:val="18"/>
          <w:szCs w:val="18"/>
          <w:color w:val="auto"/>
        </w:rPr>
      </w:pPr>
    </w:p>
    <w:p>
      <w:pPr>
        <w:ind w:left="740" w:right="1879" w:hanging="205"/>
        <w:spacing w:after="0" w:line="306" w:lineRule="auto"/>
        <w:tabs>
          <w:tab w:leader="none" w:pos="74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Authorization to Issue Preferred Shares -- authority is vested in the directors from time to time to authorize the issue of one or more series of preferred shares and to provide for the designations, powers, preferences and relative participating, optional or other special rights and qualifications, limitations or restrictions thereon.</w:t>
      </w:r>
    </w:p>
    <w:p>
      <w:pPr>
        <w:spacing w:after="0" w:line="60" w:lineRule="exact"/>
        <w:rPr>
          <w:rFonts w:ascii="Courier New" w:cs="Courier New" w:eastAsia="Courier New" w:hAnsi="Courier New"/>
          <w:sz w:val="16"/>
          <w:szCs w:val="16"/>
          <w:color w:val="auto"/>
        </w:rPr>
      </w:pPr>
    </w:p>
    <w:p>
      <w:pPr>
        <w:ind w:left="740" w:right="1879" w:hanging="205"/>
        <w:spacing w:after="0" w:line="274" w:lineRule="auto"/>
        <w:tabs>
          <w:tab w:leader="none" w:pos="74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Relative Rights -- all shares of any one series of preferred shares must be identical with each other in all respects, except that shares of any one series issued at different times may differ as to the dates from which dividends shall be cumulative.</w:t>
      </w:r>
    </w:p>
    <w:p>
      <w:pPr>
        <w:spacing w:after="0" w:line="81" w:lineRule="exact"/>
        <w:rPr>
          <w:rFonts w:ascii="Courier New" w:cs="Courier New" w:eastAsia="Courier New" w:hAnsi="Courier New"/>
          <w:sz w:val="18"/>
          <w:szCs w:val="18"/>
          <w:color w:val="auto"/>
        </w:rPr>
      </w:pPr>
    </w:p>
    <w:p>
      <w:pPr>
        <w:ind w:left="740" w:right="1779" w:hanging="205"/>
        <w:spacing w:after="0" w:line="250" w:lineRule="auto"/>
        <w:tabs>
          <w:tab w:leader="none" w:pos="74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Liquidation -- in the event of any liquidation, dissolution or winding-up of the Company, the holders of preferred shares are entitled to preference with respect to payment and to receive payment (at the rate fixed in any resolution or resolutions adopted by the directors in such case) plus an amount equal to all dividends accumulated to the date of final distribution to such holders. The holders of preferred shares are entitled to no further payment other than that stated above. If upon any liquidation the assets of the Company are insufficient to pay in full the amount stated above then such assets shall be distributed among the holders of preferred shares.</w:t>
      </w:r>
    </w:p>
    <w:p>
      <w:pPr>
        <w:spacing w:after="0" w:line="104" w:lineRule="exact"/>
        <w:rPr>
          <w:rFonts w:ascii="Courier New" w:cs="Courier New" w:eastAsia="Courier New" w:hAnsi="Courier New"/>
          <w:sz w:val="18"/>
          <w:szCs w:val="18"/>
          <w:color w:val="auto"/>
        </w:rPr>
      </w:pPr>
    </w:p>
    <w:p>
      <w:pPr>
        <w:ind w:left="740" w:right="1779" w:hanging="205"/>
        <w:spacing w:after="0" w:line="265" w:lineRule="auto"/>
        <w:tabs>
          <w:tab w:leader="none" w:pos="74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Voting Rights -- except as otherwise provided for by the directors upon the issue of any new series of preferred shares, the holders of shares of preferred shares have no right or power to vote on any question or in any proceeding or to be represented at, or to receive notice of, any meeting of members.</w:t>
      </w:r>
    </w:p>
    <w:p>
      <w:pPr>
        <w:spacing w:after="0" w:line="9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ORDINARY SHARES AND NON-VOTING ORDINARY SHARES</w:t>
      </w:r>
    </w:p>
    <w:p>
      <w:pPr>
        <w:spacing w:after="0" w:line="201" w:lineRule="exact"/>
        <w:rPr>
          <w:sz w:val="20"/>
          <w:szCs w:val="20"/>
          <w:color w:val="auto"/>
        </w:rPr>
      </w:pPr>
    </w:p>
    <w:p>
      <w:pPr>
        <w:ind w:right="1779" w:firstLine="527"/>
        <w:spacing w:after="0" w:line="292" w:lineRule="auto"/>
        <w:rPr>
          <w:sz w:val="20"/>
          <w:szCs w:val="20"/>
          <w:color w:val="auto"/>
        </w:rPr>
      </w:pPr>
      <w:r>
        <w:rPr>
          <w:rFonts w:ascii="Courier New" w:cs="Courier New" w:eastAsia="Courier New" w:hAnsi="Courier New"/>
          <w:sz w:val="18"/>
          <w:szCs w:val="18"/>
          <w:color w:val="auto"/>
        </w:rPr>
        <w:t>Except as otherwise provided by the Memorandum of Association and Articles of Association, the ordinary shares and non-voting ordinary shares are identical and entitle holders thereof to the same rights and privileges.</w:t>
      </w:r>
    </w:p>
    <w:p>
      <w:pPr>
        <w:spacing w:after="0" w:line="66" w:lineRule="exact"/>
        <w:rPr>
          <w:sz w:val="20"/>
          <w:szCs w:val="20"/>
          <w:color w:val="auto"/>
        </w:rPr>
      </w:pPr>
    </w:p>
    <w:p>
      <w:pPr>
        <w:ind w:left="740" w:right="1779" w:hanging="205"/>
        <w:spacing w:after="0" w:line="260" w:lineRule="auto"/>
        <w:tabs>
          <w:tab w:leader="none" w:pos="74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Dividends -- when and as dividends are declared on the shares of the Company the holders of voting ordinary shares and non-voting shares are entitled to share equally, share for share, in such dividends except that if dividends are declared which are payable in voting ordinary shares or non-voting ordinary shares, dividends must be declared which are payable at the same rate in both classes of shares.</w:t>
      </w:r>
    </w:p>
    <w:p>
      <w:pPr>
        <w:spacing w:after="0" w:line="92" w:lineRule="exact"/>
        <w:rPr>
          <w:rFonts w:ascii="Courier New" w:cs="Courier New" w:eastAsia="Courier New" w:hAnsi="Courier New"/>
          <w:sz w:val="18"/>
          <w:szCs w:val="18"/>
          <w:color w:val="auto"/>
        </w:rPr>
      </w:pPr>
    </w:p>
    <w:p>
      <w:pPr>
        <w:ind w:left="740" w:right="1779" w:hanging="205"/>
        <w:spacing w:after="0" w:line="260" w:lineRule="auto"/>
        <w:tabs>
          <w:tab w:leader="none" w:pos="74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Conversion of Non-Voting Ordinary Shares into Voting Ordinary Shares -- upon the transfer of non-voting ordinary shares from the original holder thereof to any third party not affiliated with such original holder, non-voting ordinary shares are redesignated in the books of the Company as voting ordinary shares and automatically convert into the same number of voting ordinary shares.</w:t>
      </w:r>
    </w:p>
    <w:p>
      <w:pPr>
        <w:spacing w:after="0" w:line="9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55</w:t>
      </w:r>
    </w:p>
    <w:p>
      <w:pPr>
        <w:sectPr>
          <w:pgSz w:w="11900" w:h="16838" w:orient="portrait"/>
          <w:cols w:equalWidth="0" w:num="1">
            <w:col w:w="10219"/>
          </w:cols>
          <w:pgMar w:left="240" w:top="691" w:right="1440" w:bottom="996" w:gutter="0" w:footer="0" w:header="0"/>
        </w:sectPr>
      </w:pPr>
    </w:p>
    <w:bookmarkStart w:id="60" w:name="page61"/>
    <w:bookmarkEnd w:id="60"/>
    <w:p>
      <w:pPr>
        <w:ind w:left="740" w:right="2199" w:hanging="205"/>
        <w:spacing w:after="0" w:line="265" w:lineRule="auto"/>
        <w:tabs>
          <w:tab w:leader="none" w:pos="74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Liquidation -- upon any liquidation, dissolution or winding-up of the Company, the assets of the Company remaining after creditors and the holders of any preferred shares have been paid in full shall be distributed to the holders of voting ordinary shares and non-voting ordinary shares equally share for share.</w:t>
      </w:r>
    </w:p>
    <w:p>
      <w:pPr>
        <w:spacing w:after="0" w:line="89" w:lineRule="exact"/>
        <w:rPr>
          <w:rFonts w:ascii="Courier New" w:cs="Courier New" w:eastAsia="Courier New" w:hAnsi="Courier New"/>
          <w:sz w:val="18"/>
          <w:szCs w:val="18"/>
          <w:color w:val="auto"/>
        </w:rPr>
      </w:pPr>
    </w:p>
    <w:p>
      <w:pPr>
        <w:ind w:left="740" w:right="2099" w:hanging="205"/>
        <w:spacing w:after="0" w:line="344" w:lineRule="auto"/>
        <w:tabs>
          <w:tab w:leader="none" w:pos="74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Voting Rights -- the holders of voting ordinary shares are entitled to vote on all matters to be voted on by the members, and the holders of non-voting ordinary shares are not entitled to any voting rights.</w:t>
      </w:r>
    </w:p>
    <w:p>
      <w:pPr>
        <w:spacing w:after="0" w:line="30" w:lineRule="exact"/>
        <w:rPr>
          <w:rFonts w:ascii="Courier New" w:cs="Courier New" w:eastAsia="Courier New" w:hAnsi="Courier New"/>
          <w:sz w:val="16"/>
          <w:szCs w:val="16"/>
          <w:color w:val="auto"/>
        </w:rPr>
      </w:pPr>
    </w:p>
    <w:p>
      <w:pPr>
        <w:ind w:left="740" w:right="1879" w:hanging="205"/>
        <w:spacing w:after="0" w:line="274" w:lineRule="auto"/>
        <w:tabs>
          <w:tab w:leader="none" w:pos="74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Preferences -- the voting ordinary shares and non-voting ordinary shares are subject to all the powers, rights, privileges, preferences and priorities of the preferred shares as are set out in the Articles of Association.</w:t>
      </w:r>
    </w:p>
    <w:p>
      <w:pPr>
        <w:spacing w:after="0" w:line="82" w:lineRule="exact"/>
        <w:rPr>
          <w:sz w:val="20"/>
          <w:szCs w:val="20"/>
          <w:color w:val="auto"/>
        </w:rPr>
      </w:pPr>
    </w:p>
    <w:p>
      <w:pPr>
        <w:jc w:val="both"/>
        <w:ind w:right="1779" w:firstLine="527"/>
        <w:spacing w:after="0" w:line="344" w:lineRule="auto"/>
        <w:rPr>
          <w:sz w:val="20"/>
          <w:szCs w:val="20"/>
          <w:color w:val="auto"/>
        </w:rPr>
      </w:pPr>
      <w:r>
        <w:rPr>
          <w:rFonts w:ascii="Courier New" w:cs="Courier New" w:eastAsia="Courier New" w:hAnsi="Courier New"/>
          <w:sz w:val="16"/>
          <w:szCs w:val="16"/>
          <w:color w:val="auto"/>
        </w:rPr>
        <w:t>As regards both preferred shares and voting and non-voting ordinary shares, the Company has power to purchase any of its own shares, whether or not they are redeemable and may make a payment out of capital for such purchase.</w:t>
      </w:r>
    </w:p>
    <w:p>
      <w:pPr>
        <w:spacing w:after="0" w:line="31" w:lineRule="exact"/>
        <w:rPr>
          <w:sz w:val="20"/>
          <w:szCs w:val="20"/>
          <w:color w:val="auto"/>
        </w:rPr>
      </w:pPr>
    </w:p>
    <w:p>
      <w:pPr>
        <w:ind w:right="2739" w:firstLine="527"/>
        <w:spacing w:after="0" w:line="347" w:lineRule="auto"/>
        <w:rPr>
          <w:sz w:val="20"/>
          <w:szCs w:val="20"/>
          <w:color w:val="auto"/>
        </w:rPr>
      </w:pPr>
      <w:r>
        <w:rPr>
          <w:rFonts w:ascii="Courier New" w:cs="Courier New" w:eastAsia="Courier New" w:hAnsi="Courier New"/>
          <w:sz w:val="18"/>
          <w:szCs w:val="18"/>
          <w:color w:val="auto"/>
        </w:rPr>
        <w:t>There are no provisions for a classified Board of Directors or for cumulative voting for directors.</w:t>
      </w:r>
    </w:p>
    <w:p>
      <w:pPr>
        <w:spacing w:after="0" w:line="18" w:lineRule="exact"/>
        <w:rPr>
          <w:sz w:val="20"/>
          <w:szCs w:val="20"/>
          <w:color w:val="auto"/>
        </w:rPr>
      </w:pPr>
    </w:p>
    <w:p>
      <w:pPr>
        <w:ind w:right="1999" w:firstLine="527"/>
        <w:spacing w:after="0" w:line="292" w:lineRule="auto"/>
        <w:rPr>
          <w:sz w:val="20"/>
          <w:szCs w:val="20"/>
          <w:color w:val="auto"/>
        </w:rPr>
      </w:pPr>
      <w:r>
        <w:rPr>
          <w:rFonts w:ascii="Courier New" w:cs="Courier New" w:eastAsia="Courier New" w:hAnsi="Courier New"/>
          <w:sz w:val="18"/>
          <w:szCs w:val="18"/>
          <w:color w:val="auto"/>
        </w:rPr>
        <w:t>Article 8 of the Articles of Association provides that all or any of the rights, privileges, or conditions attached to any class or group of shares may be changed as follows:</w:t>
      </w:r>
    </w:p>
    <w:p>
      <w:pPr>
        <w:spacing w:after="0" w:line="66" w:lineRule="exact"/>
        <w:rPr>
          <w:sz w:val="20"/>
          <w:szCs w:val="20"/>
          <w:color w:val="auto"/>
        </w:rPr>
      </w:pPr>
    </w:p>
    <w:p>
      <w:pPr>
        <w:ind w:left="740" w:right="1779" w:hanging="205"/>
        <w:spacing w:after="0" w:line="318" w:lineRule="auto"/>
        <w:tabs>
          <w:tab w:leader="none" w:pos="74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an agreement between the Company and any person purporting to contract on behalf of the holders of shares of the class or group affected, provided that such agreement is ratified in writing by the holders of at least two-thirds of the issued shares of the class affected; or</w:t>
      </w:r>
    </w:p>
    <w:p>
      <w:pPr>
        <w:spacing w:after="0" w:line="52" w:lineRule="exact"/>
        <w:rPr>
          <w:rFonts w:ascii="Courier New" w:cs="Courier New" w:eastAsia="Courier New" w:hAnsi="Courier New"/>
          <w:sz w:val="16"/>
          <w:szCs w:val="16"/>
          <w:color w:val="auto"/>
        </w:rPr>
      </w:pPr>
    </w:p>
    <w:p>
      <w:pPr>
        <w:ind w:left="740" w:right="1779" w:hanging="205"/>
        <w:spacing w:after="0" w:line="260" w:lineRule="auto"/>
        <w:tabs>
          <w:tab w:leader="none" w:pos="74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consent in writing of the holders of three-fourths of the issued shares of that class or with the sanction of an extraordinary resolution passed by majority of three-fourths of the votes of the holders of shares of the class or group affected entitled to vote and voting in person or by attorney or proxy and passed at a separate meeting of the holders of such shares but not otherwise.</w:t>
      </w:r>
    </w:p>
    <w:p>
      <w:pPr>
        <w:spacing w:after="0" w:line="93" w:lineRule="exact"/>
        <w:rPr>
          <w:sz w:val="20"/>
          <w:szCs w:val="20"/>
          <w:color w:val="auto"/>
        </w:rPr>
      </w:pPr>
    </w:p>
    <w:p>
      <w:pPr>
        <w:ind w:right="1779" w:firstLine="527"/>
        <w:spacing w:after="0" w:line="298" w:lineRule="auto"/>
        <w:rPr>
          <w:sz w:val="20"/>
          <w:szCs w:val="20"/>
          <w:color w:val="auto"/>
        </w:rPr>
      </w:pPr>
      <w:r>
        <w:rPr>
          <w:rFonts w:ascii="Courier New" w:cs="Courier New" w:eastAsia="Courier New" w:hAnsi="Courier New"/>
          <w:sz w:val="16"/>
          <w:szCs w:val="16"/>
          <w:color w:val="auto"/>
        </w:rPr>
        <w:t>The Companies (Guernsey) Law, 1994 (the "Companies Law") provides that, where not provided for in the Articles of Association, a special resolution of the shareholders is required to alter the Articles of Association. A special resolution must be passed by not less than three-quarters of the votes recorded at a meeting called for purposes of voting on the matter. As such, the conditions set out above are as significant as the requirements of Guernsey law.</w:t>
      </w:r>
    </w:p>
    <w:p>
      <w:pPr>
        <w:spacing w:after="0" w:line="68"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Provisions in respect of the holding of general meetings and extraordinary general meetings are set out at Articles 14, 15 and 16 of the Articles of Association. The Articles of Association provide that an annual general meeting must be held once in every calendar year (provided that not more than 15 months have elapsed since the last such meeting) at such time and place as the directors appoint and, in default, an annual general meeting may be convened by any two members holding at least 10% in the aggregate of the Company's share capital. The directors may, whenever they deem fit, convene an extraordinary general meeting, and extraordinary general meetings will also be convened on the requisition in writing of holders of at least 20% of the issued share capital of the Company carrying voting rights or, if the directors fail upon such requisition to convene such meeting within 21 days then such meeting may be convened by such holders in such manner as provided by the Companies Law. A minimum of 10 days' written notice is required in connection with an annual general meeting and a minimum of 14 days' written notice is required in connection with any other meeting. The notice shall specify the place, the day and the hour of the meeting, and in the case of any special business, the general nature of that business to such persons as are entitled by the Articles of Association to receive such notices from the Company provided that a meeting of the Company shall, notwithstanding that it is called by shorter notice than that specified in the Articles, be deemed to have been duly called if it is so agreed by all the members entitled to attend and vote thereat.</w:t>
      </w:r>
    </w:p>
    <w:p>
      <w:pPr>
        <w:spacing w:after="0" w:line="200" w:lineRule="exact"/>
        <w:rPr>
          <w:sz w:val="20"/>
          <w:szCs w:val="20"/>
          <w:color w:val="auto"/>
        </w:rPr>
      </w:pPr>
    </w:p>
    <w:p>
      <w:pPr>
        <w:spacing w:after="0" w:line="306" w:lineRule="exact"/>
        <w:rPr>
          <w:sz w:val="20"/>
          <w:szCs w:val="20"/>
          <w:color w:val="auto"/>
        </w:rPr>
      </w:pPr>
    </w:p>
    <w:p>
      <w:pPr>
        <w:ind w:right="1779" w:firstLine="527"/>
        <w:spacing w:after="0" w:line="292" w:lineRule="auto"/>
        <w:rPr>
          <w:sz w:val="20"/>
          <w:szCs w:val="20"/>
          <w:color w:val="auto"/>
        </w:rPr>
      </w:pPr>
      <w:r>
        <w:rPr>
          <w:rFonts w:ascii="Courier New" w:cs="Courier New" w:eastAsia="Courier New" w:hAnsi="Courier New"/>
          <w:sz w:val="18"/>
          <w:szCs w:val="18"/>
          <w:color w:val="auto"/>
        </w:rPr>
        <w:t>There are no limitations on the rights to own securities, including the rights of non-resident or foreign shareholders to hold or exercise voting rights on the securities.</w:t>
      </w:r>
    </w:p>
    <w:p>
      <w:pPr>
        <w:spacing w:after="0" w:line="6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56</w:t>
      </w:r>
    </w:p>
    <w:p>
      <w:pPr>
        <w:sectPr>
          <w:pgSz w:w="11900" w:h="16838" w:orient="portrait"/>
          <w:cols w:equalWidth="0" w:num="1">
            <w:col w:w="10219"/>
          </w:cols>
          <w:pgMar w:left="240" w:top="691" w:right="1440" w:bottom="793" w:gutter="0" w:footer="0" w:header="0"/>
        </w:sectPr>
      </w:pPr>
    </w:p>
    <w:bookmarkStart w:id="61" w:name="page62"/>
    <w:bookmarkEnd w:id="61"/>
    <w:p>
      <w:pPr>
        <w:ind w:right="1879" w:firstLine="527"/>
        <w:spacing w:after="0" w:line="265" w:lineRule="auto"/>
        <w:rPr>
          <w:sz w:val="20"/>
          <w:szCs w:val="20"/>
          <w:color w:val="auto"/>
        </w:rPr>
      </w:pPr>
      <w:r>
        <w:rPr>
          <w:rFonts w:ascii="Courier New" w:cs="Courier New" w:eastAsia="Courier New" w:hAnsi="Courier New"/>
          <w:sz w:val="18"/>
          <w:szCs w:val="18"/>
          <w:color w:val="auto"/>
        </w:rPr>
        <w:t>There are no provisions in the Memorandum of Association or Articles of Association that would have the effect of delaying, deferring or preventing a change in control of the Company and that would operate only with respect to a merger, acquisition or corporate restructuring involving the Company (or any of its subsidiaries).</w:t>
      </w:r>
    </w:p>
    <w:p>
      <w:pPr>
        <w:spacing w:after="0" w:line="90" w:lineRule="exact"/>
        <w:rPr>
          <w:sz w:val="20"/>
          <w:szCs w:val="20"/>
          <w:color w:val="auto"/>
        </w:rPr>
      </w:pPr>
    </w:p>
    <w:p>
      <w:pPr>
        <w:ind w:right="1879" w:firstLine="527"/>
        <w:spacing w:after="0" w:line="252" w:lineRule="auto"/>
        <w:rPr>
          <w:sz w:val="20"/>
          <w:szCs w:val="20"/>
          <w:color w:val="auto"/>
        </w:rPr>
      </w:pPr>
      <w:r>
        <w:rPr>
          <w:rFonts w:ascii="Courier New" w:cs="Courier New" w:eastAsia="Courier New" w:hAnsi="Courier New"/>
          <w:sz w:val="18"/>
          <w:szCs w:val="18"/>
          <w:color w:val="auto"/>
        </w:rPr>
        <w:t>There are no provisions in the Memorandum of Association or Articles of Association governing the ownership threshold above which shareholder ownership must be disclosed. United States federal law, however, requires that all directors, executive officers and holders of 10% or more of the stock of a company that has a class of stock registered under the Securities Exchange Act of 1934, as amended (other than a foreign private issuer, such as Amdocs), disclose such ownership. In addition, holders of more than 5% of a registered equity security of a company (including a foreign private issuer) must disclose such ownership.</w:t>
      </w:r>
    </w:p>
    <w:p>
      <w:pPr>
        <w:spacing w:after="0" w:line="99" w:lineRule="exact"/>
        <w:rPr>
          <w:sz w:val="20"/>
          <w:szCs w:val="20"/>
          <w:color w:val="auto"/>
        </w:rPr>
      </w:pPr>
    </w:p>
    <w:p>
      <w:pPr>
        <w:ind w:right="1779" w:firstLine="527"/>
        <w:spacing w:after="0" w:line="252" w:lineRule="auto"/>
        <w:rPr>
          <w:sz w:val="20"/>
          <w:szCs w:val="20"/>
          <w:color w:val="auto"/>
        </w:rPr>
      </w:pPr>
      <w:r>
        <w:rPr>
          <w:rFonts w:ascii="Courier New" w:cs="Courier New" w:eastAsia="Courier New" w:hAnsi="Courier New"/>
          <w:sz w:val="18"/>
          <w:szCs w:val="18"/>
          <w:color w:val="auto"/>
        </w:rPr>
        <w:t>Pursuant to Article 13 of the Articles of Association, the Company may from time to time by ordinary resolution increase the share capital by such sum, to be divided into shares of such amount, as the resolution prescribes. A restructuring of the existing share capital must be done by extraordinary resolution (which requires the same vote as a special resolution), and the Company may by special resolution reduce its share capital, any capital redemption reserve fund or any share premium account in accordance with Guernsey law. These provisions in relation to the alteration of the Company's capital are in accordance with but no more onerous than the Companies Law.</w:t>
      </w:r>
    </w:p>
    <w:p>
      <w:pPr>
        <w:spacing w:after="0" w:line="9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MATERIAL CONTRACTS</w:t>
      </w:r>
    </w:p>
    <w:p>
      <w:pPr>
        <w:spacing w:after="0" w:line="201" w:lineRule="exact"/>
        <w:rPr>
          <w:sz w:val="20"/>
          <w:szCs w:val="20"/>
          <w:color w:val="auto"/>
        </w:rPr>
      </w:pPr>
    </w:p>
    <w:p>
      <w:pPr>
        <w:ind w:right="2319" w:firstLine="527"/>
        <w:spacing w:after="0" w:line="402" w:lineRule="auto"/>
        <w:rPr>
          <w:sz w:val="20"/>
          <w:szCs w:val="20"/>
          <w:color w:val="auto"/>
        </w:rPr>
      </w:pPr>
      <w:r>
        <w:rPr>
          <w:rFonts w:ascii="Courier New" w:cs="Courier New" w:eastAsia="Courier New" w:hAnsi="Courier New"/>
          <w:sz w:val="16"/>
          <w:szCs w:val="16"/>
          <w:color w:val="auto"/>
        </w:rPr>
        <w:t>In the last two years, we have not entered into any material contracts other than contracts entered into in the ordinary course of our business.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TAXATION</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TAXATION OF THE COMPANY</w:t>
      </w:r>
    </w:p>
    <w:p>
      <w:pPr>
        <w:spacing w:after="0" w:line="201" w:lineRule="exact"/>
        <w:rPr>
          <w:sz w:val="20"/>
          <w:szCs w:val="20"/>
          <w:color w:val="auto"/>
        </w:rPr>
      </w:pPr>
    </w:p>
    <w:p>
      <w:pPr>
        <w:ind w:right="1879" w:firstLine="527"/>
        <w:spacing w:after="0" w:line="293" w:lineRule="auto"/>
        <w:rPr>
          <w:sz w:val="20"/>
          <w:szCs w:val="20"/>
          <w:color w:val="auto"/>
        </w:rPr>
      </w:pPr>
      <w:r>
        <w:rPr>
          <w:rFonts w:ascii="Courier New" w:cs="Courier New" w:eastAsia="Courier New" w:hAnsi="Courier New"/>
          <w:sz w:val="16"/>
          <w:szCs w:val="16"/>
          <w:color w:val="auto"/>
        </w:rPr>
        <w:t>The following is a summary of certain material tax considerations relating to Amdocs and our subsidiaries. To the extent that the discussion is based on tax legislation that has not been subject to judicial or administrative interpretation, there can be no assurance that the views expressed in the discussion will be accepted by the tax authorities in question. The discussion is not intended, and should not be construed, as legal or professional tax advice and is not exhaustive of all possible tax considerations.</w:t>
      </w:r>
    </w:p>
    <w:p>
      <w:pPr>
        <w:spacing w:after="0" w:line="7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General</w:t>
      </w:r>
    </w:p>
    <w:p>
      <w:pPr>
        <w:spacing w:after="0" w:line="201" w:lineRule="exact"/>
        <w:rPr>
          <w:sz w:val="20"/>
          <w:szCs w:val="20"/>
          <w:color w:val="auto"/>
        </w:rPr>
      </w:pPr>
    </w:p>
    <w:p>
      <w:pPr>
        <w:ind w:right="1779" w:firstLine="527"/>
        <w:spacing w:after="0" w:line="243" w:lineRule="auto"/>
        <w:rPr>
          <w:sz w:val="20"/>
          <w:szCs w:val="20"/>
          <w:color w:val="auto"/>
        </w:rPr>
      </w:pPr>
      <w:r>
        <w:rPr>
          <w:rFonts w:ascii="Courier New" w:cs="Courier New" w:eastAsia="Courier New" w:hAnsi="Courier New"/>
          <w:sz w:val="18"/>
          <w:szCs w:val="18"/>
          <w:color w:val="auto"/>
        </w:rPr>
        <w:t>Our effective tax rate was 25% for the year ended September 30, 2003, compared to 107% for fiscal 2002 and 63% for fiscal 2001. The high effective tax rates in fiscal 2002 and in fiscal 2001 were primarily attributable to amortization of goodwill related to our acquisitions, much of which is not tax deductible. Effective October 1, 2002, following the adoption of SFAS No. 142, we no longer amortize goodwill resulting from acquisitions. See the discussion above under the caption "Operating and Financial Review and</w:t>
      </w:r>
    </w:p>
    <w:p>
      <w:pPr>
        <w:spacing w:after="0" w:line="5" w:lineRule="exact"/>
        <w:rPr>
          <w:sz w:val="20"/>
          <w:szCs w:val="20"/>
          <w:color w:val="auto"/>
        </w:rPr>
      </w:pPr>
    </w:p>
    <w:p>
      <w:pPr>
        <w:ind w:right="1779"/>
        <w:spacing w:after="0" w:line="247" w:lineRule="auto"/>
        <w:rPr>
          <w:sz w:val="20"/>
          <w:szCs w:val="20"/>
          <w:color w:val="auto"/>
        </w:rPr>
      </w:pPr>
      <w:r>
        <w:rPr>
          <w:rFonts w:ascii="Courier New" w:cs="Courier New" w:eastAsia="Courier New" w:hAnsi="Courier New"/>
          <w:sz w:val="18"/>
          <w:szCs w:val="18"/>
          <w:color w:val="auto"/>
        </w:rPr>
        <w:t>prospects -- Adoption of New Accounting Standards". As a result, goodwill amortization that is not tax-deductible no longer affects our effective tax rate. In the year ended September 30, 2002 our effective tax rate was also adversely affected by the fixed non-deductible expenditures representing a larger component of our pretax income. Excluding the impact of the non-deductible goodwill related to our acquisitions, our effective tax rate for fiscal 2002 was 28% compared to our historical effective tax rate of 30%, due to the corporate income tax rates in the various countries in which we operate and changes in the relative magnitude of our business in those countries.</w:t>
      </w:r>
    </w:p>
    <w:p>
      <w:pPr>
        <w:spacing w:after="0" w:line="105" w:lineRule="exact"/>
        <w:rPr>
          <w:sz w:val="20"/>
          <w:szCs w:val="20"/>
          <w:color w:val="auto"/>
        </w:rPr>
      </w:pPr>
    </w:p>
    <w:p>
      <w:pPr>
        <w:ind w:right="1879" w:firstLine="527"/>
        <w:spacing w:after="0" w:line="292" w:lineRule="auto"/>
        <w:rPr>
          <w:sz w:val="20"/>
          <w:szCs w:val="20"/>
          <w:color w:val="auto"/>
        </w:rPr>
      </w:pPr>
      <w:r>
        <w:rPr>
          <w:rFonts w:ascii="Courier New" w:cs="Courier New" w:eastAsia="Courier New" w:hAnsi="Courier New"/>
          <w:sz w:val="18"/>
          <w:szCs w:val="18"/>
          <w:color w:val="auto"/>
        </w:rPr>
        <w:t>We expect a reduction in our effective tax rate in fiscal 2004 from 25% to 23%. The reduction is due to our continued expansion into countries with lower effective tax rates.</w:t>
      </w:r>
    </w:p>
    <w:p>
      <w:pPr>
        <w:spacing w:after="0" w:line="66" w:lineRule="exact"/>
        <w:rPr>
          <w:sz w:val="20"/>
          <w:szCs w:val="20"/>
          <w:color w:val="auto"/>
        </w:rPr>
      </w:pPr>
    </w:p>
    <w:p>
      <w:pPr>
        <w:ind w:right="1779" w:firstLine="527"/>
        <w:spacing w:after="0" w:line="245" w:lineRule="auto"/>
        <w:rPr>
          <w:sz w:val="20"/>
          <w:szCs w:val="20"/>
          <w:color w:val="auto"/>
        </w:rPr>
      </w:pPr>
      <w:r>
        <w:rPr>
          <w:rFonts w:ascii="Courier New" w:cs="Courier New" w:eastAsia="Courier New" w:hAnsi="Courier New"/>
          <w:sz w:val="18"/>
          <w:szCs w:val="18"/>
          <w:color w:val="auto"/>
        </w:rPr>
        <w:t>There can be no assurance that our effective tax rate will not change over time as a result of a change in corporate income tax rates or other changes in the tax laws of the various countries in which we operate. Moreover, our effective tax rate in future years may be adversely affected in the event that a tax</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57</w:t>
      </w:r>
    </w:p>
    <w:p>
      <w:pPr>
        <w:sectPr>
          <w:pgSz w:w="11900" w:h="16838" w:orient="portrait"/>
          <w:cols w:equalWidth="0" w:num="1">
            <w:col w:w="10219"/>
          </w:cols>
          <w:pgMar w:left="240" w:top="691" w:right="1440" w:bottom="964" w:gutter="0" w:footer="0" w:header="0"/>
        </w:sectPr>
      </w:pPr>
    </w:p>
    <w:bookmarkStart w:id="62" w:name="page63"/>
    <w:bookmarkEnd w:id="62"/>
    <w:p>
      <w:pPr>
        <w:ind w:right="1779"/>
        <w:spacing w:after="0" w:line="265" w:lineRule="auto"/>
        <w:rPr>
          <w:sz w:val="20"/>
          <w:szCs w:val="20"/>
          <w:color w:val="auto"/>
        </w:rPr>
      </w:pPr>
      <w:r>
        <w:rPr>
          <w:rFonts w:ascii="Courier New" w:cs="Courier New" w:eastAsia="Courier New" w:hAnsi="Courier New"/>
          <w:sz w:val="18"/>
          <w:szCs w:val="18"/>
          <w:color w:val="auto"/>
        </w:rPr>
        <w:t>authority challenged the manner in which items of income and expense are allocated among us and our subsidiaries. In addition, the Company and certain of our subsidiaries have been granted certain special tax benefits, discussed below, in Cyprus, Ireland and Israel. The loss of any such tax benefits could have an adverse effect on our effective tax rate.</w:t>
      </w:r>
    </w:p>
    <w:p>
      <w:pPr>
        <w:spacing w:after="0" w:line="9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Certain Guernsey Tax Considerations</w:t>
      </w:r>
    </w:p>
    <w:p>
      <w:pPr>
        <w:spacing w:after="0" w:line="201" w:lineRule="exact"/>
        <w:rPr>
          <w:sz w:val="20"/>
          <w:szCs w:val="20"/>
          <w:color w:val="auto"/>
        </w:rPr>
      </w:pPr>
    </w:p>
    <w:p>
      <w:pPr>
        <w:ind w:right="1999" w:firstLine="527"/>
        <w:spacing w:after="0" w:line="292" w:lineRule="auto"/>
        <w:rPr>
          <w:sz w:val="20"/>
          <w:szCs w:val="20"/>
          <w:color w:val="auto"/>
        </w:rPr>
      </w:pPr>
      <w:r>
        <w:rPr>
          <w:rFonts w:ascii="Courier New" w:cs="Courier New" w:eastAsia="Courier New" w:hAnsi="Courier New"/>
          <w:sz w:val="18"/>
          <w:szCs w:val="18"/>
          <w:color w:val="auto"/>
        </w:rPr>
        <w:t>We qualify as an exempt company (i.e., our shareholders are not Guernsey residents and we do not carry on business in Guernsey) so we generally are not subject to taxation in Guernsey.</w:t>
      </w:r>
    </w:p>
    <w:p>
      <w:pPr>
        <w:spacing w:after="0" w:line="6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Certain Cypriot Tax Considerations</w:t>
      </w:r>
    </w:p>
    <w:p>
      <w:pPr>
        <w:spacing w:after="0" w:line="201" w:lineRule="exact"/>
        <w:rPr>
          <w:sz w:val="20"/>
          <w:szCs w:val="20"/>
          <w:color w:val="auto"/>
        </w:rPr>
      </w:pPr>
    </w:p>
    <w:p>
      <w:pPr>
        <w:ind w:right="1779" w:firstLine="527"/>
        <w:spacing w:after="0" w:line="244" w:lineRule="auto"/>
        <w:rPr>
          <w:sz w:val="20"/>
          <w:szCs w:val="20"/>
          <w:color w:val="auto"/>
        </w:rPr>
      </w:pPr>
      <w:r>
        <w:rPr>
          <w:rFonts w:ascii="Courier New" w:cs="Courier New" w:eastAsia="Courier New" w:hAnsi="Courier New"/>
          <w:sz w:val="18"/>
          <w:szCs w:val="18"/>
          <w:color w:val="auto"/>
        </w:rPr>
        <w:t>Our Cyprus subsidiary, Amdocs Development Ltd., operates a development center. Corporations resident in Cyprus are taxed on income at 10% commencing January 1, 2003 (previously at a 25% corporate tax rate) following a new Income Tax law enacted in July 2002, introducing a number of changes to the current system in an attempt to harmonize the regulations with E.U. provisions and abandon any harmful tax practices as defined by the Organization for Economic Co-operation and Development. The Government of Cyprus had issued a permit to our Cypriot subsidiary pursuant to which the activities conducted by it were deemed to be offshore activities for the purpose of Cypriot taxation. As a result, our Cypriot subsidiary is subject to an effective tax rate in Cyprus of 4.25%. In order for our subsidiary to remain entitled to this reduced rate of taxation pursuant to the permit, it had to satisfy certain requirements concerning its operations in Cyprus and to undertake certain information reporting obligations to the Government of Cyprus. The new Income Tax law repealed the favorable tax provisions applicable to offshore activities subject to certain transition rules. Pursuant to the rules, our subsidiary will continue to enjoy an effective tax rate of 4.25% until December 2005 as long as certain requirements imposed by the Government of Cyprus are met. Thereafter, our subsidiary will be taxed at the 10% tax rate.</w:t>
      </w:r>
    </w:p>
    <w:p>
      <w:pPr>
        <w:spacing w:after="0" w:line="11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Certain Irish Tax Considerations</w:t>
      </w:r>
    </w:p>
    <w:p>
      <w:pPr>
        <w:spacing w:after="0" w:line="201" w:lineRule="exact"/>
        <w:rPr>
          <w:sz w:val="20"/>
          <w:szCs w:val="20"/>
          <w:color w:val="auto"/>
        </w:rPr>
      </w:pPr>
    </w:p>
    <w:p>
      <w:pPr>
        <w:ind w:right="1779" w:firstLine="527"/>
        <w:spacing w:after="0" w:line="283" w:lineRule="auto"/>
        <w:rPr>
          <w:sz w:val="20"/>
          <w:szCs w:val="20"/>
          <w:color w:val="auto"/>
        </w:rPr>
      </w:pPr>
      <w:r>
        <w:rPr>
          <w:rFonts w:ascii="Courier New" w:cs="Courier New" w:eastAsia="Courier New" w:hAnsi="Courier New"/>
          <w:sz w:val="16"/>
          <w:szCs w:val="16"/>
          <w:color w:val="auto"/>
        </w:rPr>
        <w:t>Our Irish subsidiary, Amdocs Software Systems Ltd., operates a development center. The corporation tax rate on its trading activities was 16% for 2002 and declined to 12.5% in 2003. The subsidiary has entered into an agreement with the Irish Industrial Development Agency pursuant to which it qualifies for certain job creation grants and, consequently, certain activities conducted by it are deemed to be manufacturing activities for the purpose of Irish taxation. As a result, the subsidiary was subject to a corporation tax rate in Ireland of 10% with respect to its manufacturing activities. This tax rate on manufacturing activities was available to our Irish subsidiary until December 31, 2002. As of January 1, 2003, our Irish subsidiary was subject to a single corporation tax rate of 12.5% on all of its trading and manufacturing activities.</w:t>
      </w:r>
    </w:p>
    <w:p>
      <w:pPr>
        <w:spacing w:after="0" w:line="8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Certain Israeli Tax Considerations</w:t>
      </w:r>
    </w:p>
    <w:p>
      <w:pPr>
        <w:spacing w:after="0" w:line="201" w:lineRule="exact"/>
        <w:rPr>
          <w:sz w:val="20"/>
          <w:szCs w:val="20"/>
          <w:color w:val="auto"/>
        </w:rPr>
      </w:pPr>
    </w:p>
    <w:p>
      <w:pPr>
        <w:jc w:val="both"/>
        <w:ind w:right="2419" w:firstLine="527"/>
        <w:spacing w:after="0" w:line="292" w:lineRule="auto"/>
        <w:rPr>
          <w:sz w:val="20"/>
          <w:szCs w:val="20"/>
          <w:color w:val="auto"/>
        </w:rPr>
      </w:pPr>
      <w:r>
        <w:rPr>
          <w:rFonts w:ascii="Courier New" w:cs="Courier New" w:eastAsia="Courier New" w:hAnsi="Courier New"/>
          <w:sz w:val="18"/>
          <w:szCs w:val="18"/>
          <w:color w:val="auto"/>
        </w:rPr>
        <w:t>Our Israeli subsidiary, Amdocs (Israel) Limited, operates our largest development center. Discussed below are certain Israeli tax considerations relating to our Israeli subsidiary.</w:t>
      </w:r>
    </w:p>
    <w:p>
      <w:pPr>
        <w:spacing w:after="0" w:line="66" w:lineRule="exact"/>
        <w:rPr>
          <w:sz w:val="20"/>
          <w:szCs w:val="20"/>
          <w:color w:val="auto"/>
        </w:rPr>
      </w:pPr>
    </w:p>
    <w:p>
      <w:pPr>
        <w:ind w:right="2099" w:firstLine="527"/>
        <w:spacing w:after="0" w:line="265" w:lineRule="auto"/>
        <w:rPr>
          <w:sz w:val="20"/>
          <w:szCs w:val="20"/>
          <w:color w:val="auto"/>
        </w:rPr>
      </w:pPr>
      <w:r>
        <w:rPr>
          <w:rFonts w:ascii="Courier New" w:cs="Courier New" w:eastAsia="Courier New" w:hAnsi="Courier New"/>
          <w:sz w:val="18"/>
          <w:szCs w:val="18"/>
          <w:color w:val="auto"/>
        </w:rPr>
        <w:t>General Corporate Taxation in Israel. Effective January 1, 1996, and thereafter, in general, Israeli companies are subject to "Company Tax" at the rate of 36% of taxable income. However, the effective tax rate payable by an Israeli company that derives income from an Approved Enterprise (as further discussed below) may be considerably less.</w:t>
      </w:r>
    </w:p>
    <w:p>
      <w:pPr>
        <w:spacing w:after="0" w:line="90" w:lineRule="exact"/>
        <w:rPr>
          <w:sz w:val="20"/>
          <w:szCs w:val="20"/>
          <w:color w:val="auto"/>
        </w:rPr>
      </w:pPr>
    </w:p>
    <w:p>
      <w:pPr>
        <w:ind w:right="1779" w:firstLine="527"/>
        <w:spacing w:after="0" w:line="306" w:lineRule="auto"/>
        <w:rPr>
          <w:sz w:val="20"/>
          <w:szCs w:val="20"/>
          <w:color w:val="auto"/>
        </w:rPr>
      </w:pPr>
      <w:r>
        <w:rPr>
          <w:rFonts w:ascii="Courier New" w:cs="Courier New" w:eastAsia="Courier New" w:hAnsi="Courier New"/>
          <w:sz w:val="16"/>
          <w:szCs w:val="16"/>
          <w:color w:val="auto"/>
        </w:rPr>
        <w:t>Law for the Encouragement of Capital Investments, 1959. Certain production and development facilities of our Israeli subsidiary have been granted "Approved Enterprise" status pursuant to the Law for the Encouragement of Capital Investments, 1959 (the "Investment Law"), which provides certain tax and financial benefits to investment programs that have been granted such status.</w:t>
      </w:r>
    </w:p>
    <w:p>
      <w:pPr>
        <w:spacing w:after="0" w:line="6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58</w:t>
      </w:r>
    </w:p>
    <w:p>
      <w:pPr>
        <w:sectPr>
          <w:pgSz w:w="11900" w:h="16838" w:orient="portrait"/>
          <w:cols w:equalWidth="0" w:num="1">
            <w:col w:w="10219"/>
          </w:cols>
          <w:pgMar w:left="240" w:top="691" w:right="1440" w:bottom="1440" w:gutter="0" w:footer="0" w:header="0"/>
        </w:sectPr>
      </w:pPr>
    </w:p>
    <w:bookmarkStart w:id="63" w:name="page64"/>
    <w:bookmarkEnd w:id="63"/>
    <w:p>
      <w:pPr>
        <w:ind w:right="1879" w:firstLine="527"/>
        <w:spacing w:after="0" w:line="287" w:lineRule="auto"/>
        <w:rPr>
          <w:sz w:val="20"/>
          <w:szCs w:val="20"/>
          <w:color w:val="auto"/>
        </w:rPr>
      </w:pPr>
      <w:r>
        <w:rPr>
          <w:rFonts w:ascii="Courier New" w:cs="Courier New" w:eastAsia="Courier New" w:hAnsi="Courier New"/>
          <w:sz w:val="16"/>
          <w:szCs w:val="16"/>
          <w:color w:val="auto"/>
        </w:rPr>
        <w:t>The Investment Law provides that capital investments in production facilities (or other eligible assets) may, upon application to the Israeli Investment Center, be designated as an Approved Enterprise. Each instrument of approval for an Approved Enterprise relates to a specific investment program delineated both by the financial scope of the investment, including source of funds, and by the physical characteristics of the facility or other assets. The tax benefits available under any instrument of approval relate only to taxable profits attributable to the specific investment program and are contingent upon compliance with the conditions set out in the instrument of approval.</w:t>
      </w:r>
    </w:p>
    <w:p>
      <w:pPr>
        <w:spacing w:after="0" w:line="75" w:lineRule="exact"/>
        <w:rPr>
          <w:sz w:val="20"/>
          <w:szCs w:val="20"/>
          <w:color w:val="auto"/>
        </w:rPr>
      </w:pPr>
    </w:p>
    <w:p>
      <w:pPr>
        <w:ind w:right="2519" w:firstLine="527"/>
        <w:spacing w:after="0" w:line="347" w:lineRule="auto"/>
        <w:rPr>
          <w:sz w:val="20"/>
          <w:szCs w:val="20"/>
          <w:color w:val="auto"/>
        </w:rPr>
      </w:pPr>
      <w:r>
        <w:rPr>
          <w:rFonts w:ascii="Courier New" w:cs="Courier New" w:eastAsia="Courier New" w:hAnsi="Courier New"/>
          <w:sz w:val="18"/>
          <w:szCs w:val="18"/>
          <w:color w:val="auto"/>
        </w:rPr>
        <w:t>Tax Benefits. Taxable income derived from an Approved Enterprise is subject to a reduced corporate tax rate of 25% until the earlier of</w:t>
      </w:r>
    </w:p>
    <w:p>
      <w:pPr>
        <w:spacing w:after="0" w:line="18" w:lineRule="exact"/>
        <w:rPr>
          <w:sz w:val="20"/>
          <w:szCs w:val="20"/>
          <w:color w:val="auto"/>
        </w:rPr>
      </w:pPr>
    </w:p>
    <w:p>
      <w:pPr>
        <w:ind w:left="740" w:right="1779" w:hanging="205"/>
        <w:spacing w:after="0" w:line="292" w:lineRule="auto"/>
        <w:tabs>
          <w:tab w:leader="none" w:pos="74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seven consecutive years (or ten in the case of an FIC (as defined below)) commencing in the year in which the Approved Enterprise first generates taxable income,</w:t>
      </w:r>
    </w:p>
    <w:p>
      <w:pPr>
        <w:spacing w:after="0" w:line="66"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twelve years from the year of commencement of production, or</w:t>
      </w:r>
    </w:p>
    <w:p>
      <w:pPr>
        <w:spacing w:after="0" w:line="201" w:lineRule="exact"/>
        <w:rPr>
          <w:rFonts w:ascii="Courier New" w:cs="Courier New" w:eastAsia="Courier New" w:hAnsi="Courier New"/>
          <w:sz w:val="18"/>
          <w:szCs w:val="18"/>
          <w:color w:val="auto"/>
        </w:rPr>
      </w:pPr>
    </w:p>
    <w:p>
      <w:pPr>
        <w:ind w:left="740" w:right="1999" w:hanging="205"/>
        <w:spacing w:after="0" w:line="347" w:lineRule="auto"/>
        <w:tabs>
          <w:tab w:leader="none" w:pos="74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fourteen years from the year of the approval of the Approved Enterprise status.</w:t>
      </w:r>
    </w:p>
    <w:p>
      <w:pPr>
        <w:spacing w:after="0" w:line="18" w:lineRule="exact"/>
        <w:rPr>
          <w:sz w:val="20"/>
          <w:szCs w:val="20"/>
          <w:color w:val="auto"/>
        </w:rPr>
      </w:pPr>
    </w:p>
    <w:p>
      <w:pPr>
        <w:ind w:right="1999"/>
        <w:spacing w:after="0" w:line="274" w:lineRule="auto"/>
        <w:rPr>
          <w:sz w:val="20"/>
          <w:szCs w:val="20"/>
          <w:color w:val="auto"/>
        </w:rPr>
      </w:pPr>
      <w:r>
        <w:rPr>
          <w:rFonts w:ascii="Courier New" w:cs="Courier New" w:eastAsia="Courier New" w:hAnsi="Courier New"/>
          <w:sz w:val="16"/>
          <w:szCs w:val="16"/>
          <w:color w:val="auto"/>
        </w:rPr>
        <w:t>Such income is eligible for further reductions in tax rates if we qualify as a Foreign Investors' Company ("FIC") depending on the percentage of the foreign ownership. Subject to certain conditions, an FIC is a company more than 25% of whose share capital (in terms of shares, rights of profits, voting and appointment of directors) and more than 25% of whose combined share and loan capital are owned by non-Israeli residents. The tax rate is 20% if the foreign investment is 49% or more but less than 74%; 15% if the foreign investment is</w:t>
      </w:r>
    </w:p>
    <w:p>
      <w:pPr>
        <w:spacing w:after="0" w:line="2" w:lineRule="exact"/>
        <w:rPr>
          <w:sz w:val="20"/>
          <w:szCs w:val="20"/>
          <w:color w:val="auto"/>
        </w:rPr>
      </w:pPr>
    </w:p>
    <w:p>
      <w:pPr>
        <w:ind w:right="1779"/>
        <w:spacing w:after="0" w:line="243" w:lineRule="auto"/>
        <w:rPr>
          <w:sz w:val="20"/>
          <w:szCs w:val="20"/>
          <w:color w:val="auto"/>
        </w:rPr>
      </w:pPr>
      <w:r>
        <w:rPr>
          <w:rFonts w:ascii="Courier New" w:cs="Courier New" w:eastAsia="Courier New" w:hAnsi="Courier New"/>
          <w:sz w:val="18"/>
          <w:szCs w:val="18"/>
          <w:color w:val="auto"/>
        </w:rPr>
        <w:t>74% or more but less than 90%; and 10% if the foreign investment is 90% or more. The determination of foreign ownership is made on the basis of the lowest level of foreign ownership during the tax year. A company that owns an Approved Enterprise, approved after April 1, 1986, may elect to forego the entitlement to grants and apply for an alternative package of tax benefits. In addition, a company (like our Israeli subsidiary) with an enterprise outside the National Priority Regions (which is not entitled to grants) may also apply for the alternative benefits. Under the alternative benefits, undistributed income from the Approved Enterprise operations is fully tax exempt (a tax holiday) for a defined period. The tax holiday ranges between two to ten years from the first year of taxable income subject to the limitations as described above, depending principally upon the geographic location within Israel. On expiration of the tax holiday, the Approved Enterprise is eligible for a beneficial tax rate (25% or lower in the case of an FIC, as described above) for the remainder of the otherwise applicable period of benefits.</w:t>
      </w:r>
    </w:p>
    <w:p>
      <w:pPr>
        <w:spacing w:after="0" w:line="112"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Our Israeli subsidiary has elected the alternative benefits with respect to its current Approved Enterprise and its enlargements, pursuant to which the Israeli subsidiary enjoys, in relation to its Approved Enterprise operations, certain tax holidays, based on the location of activities within Israel, for a period of two or ten years (and in some cases for a period of four years) and, in the case of two year tax holidays, reduced tax rates for an additional period of up to eight years. In case our Israeli subsidiary pays a dividend, at any time, out of income earned during the tax holiday period in respect of its Approved Enterprise, it will be subject, assuming that the current level of foreign investment in Amdocs is not reduced, to corporate tax at the otherwise applicable rate of 10% of the income from which such dividend has been paid and up to 25% if such foreign investments are reduced (as detailed above). This tax is in addition to the withholding tax on dividends as described below. Under an instrument of approval issued in December 1997 and relating to the current investment program of our Israeli subsidiary and to the income derived therefrom, our Israeli subsidiary is entitled to a reduced tax rate period of thirteen years (instead of the eight-year period referred to above.) The tax benefits, available with respect to an Approved Enterprise only to taxable income attributable to that specific enterprise, are given according to an allocation formula provided for in the Investment Law or in the instrument of approval, and are contingent upon the fulfillment of the conditions stipulated by the Investment Law, the regulations published thereunder and the instruments of approval for the specific investments in the Approved Enterprises. In the event our Israeli subsidiary fails to comply with these conditions, the tax and other benefits could be canceled, in whole or in part, and the subsidiary might be required to refund the amount of the canceled benefits, with the addition of CPI linkage differences and interest. We believe that the Approved</w:t>
      </w:r>
    </w:p>
    <w:p>
      <w:pPr>
        <w:spacing w:after="0" w:line="38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59</w:t>
      </w:r>
    </w:p>
    <w:p>
      <w:pPr>
        <w:sectPr>
          <w:pgSz w:w="11900" w:h="16838" w:orient="portrait"/>
          <w:cols w:equalWidth="0" w:num="1">
            <w:col w:w="10219"/>
          </w:cols>
          <w:pgMar w:left="240" w:top="691" w:right="1440" w:bottom="761" w:gutter="0" w:footer="0" w:header="0"/>
        </w:sectPr>
      </w:pPr>
    </w:p>
    <w:bookmarkStart w:id="64" w:name="page65"/>
    <w:bookmarkEnd w:id="64"/>
    <w:p>
      <w:pPr>
        <w:ind w:right="1879"/>
        <w:spacing w:after="0" w:line="292" w:lineRule="auto"/>
        <w:rPr>
          <w:sz w:val="20"/>
          <w:szCs w:val="20"/>
          <w:color w:val="auto"/>
        </w:rPr>
      </w:pPr>
      <w:r>
        <w:rPr>
          <w:rFonts w:ascii="Courier New" w:cs="Courier New" w:eastAsia="Courier New" w:hAnsi="Courier New"/>
          <w:sz w:val="18"/>
          <w:szCs w:val="18"/>
          <w:color w:val="auto"/>
        </w:rPr>
        <w:t>Enterprise of our Israeli subsidiary substantially complies with all such conditions currently, but there can be no assurance that it will continue to do so.</w:t>
      </w:r>
    </w:p>
    <w:p>
      <w:pPr>
        <w:spacing w:after="0" w:line="66" w:lineRule="exact"/>
        <w:rPr>
          <w:sz w:val="20"/>
          <w:szCs w:val="20"/>
          <w:color w:val="auto"/>
        </w:rPr>
      </w:pPr>
    </w:p>
    <w:p>
      <w:pPr>
        <w:ind w:right="1879" w:firstLine="527"/>
        <w:spacing w:after="0" w:line="260" w:lineRule="auto"/>
        <w:rPr>
          <w:sz w:val="20"/>
          <w:szCs w:val="20"/>
          <w:color w:val="auto"/>
        </w:rPr>
      </w:pPr>
      <w:r>
        <w:rPr>
          <w:rFonts w:ascii="Courier New" w:cs="Courier New" w:eastAsia="Courier New" w:hAnsi="Courier New"/>
          <w:sz w:val="18"/>
          <w:szCs w:val="18"/>
          <w:color w:val="auto"/>
        </w:rPr>
        <w:t>From time to time, the Government of Israel has discussed reducing the benefits available to companies under the Investment Law. The termination or substantial reduction of any of the benefits available under the Investment Law could have a material adverse effect on future investments by us in Israel (although such termination or reduction would not affect our Israeli subsidiary's existing Approved Enterprise or the related benefits).</w:t>
      </w:r>
    </w:p>
    <w:p>
      <w:pPr>
        <w:spacing w:after="0" w:line="9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Dividends</w:t>
      </w:r>
    </w:p>
    <w:p>
      <w:pPr>
        <w:spacing w:after="0" w:line="201" w:lineRule="exact"/>
        <w:rPr>
          <w:sz w:val="20"/>
          <w:szCs w:val="20"/>
          <w:color w:val="auto"/>
        </w:rPr>
      </w:pPr>
    </w:p>
    <w:p>
      <w:pPr>
        <w:ind w:right="1779" w:firstLine="527"/>
        <w:spacing w:after="0" w:line="260" w:lineRule="auto"/>
        <w:rPr>
          <w:sz w:val="20"/>
          <w:szCs w:val="20"/>
          <w:color w:val="auto"/>
        </w:rPr>
      </w:pPr>
      <w:r>
        <w:rPr>
          <w:rFonts w:ascii="Courier New" w:cs="Courier New" w:eastAsia="Courier New" w:hAnsi="Courier New"/>
          <w:sz w:val="18"/>
          <w:szCs w:val="18"/>
          <w:color w:val="auto"/>
        </w:rPr>
        <w:t>Dividends paid out of income derived by an Approved Enterprise during the benefit periods (or out of dividends received from a company whose income is derived by an Approved Enterprise) are subject to withholding tax at a reduced rate of 15% (deductible at source). In the case of companies that do not qualify as a FIC, the reduced rate of 15% is limited to dividends paid at any time up to twelve years thereafter.</w:t>
      </w:r>
    </w:p>
    <w:p>
      <w:pPr>
        <w:spacing w:after="0" w:line="9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TAXATION OF HOLDERS OF ORDINARY SHARES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Certain United States Federal Income Tax Considerations</w:t>
      </w:r>
    </w:p>
    <w:p>
      <w:pPr>
        <w:spacing w:after="0" w:line="201" w:lineRule="exact"/>
        <w:rPr>
          <w:sz w:val="20"/>
          <w:szCs w:val="20"/>
          <w:color w:val="auto"/>
        </w:rPr>
      </w:pPr>
    </w:p>
    <w:p>
      <w:pPr>
        <w:ind w:right="1999" w:firstLine="527"/>
        <w:spacing w:after="0" w:line="292" w:lineRule="auto"/>
        <w:rPr>
          <w:sz w:val="20"/>
          <w:szCs w:val="20"/>
          <w:color w:val="auto"/>
        </w:rPr>
      </w:pPr>
      <w:r>
        <w:rPr>
          <w:rFonts w:ascii="Courier New" w:cs="Courier New" w:eastAsia="Courier New" w:hAnsi="Courier New"/>
          <w:sz w:val="18"/>
          <w:szCs w:val="18"/>
          <w:color w:val="auto"/>
        </w:rPr>
        <w:t>The following discussion describes the material United States federal income tax consequences to the ownership or disposition of our ordinary shares to a holder that is</w:t>
      </w:r>
    </w:p>
    <w:p>
      <w:pPr>
        <w:spacing w:after="0" w:line="66" w:lineRule="exact"/>
        <w:rPr>
          <w:sz w:val="20"/>
          <w:szCs w:val="20"/>
          <w:color w:val="auto"/>
        </w:rPr>
      </w:pPr>
    </w:p>
    <w:p>
      <w:pPr>
        <w:ind w:left="1160" w:hanging="625"/>
        <w:spacing w:after="0"/>
        <w:tabs>
          <w:tab w:leader="none" w:pos="116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individual who is a citizen or resident of the United States;</w:t>
      </w:r>
    </w:p>
    <w:p>
      <w:pPr>
        <w:spacing w:after="0" w:line="201" w:lineRule="exact"/>
        <w:rPr>
          <w:rFonts w:ascii="Courier New" w:cs="Courier New" w:eastAsia="Courier New" w:hAnsi="Courier New"/>
          <w:sz w:val="18"/>
          <w:szCs w:val="18"/>
          <w:color w:val="auto"/>
        </w:rPr>
      </w:pPr>
    </w:p>
    <w:p>
      <w:pPr>
        <w:ind w:left="1160" w:right="2319" w:hanging="625"/>
        <w:spacing w:after="0" w:line="347" w:lineRule="auto"/>
        <w:tabs>
          <w:tab w:leader="none" w:pos="116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corporation created or organized in, or under the laws of, the United States or of any state thereof;</w:t>
      </w:r>
    </w:p>
    <w:p>
      <w:pPr>
        <w:spacing w:after="0" w:line="18" w:lineRule="exact"/>
        <w:rPr>
          <w:rFonts w:ascii="Courier New" w:cs="Courier New" w:eastAsia="Courier New" w:hAnsi="Courier New"/>
          <w:sz w:val="18"/>
          <w:szCs w:val="18"/>
          <w:color w:val="auto"/>
        </w:rPr>
      </w:pPr>
    </w:p>
    <w:p>
      <w:pPr>
        <w:ind w:left="1160" w:right="1999" w:hanging="625"/>
        <w:spacing w:after="0" w:line="292" w:lineRule="auto"/>
        <w:tabs>
          <w:tab w:leader="none" w:pos="116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estate, the income of which is includable in gross income for United States federal income tax purposes regardless of its source; or</w:t>
      </w:r>
    </w:p>
    <w:p>
      <w:pPr>
        <w:spacing w:after="0" w:line="66" w:lineRule="exact"/>
        <w:rPr>
          <w:rFonts w:ascii="Courier New" w:cs="Courier New" w:eastAsia="Courier New" w:hAnsi="Courier New"/>
          <w:sz w:val="18"/>
          <w:szCs w:val="18"/>
          <w:color w:val="auto"/>
        </w:rPr>
      </w:pPr>
    </w:p>
    <w:p>
      <w:pPr>
        <w:ind w:left="1060" w:right="2099" w:hanging="525"/>
        <w:spacing w:after="0" w:line="274" w:lineRule="auto"/>
        <w:tabs>
          <w:tab w:leader="none" w:pos="106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trust, if a court within the United States is able to exercise primary supervision over the administration of the trust and one or more U.S. persons has the authority to control all substantial decisions of the trust.</w:t>
      </w:r>
    </w:p>
    <w:p>
      <w:pPr>
        <w:spacing w:after="0" w:line="82" w:lineRule="exact"/>
        <w:rPr>
          <w:sz w:val="20"/>
          <w:szCs w:val="20"/>
          <w:color w:val="auto"/>
        </w:rPr>
      </w:pPr>
    </w:p>
    <w:p>
      <w:pPr>
        <w:ind w:right="1779" w:firstLine="527"/>
        <w:spacing w:after="0" w:line="274" w:lineRule="auto"/>
        <w:rPr>
          <w:sz w:val="20"/>
          <w:szCs w:val="20"/>
          <w:color w:val="auto"/>
        </w:rPr>
      </w:pPr>
      <w:r>
        <w:rPr>
          <w:rFonts w:ascii="Courier New" w:cs="Courier New" w:eastAsia="Courier New" w:hAnsi="Courier New"/>
          <w:sz w:val="18"/>
          <w:szCs w:val="18"/>
          <w:color w:val="auto"/>
        </w:rPr>
        <w:t>This summary generally considers only U.S. holders that own ordinary shares as capital assets. This summary does not discuss the United States federal income tax consequences to a holder of ordinary shares that is not a U.S. holder.</w:t>
      </w:r>
    </w:p>
    <w:p>
      <w:pPr>
        <w:spacing w:after="0" w:line="82" w:lineRule="exact"/>
        <w:rPr>
          <w:sz w:val="20"/>
          <w:szCs w:val="20"/>
          <w:color w:val="auto"/>
        </w:rPr>
      </w:pPr>
    </w:p>
    <w:p>
      <w:pPr>
        <w:ind w:right="1779" w:firstLine="527"/>
        <w:spacing w:after="0" w:line="245" w:lineRule="auto"/>
        <w:rPr>
          <w:sz w:val="20"/>
          <w:szCs w:val="20"/>
          <w:color w:val="auto"/>
        </w:rPr>
      </w:pPr>
      <w:r>
        <w:rPr>
          <w:rFonts w:ascii="Courier New" w:cs="Courier New" w:eastAsia="Courier New" w:hAnsi="Courier New"/>
          <w:sz w:val="18"/>
          <w:szCs w:val="18"/>
          <w:color w:val="auto"/>
        </w:rPr>
        <w:t>This discussion is based on current provisions of the Internal Revenue Code of 1986, as amended (the "Code"), current and proposed Treasury regulations promulgated thereunder, and administrative and judicial decisions as of the date hereof, all of which are subject to change, possibly on a retroactive basis. This discussion does not address all aspects of United States federal income taxation that may be relevant to a holder of ordinary shares based on such holder's particular circumstances (including potential application of the alternative minimum tax), United States federal income tax consequences to certain holders that are subject to special treatment (such as taxpayers who are broker-dealers, insurance companies, tax-exempt organizations, financial institutions, holders of securities held as part of a "straddle", "hedge" or "conversion transaction" with other investments, or holders owning directly, indirectly or by attribution at least 10% of the ordinary shares), or any aspect of state, local or non-United States tax laws. Additionally, this discussion does not consider the tax treatment of persons who hold ordinary shares through a partnership or other pass-through entity or the possible application of United States federal gift or estate taxes.</w:t>
      </w:r>
    </w:p>
    <w:p>
      <w:pPr>
        <w:spacing w:after="0" w:line="108" w:lineRule="exact"/>
        <w:rPr>
          <w:sz w:val="20"/>
          <w:szCs w:val="20"/>
          <w:color w:val="auto"/>
        </w:rPr>
      </w:pPr>
    </w:p>
    <w:p>
      <w:pPr>
        <w:ind w:right="1879" w:firstLine="527"/>
        <w:spacing w:after="0" w:line="265" w:lineRule="auto"/>
        <w:rPr>
          <w:sz w:val="20"/>
          <w:szCs w:val="20"/>
          <w:color w:val="auto"/>
        </w:rPr>
      </w:pPr>
      <w:r>
        <w:rPr>
          <w:rFonts w:ascii="Courier New" w:cs="Courier New" w:eastAsia="Courier New" w:hAnsi="Courier New"/>
          <w:sz w:val="18"/>
          <w:szCs w:val="18"/>
          <w:color w:val="auto"/>
        </w:rPr>
        <w:t>This summary is for general information only and is not binding on the Internal Revenue Service ("IRS"). There can be no assurance that the IRS will not challenge one or more of the statements made herein. U.S. holders are urged to consult their own tax advisers as to the particular tax consequences to them of owning and disposing of our ordinary shares.</w:t>
      </w:r>
    </w:p>
    <w:p>
      <w:pPr>
        <w:spacing w:after="0" w:line="9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60</w:t>
      </w:r>
    </w:p>
    <w:p>
      <w:pPr>
        <w:sectPr>
          <w:pgSz w:w="11900" w:h="16838" w:orient="portrait"/>
          <w:cols w:equalWidth="0" w:num="1">
            <w:col w:w="10219"/>
          </w:cols>
          <w:pgMar w:left="240" w:top="691" w:right="1440" w:bottom="996" w:gutter="0" w:footer="0" w:header="0"/>
        </w:sectPr>
      </w:pPr>
    </w:p>
    <w:bookmarkStart w:id="65" w:name="page66"/>
    <w:bookmarkEnd w:id="65"/>
    <w:p>
      <w:pPr>
        <w:ind w:right="1779" w:firstLine="527"/>
        <w:spacing w:after="0" w:line="282" w:lineRule="auto"/>
        <w:rPr>
          <w:sz w:val="20"/>
          <w:szCs w:val="20"/>
          <w:color w:val="auto"/>
        </w:rPr>
      </w:pPr>
      <w:r>
        <w:rPr>
          <w:rFonts w:ascii="Courier New" w:cs="Courier New" w:eastAsia="Courier New" w:hAnsi="Courier New"/>
          <w:sz w:val="16"/>
          <w:szCs w:val="16"/>
          <w:color w:val="auto"/>
        </w:rPr>
        <w:t>Dividends. In general, a U.S. holder receiving a distribution with respect to the ordinary shares will be required to include such distribution (including the amount of foreign taxes, if any, withheld therefrom) in gross income as a taxable dividend to the extent such distribution is paid from our current or accumulated earnings and profits as determined under United States federal income tax principles. Any distributions in excess of such earnings and profits will first be treated, for United States federal income tax purposes, as a nontaxable return of capital to the extent of the U.S. holder's tax basis in the ordinary shares, and then, to the extent in excess of such tax basis, as gain from the sale or exchange of a capital asset. See "Disposition of Ordinary Shares" below. United States corporate shareholders will not be entitled to any deduction for distributions received as dividends on the ordinary shares.</w:t>
      </w:r>
    </w:p>
    <w:p>
      <w:pPr>
        <w:spacing w:after="0" w:line="291" w:lineRule="exact"/>
        <w:rPr>
          <w:sz w:val="20"/>
          <w:szCs w:val="20"/>
          <w:color w:val="auto"/>
        </w:rPr>
      </w:pPr>
    </w:p>
    <w:p>
      <w:pPr>
        <w:ind w:right="1779" w:firstLine="527"/>
        <w:spacing w:after="0" w:line="280" w:lineRule="auto"/>
        <w:rPr>
          <w:sz w:val="20"/>
          <w:szCs w:val="20"/>
          <w:color w:val="auto"/>
        </w:rPr>
      </w:pPr>
      <w:r>
        <w:rPr>
          <w:rFonts w:ascii="Courier New" w:cs="Courier New" w:eastAsia="Courier New" w:hAnsi="Courier New"/>
          <w:sz w:val="16"/>
          <w:szCs w:val="16"/>
          <w:color w:val="auto"/>
        </w:rPr>
        <w:t>Dividend income is generally taxed as ordinary income. However, as a result of recent United States tax legislation, a maximum United States federal income tax rate of 15% will apply to "qualified dividend income" received by individuals (as well as certain trusts and estates) in taxable years beginning after December 31, 2002 and before January 1, 2009, provided that certain holding period requirements are met. "Qualified dividend income" includes dividends paid on shares of United States corporations as well as dividends paid on shares of "qualified foreign corporations", including shares of a foreign corporation which are readily tradable on an established securities market in the United States. Since our ordinary shares are readily tradable on the New York Stock Exchange, we believe that dividends paid by us with respect to our ordinary shares should constitute "qualified dividend income" for United States federal income tax purposes, provided that the holding period requirements are satisfied and none of the other special exceptions applies.</w:t>
      </w:r>
    </w:p>
    <w:p>
      <w:pPr>
        <w:spacing w:after="0" w:line="290" w:lineRule="exact"/>
        <w:rPr>
          <w:sz w:val="20"/>
          <w:szCs w:val="20"/>
          <w:color w:val="auto"/>
        </w:rPr>
      </w:pPr>
    </w:p>
    <w:p>
      <w:pPr>
        <w:ind w:right="1779" w:firstLine="527"/>
        <w:spacing w:after="0" w:line="252" w:lineRule="auto"/>
        <w:rPr>
          <w:sz w:val="20"/>
          <w:szCs w:val="20"/>
          <w:color w:val="auto"/>
        </w:rPr>
      </w:pPr>
      <w:r>
        <w:rPr>
          <w:rFonts w:ascii="Courier New" w:cs="Courier New" w:eastAsia="Courier New" w:hAnsi="Courier New"/>
          <w:sz w:val="18"/>
          <w:szCs w:val="18"/>
          <w:color w:val="auto"/>
        </w:rPr>
        <w:t>The amount of foreign income taxes that may be claimed as a credit against United States federal income tax in any year is subject to certain complex limitations and restrictions, which must be determined on an individual basis by each U.S. holder. The limitations set out in the Code include, among others, rules that may limit foreign tax credits allowable with respect to specific classes of income to the United States federal income taxes otherwise payable with respect to each such class of income. Dividends paid by us generally will be foreign source "passive income" or "financial services income" for United States foreign tax credit purposes.</w:t>
      </w:r>
    </w:p>
    <w:p>
      <w:pPr>
        <w:spacing w:after="0" w:line="99" w:lineRule="exact"/>
        <w:rPr>
          <w:sz w:val="20"/>
          <w:szCs w:val="20"/>
          <w:color w:val="auto"/>
        </w:rPr>
      </w:pPr>
    </w:p>
    <w:p>
      <w:pPr>
        <w:ind w:right="1779" w:firstLine="527"/>
        <w:spacing w:after="0" w:line="281" w:lineRule="auto"/>
        <w:rPr>
          <w:sz w:val="20"/>
          <w:szCs w:val="20"/>
          <w:color w:val="auto"/>
        </w:rPr>
      </w:pPr>
      <w:r>
        <w:rPr>
          <w:rFonts w:ascii="Courier New" w:cs="Courier New" w:eastAsia="Courier New" w:hAnsi="Courier New"/>
          <w:sz w:val="16"/>
          <w:szCs w:val="16"/>
          <w:color w:val="auto"/>
        </w:rPr>
        <w:t>Disposition of Ordinary Shares. Upon the sale, exchange or other disposition of our ordinary shares, a U.S. holder generally will recognize capital gain or loss in an amount equal to the difference between the amount realized on the disposition by such U.S. holder and its tax basis in the ordinary shares. Such capital gain or loss will be long-term capital gain or loss if the U.S. holder has held the ordinary shares for more than one year at the time of the disposition. In the case of a U.S. holder that is an individual, trust or estate, long-term capital gains realized upon a disposition of the ordinary shares after May 5, 2003 and before the end of a taxable year which begins before January 1, 2009 generally will be subject to a maximum United States federal tax income rate of 15%. Gains realized by a U.S. holder on a sale, exchange or other disposition of ordinary shares generally will be treated as United States source income for United States foreign tax credit purposes.</w:t>
      </w:r>
    </w:p>
    <w:p>
      <w:pPr>
        <w:spacing w:after="0" w:line="290" w:lineRule="exact"/>
        <w:rPr>
          <w:sz w:val="20"/>
          <w:szCs w:val="20"/>
          <w:color w:val="auto"/>
        </w:rPr>
      </w:pPr>
    </w:p>
    <w:p>
      <w:pPr>
        <w:ind w:right="1779" w:firstLine="527"/>
        <w:spacing w:after="0" w:line="289" w:lineRule="auto"/>
        <w:rPr>
          <w:sz w:val="20"/>
          <w:szCs w:val="20"/>
          <w:color w:val="auto"/>
        </w:rPr>
      </w:pPr>
      <w:r>
        <w:rPr>
          <w:rFonts w:ascii="Courier New" w:cs="Courier New" w:eastAsia="Courier New" w:hAnsi="Courier New"/>
          <w:sz w:val="16"/>
          <w:szCs w:val="16"/>
          <w:color w:val="auto"/>
        </w:rPr>
        <w:t>Information Reporting and Backup Withholding. Dividend payments with respect to the ordinary shares and proceeds from the sale, exchange or redemption of ordinary shares may be subject to information reporting to the IRS and possible U.S. backup withholding. Backup withholding will not apply, however, to a U.S. holder who furnishes a correct taxpayer identification number and makes any other required certification or who is otherwise exempt from backup withholding. Generally a U.S. holder will provide such certification on IRS Form W-9 (Request for Taxpayer Identification Number and Certification).</w:t>
      </w:r>
    </w:p>
    <w:p>
      <w:pPr>
        <w:spacing w:after="0" w:line="77" w:lineRule="exact"/>
        <w:rPr>
          <w:sz w:val="20"/>
          <w:szCs w:val="20"/>
          <w:color w:val="auto"/>
        </w:rPr>
      </w:pPr>
    </w:p>
    <w:p>
      <w:pPr>
        <w:ind w:right="1779" w:firstLine="527"/>
        <w:spacing w:after="0" w:line="274" w:lineRule="auto"/>
        <w:rPr>
          <w:sz w:val="20"/>
          <w:szCs w:val="20"/>
          <w:color w:val="auto"/>
        </w:rPr>
      </w:pPr>
      <w:r>
        <w:rPr>
          <w:rFonts w:ascii="Courier New" w:cs="Courier New" w:eastAsia="Courier New" w:hAnsi="Courier New"/>
          <w:sz w:val="18"/>
          <w:szCs w:val="18"/>
          <w:color w:val="auto"/>
        </w:rPr>
        <w:t>Amounts withheld under the backup withholding rules may be credited against a U.S. holder's tax liability, and a U.S. holder may obtain a refund of any excess amounts withheld under the backup withholding rules by filing the appropriate claim for a refund with the IRS.</w:t>
      </w:r>
    </w:p>
    <w:p>
      <w:pPr>
        <w:spacing w:after="0" w:line="82" w:lineRule="exact"/>
        <w:rPr>
          <w:sz w:val="20"/>
          <w:szCs w:val="20"/>
          <w:color w:val="auto"/>
        </w:rPr>
      </w:pPr>
    </w:p>
    <w:p>
      <w:pPr>
        <w:ind w:right="1879" w:firstLine="527"/>
        <w:spacing w:after="0" w:line="245" w:lineRule="auto"/>
        <w:rPr>
          <w:sz w:val="20"/>
          <w:szCs w:val="20"/>
          <w:color w:val="auto"/>
        </w:rPr>
      </w:pPr>
      <w:r>
        <w:rPr>
          <w:rFonts w:ascii="Courier New" w:cs="Courier New" w:eastAsia="Courier New" w:hAnsi="Courier New"/>
          <w:sz w:val="18"/>
          <w:szCs w:val="18"/>
          <w:color w:val="auto"/>
        </w:rPr>
        <w:t>Passive Foreign Investment Company Considerations. If, during any taxable year, 75% or more of our gross income consists of certain types of passive income, or the average value during a taxable year of passive assets (generally assets that generate passive income) is 50% or more of the average value of all of</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61</w:t>
      </w:r>
    </w:p>
    <w:p>
      <w:pPr>
        <w:sectPr>
          <w:pgSz w:w="11900" w:h="16838" w:orient="portrait"/>
          <w:cols w:equalWidth="0" w:num="1">
            <w:col w:w="10219"/>
          </w:cols>
          <w:pgMar w:left="240" w:top="691" w:right="1440" w:bottom="964" w:gutter="0" w:footer="0" w:header="0"/>
        </w:sectPr>
      </w:pPr>
    </w:p>
    <w:bookmarkStart w:id="66" w:name="page67"/>
    <w:bookmarkEnd w:id="66"/>
    <w:p>
      <w:pPr>
        <w:ind w:right="1779"/>
        <w:spacing w:after="0" w:line="260" w:lineRule="auto"/>
        <w:rPr>
          <w:sz w:val="20"/>
          <w:szCs w:val="20"/>
          <w:color w:val="auto"/>
        </w:rPr>
      </w:pPr>
      <w:r>
        <w:rPr>
          <w:rFonts w:ascii="Courier New" w:cs="Courier New" w:eastAsia="Courier New" w:hAnsi="Courier New"/>
          <w:sz w:val="18"/>
          <w:szCs w:val="18"/>
          <w:color w:val="auto"/>
        </w:rPr>
        <w:t>our assets, we will be treated as a "passive foreign investment company" under U.S. federal income tax law for such year and succeeding years. If we are treated as a passive foreign investment company, a U.S. holder may be subject to increased tax liability upon the sale of our ordinary shares or upon the receipt of certain distributions, unless such U.S. holder makes an election to mark our ordinary shares to market annually.</w:t>
      </w:r>
    </w:p>
    <w:p>
      <w:pPr>
        <w:spacing w:after="0" w:line="93" w:lineRule="exact"/>
        <w:rPr>
          <w:sz w:val="20"/>
          <w:szCs w:val="20"/>
          <w:color w:val="auto"/>
        </w:rPr>
      </w:pPr>
    </w:p>
    <w:p>
      <w:pPr>
        <w:ind w:right="1779" w:firstLine="527"/>
        <w:spacing w:after="0" w:line="282" w:lineRule="auto"/>
        <w:rPr>
          <w:sz w:val="20"/>
          <w:szCs w:val="20"/>
          <w:color w:val="auto"/>
        </w:rPr>
      </w:pPr>
      <w:r>
        <w:rPr>
          <w:rFonts w:ascii="Courier New" w:cs="Courier New" w:eastAsia="Courier New" w:hAnsi="Courier New"/>
          <w:sz w:val="16"/>
          <w:szCs w:val="16"/>
          <w:color w:val="auto"/>
        </w:rPr>
        <w:t>Based on an analysis of our financial position, we believe that we have not been a passive foreign investment company for U.S. federal income tax purposes for any preceding taxable year and expect that we will not become a passive foreign investment company during the current taxable year. However, because the tests for determining passive foreign investment company status are applied as of the end of each taxable year and are dependent upon a number of factors, some of which are beyond our control, including the value of our assets, based on the market price of our ordinary shares, and the amount and type of our gross income, we cannot assure you that we will not become a passive foreign investment company in the future or that the IRS will agree with our conclusion regarding our current passive foreign investment company status. We intend to use reasonable efforts to avoid becoming a passive foreign investment company.</w:t>
      </w:r>
    </w:p>
    <w:p>
      <w:pPr>
        <w:spacing w:after="0" w:line="78" w:lineRule="exact"/>
        <w:rPr>
          <w:sz w:val="20"/>
          <w:szCs w:val="20"/>
          <w:color w:val="auto"/>
        </w:rPr>
      </w:pPr>
    </w:p>
    <w:p>
      <w:pPr>
        <w:ind w:right="2099" w:firstLine="527"/>
        <w:spacing w:after="0" w:line="318" w:lineRule="auto"/>
        <w:rPr>
          <w:sz w:val="20"/>
          <w:szCs w:val="20"/>
          <w:color w:val="auto"/>
        </w:rPr>
      </w:pPr>
      <w:r>
        <w:rPr>
          <w:rFonts w:ascii="Courier New" w:cs="Courier New" w:eastAsia="Courier New" w:hAnsi="Courier New"/>
          <w:sz w:val="16"/>
          <w:szCs w:val="16"/>
          <w:color w:val="auto"/>
        </w:rPr>
        <w:t>Rules relating to a passive foreign investment company are very complex. U.S. holders should consult their own tax advisors regarding the U.S. federal income tax considerations discussed above and the applicability of passive foreign investment company rules to their investments in our ordinary shares.</w:t>
      </w:r>
    </w:p>
    <w:p>
      <w:pPr>
        <w:spacing w:after="0" w:line="5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Certain Guernsey Tax Considerations</w:t>
      </w:r>
    </w:p>
    <w:p>
      <w:pPr>
        <w:spacing w:after="0" w:line="201" w:lineRule="exact"/>
        <w:rPr>
          <w:sz w:val="20"/>
          <w:szCs w:val="20"/>
          <w:color w:val="auto"/>
        </w:rPr>
      </w:pPr>
    </w:p>
    <w:p>
      <w:pPr>
        <w:ind w:right="1779" w:firstLine="527"/>
        <w:spacing w:after="0" w:line="256" w:lineRule="auto"/>
        <w:rPr>
          <w:sz w:val="20"/>
          <w:szCs w:val="20"/>
          <w:color w:val="auto"/>
        </w:rPr>
      </w:pPr>
      <w:r>
        <w:rPr>
          <w:rFonts w:ascii="Courier New" w:cs="Courier New" w:eastAsia="Courier New" w:hAnsi="Courier New"/>
          <w:sz w:val="18"/>
          <w:szCs w:val="18"/>
          <w:color w:val="auto"/>
        </w:rPr>
        <w:t>Under the laws of Guernsey as currently in effect, a holder of our ordinary shares who is not a resident of Guernsey and who does not carry on business in Guernsey through a permanent establishment situated there is exempt from Guernsey income tax on dividends paid with respect to the ordinary shares and is not liable for Guernsey income tax on gains realized on sale or disposition of such ordinary shares. In addition, Guernsey does not impose a withholding tax on dividends paid by us to the holders of our ordinary shares.</w:t>
      </w:r>
    </w:p>
    <w:p>
      <w:pPr>
        <w:spacing w:after="0" w:line="98" w:lineRule="exact"/>
        <w:rPr>
          <w:sz w:val="20"/>
          <w:szCs w:val="20"/>
          <w:color w:val="auto"/>
        </w:rPr>
      </w:pPr>
    </w:p>
    <w:p>
      <w:pPr>
        <w:jc w:val="both"/>
        <w:ind w:right="1999" w:firstLine="527"/>
        <w:spacing w:after="0" w:line="292" w:lineRule="auto"/>
        <w:rPr>
          <w:sz w:val="20"/>
          <w:szCs w:val="20"/>
          <w:color w:val="auto"/>
        </w:rPr>
      </w:pPr>
      <w:r>
        <w:rPr>
          <w:rFonts w:ascii="Courier New" w:cs="Courier New" w:eastAsia="Courier New" w:hAnsi="Courier New"/>
          <w:sz w:val="18"/>
          <w:szCs w:val="18"/>
          <w:color w:val="auto"/>
        </w:rPr>
        <w:t>There are no capital gains, gift or inheritance taxes levied by Guernsey, and the ordinary shares generally are not subject to any transfer taxes, stamp duties or similar charges on issuance or transfer.</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DOCUMENTS ON DISPLAY</w:t>
      </w:r>
    </w:p>
    <w:p>
      <w:pPr>
        <w:spacing w:after="0" w:line="201"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We are subject to the reporting requirements of foreign private issuers under the U.S. Securities Exchange Act of 1934. Pursuant to the Exchange Act, we file reports with the SEC, including this Annual Report on Form 20-F. We also submit reports to the SEC, including Reports of Foreign Private Issuers on Form 6-K. You may read and copy such reports at the SEC's public Reference Room at 450 Fifth Street, N.W., Washington, D.C. 20549. You may call the SEC at</w:t>
      </w:r>
    </w:p>
    <w:p>
      <w:pPr>
        <w:spacing w:after="0" w:line="1" w:lineRule="exact"/>
        <w:rPr>
          <w:sz w:val="20"/>
          <w:szCs w:val="20"/>
          <w:color w:val="auto"/>
        </w:rPr>
      </w:pPr>
    </w:p>
    <w:p>
      <w:pPr>
        <w:ind w:right="1779"/>
        <w:spacing w:after="0" w:line="262" w:lineRule="auto"/>
        <w:rPr>
          <w:sz w:val="20"/>
          <w:szCs w:val="20"/>
          <w:color w:val="auto"/>
        </w:rPr>
      </w:pPr>
      <w:r>
        <w:rPr>
          <w:rFonts w:ascii="Courier New" w:cs="Courier New" w:eastAsia="Courier New" w:hAnsi="Courier New"/>
          <w:sz w:val="18"/>
          <w:szCs w:val="18"/>
          <w:color w:val="auto"/>
        </w:rPr>
        <w:t>1-800-SEC-0330 for further information about the Public Reference Room. Such reports are also available to the public on the SEC's website at http://www.sec.gov. Some of this information may also be found on our website at www.amdocs.com.</w:t>
      </w:r>
    </w:p>
    <w:p>
      <w:pPr>
        <w:spacing w:after="0" w:line="90" w:lineRule="exact"/>
        <w:rPr>
          <w:sz w:val="20"/>
          <w:szCs w:val="20"/>
          <w:color w:val="auto"/>
        </w:rPr>
      </w:pPr>
    </w:p>
    <w:p>
      <w:pPr>
        <w:ind w:right="2619" w:firstLine="527"/>
        <w:spacing w:after="0" w:line="347" w:lineRule="auto"/>
        <w:rPr>
          <w:sz w:val="20"/>
          <w:szCs w:val="20"/>
          <w:color w:val="auto"/>
        </w:rPr>
      </w:pPr>
      <w:r>
        <w:rPr>
          <w:rFonts w:ascii="Courier New" w:cs="Courier New" w:eastAsia="Courier New" w:hAnsi="Courier New"/>
          <w:sz w:val="18"/>
          <w:szCs w:val="18"/>
          <w:color w:val="auto"/>
        </w:rPr>
        <w:t>You may request copies of our reports, at no cost, by writing to or telephoning us as follows:</w:t>
      </w:r>
    </w:p>
    <w:p>
      <w:pPr>
        <w:spacing w:after="0" w:line="18"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Amdocs, Inc.</w:t>
      </w:r>
    </w:p>
    <w:p>
      <w:pPr>
        <w:spacing w:after="0" w:line="29"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1390 Timberlake Manor Parkway</w:t>
      </w:r>
    </w:p>
    <w:p>
      <w:pPr>
        <w:ind w:left="1160"/>
        <w:spacing w:after="0" w:line="238" w:lineRule="auto"/>
        <w:rPr>
          <w:sz w:val="20"/>
          <w:szCs w:val="20"/>
          <w:color w:val="auto"/>
        </w:rPr>
      </w:pPr>
      <w:r>
        <w:rPr>
          <w:rFonts w:ascii="Courier New" w:cs="Courier New" w:eastAsia="Courier New" w:hAnsi="Courier New"/>
          <w:sz w:val="18"/>
          <w:szCs w:val="18"/>
          <w:color w:val="auto"/>
        </w:rPr>
        <w:t>Chesterfield, Missouri 63017</w:t>
      </w:r>
    </w:p>
    <w:p>
      <w:pPr>
        <w:ind w:left="1160"/>
        <w:spacing w:after="0"/>
        <w:rPr>
          <w:sz w:val="20"/>
          <w:szCs w:val="20"/>
          <w:color w:val="auto"/>
        </w:rPr>
      </w:pPr>
      <w:r>
        <w:rPr>
          <w:rFonts w:ascii="Courier New" w:cs="Courier New" w:eastAsia="Courier New" w:hAnsi="Courier New"/>
          <w:sz w:val="18"/>
          <w:szCs w:val="18"/>
          <w:color w:val="auto"/>
        </w:rPr>
        <w:t>Telephone: (314) 212-8328</w:t>
      </w:r>
    </w:p>
    <w:p>
      <w:pPr>
        <w:spacing w:after="0" w:line="169"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11.</w:t>
      </w:r>
      <w:r>
        <w:rPr>
          <w:sz w:val="20"/>
          <w:szCs w:val="20"/>
          <w:color w:val="auto"/>
        </w:rPr>
        <w:tab/>
      </w:r>
      <w:r>
        <w:rPr>
          <w:rFonts w:ascii="Courier New" w:cs="Courier New" w:eastAsia="Courier New" w:hAnsi="Courier New"/>
          <w:sz w:val="16"/>
          <w:szCs w:val="16"/>
          <w:color w:val="auto"/>
        </w:rPr>
        <w:t>QUANTITATIVE AND QUALITATIVE DISCLOSURE ABOUT MARKET RISK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CURRENCY FLUCTUATIONS</w:t>
      </w:r>
    </w:p>
    <w:p>
      <w:pPr>
        <w:spacing w:after="0" w:line="201" w:lineRule="exact"/>
        <w:rPr>
          <w:sz w:val="20"/>
          <w:szCs w:val="20"/>
          <w:color w:val="auto"/>
        </w:rPr>
      </w:pPr>
    </w:p>
    <w:p>
      <w:pPr>
        <w:ind w:right="1779" w:firstLine="527"/>
        <w:spacing w:after="0" w:line="265" w:lineRule="auto"/>
        <w:rPr>
          <w:sz w:val="20"/>
          <w:szCs w:val="20"/>
          <w:color w:val="auto"/>
        </w:rPr>
      </w:pPr>
      <w:r>
        <w:rPr>
          <w:rFonts w:ascii="Courier New" w:cs="Courier New" w:eastAsia="Courier New" w:hAnsi="Courier New"/>
          <w:sz w:val="18"/>
          <w:szCs w:val="18"/>
          <w:color w:val="auto"/>
        </w:rPr>
        <w:t>The U.S. dollar is our functional currency. In fiscal 2003, approximately 80% of our revenue was in U.S. dollars or linked to the U.S. dollar, and approximately 60% of our operating expenses (excluding acquisition-related charges and restructuring charges) were paid in dollars or linked to dollars. As a result</w:t>
      </w:r>
    </w:p>
    <w:p>
      <w:pPr>
        <w:spacing w:after="0" w:line="9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62</w:t>
      </w:r>
    </w:p>
    <w:p>
      <w:pPr>
        <w:sectPr>
          <w:pgSz w:w="11900" w:h="16838" w:orient="portrait"/>
          <w:cols w:equalWidth="0" w:num="1">
            <w:col w:w="10219"/>
          </w:cols>
          <w:pgMar w:left="240" w:top="691" w:right="1440" w:bottom="1440" w:gutter="0" w:footer="0" w:header="0"/>
        </w:sectPr>
      </w:pPr>
    </w:p>
    <w:bookmarkStart w:id="67" w:name="page68"/>
    <w:bookmarkEnd w:id="67"/>
    <w:p>
      <w:pPr>
        <w:ind w:right="1879"/>
        <w:spacing w:after="0" w:line="249" w:lineRule="auto"/>
        <w:rPr>
          <w:sz w:val="20"/>
          <w:szCs w:val="20"/>
          <w:color w:val="auto"/>
        </w:rPr>
      </w:pPr>
      <w:r>
        <w:rPr>
          <w:rFonts w:ascii="Courier New" w:cs="Courier New" w:eastAsia="Courier New" w:hAnsi="Courier New"/>
          <w:sz w:val="18"/>
          <w:szCs w:val="18"/>
          <w:color w:val="auto"/>
        </w:rPr>
        <w:t>of long-term contracts in currencies other than the U.S. dollar and more customers seeking contracts that are denominated in currencies such as the euro and not the U.S. dollar, we expect that the percentage of our revenue and operating expenses in U.S. dollar will decrease slightly over time. Historically, the effect of fluctuations in currency exchange rates has had a minimal impact on our consolidated operations. As more of our customers seek contracts that are denominated in currencies other than the U.S. dollar, our exposure to fluctuations in currency exchange rates could increase. In managing our foreign exchange risk, we enter from time to time into various foreign exchange contracts. As of September 30, 2003, we had substantially hedged our significant exposures in currencies other than the U.S. dollar.</w:t>
      </w:r>
    </w:p>
    <w:p>
      <w:pPr>
        <w:spacing w:after="0" w:line="1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FOREIGN CURRENCY RISK</w:t>
      </w:r>
    </w:p>
    <w:p>
      <w:pPr>
        <w:spacing w:after="0" w:line="201" w:lineRule="exact"/>
        <w:rPr>
          <w:sz w:val="20"/>
          <w:szCs w:val="20"/>
          <w:color w:val="auto"/>
        </w:rPr>
      </w:pPr>
    </w:p>
    <w:p>
      <w:pPr>
        <w:ind w:right="1779" w:firstLine="527"/>
        <w:spacing w:after="0" w:line="244" w:lineRule="auto"/>
        <w:rPr>
          <w:sz w:val="20"/>
          <w:szCs w:val="20"/>
          <w:color w:val="auto"/>
        </w:rPr>
      </w:pPr>
      <w:r>
        <w:rPr>
          <w:rFonts w:ascii="Courier New" w:cs="Courier New" w:eastAsia="Courier New" w:hAnsi="Courier New"/>
          <w:sz w:val="18"/>
          <w:szCs w:val="18"/>
          <w:color w:val="auto"/>
        </w:rPr>
        <w:t>We enter into foreign exchange forward contracts to hedge most of our foreign currency exposure. We use such contracts to hedge exposure to changes in foreign currency exchange rates associated with revenue denominated in a foreign currency, primarily British pounds, Canadian dollars and the ECU, and anticipated costs to be incurred in a foreign currency, primarily Australian dollars, Canadian dollars and Israeli shekels. We also use forward contracts to hedge the impact of the variability in exchange rates on certain accounts receivables, denominated in British pounds and the ECU. We seek to minimize the risk that the anticipated cash flow from sales of our products and services and cash flow required for our expenses denominated in a currency other than our functional currency will be affected by changes in exchange rates. See Note 22 to our consolidated financial statements included in this Annual Report. The following table summarizes our foreign currency forward exchange agreements as of September 30, 2003. All the forward contracts are expected to mature during fiscal 2004. The table below (all dollar amounts in millions) presents the notional amounts and fair value of the total derivative instruments as of September 30, 2003. Notional values are calculated based on forward rates as of September 30, 2003, U.S. dollar translated.</w:t>
      </w:r>
    </w:p>
    <w:p>
      <w:pPr>
        <w:spacing w:after="0" w:line="117"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AS OF SEPTEMBER 30, 2003 -------------------------------</w:t>
      </w:r>
    </w:p>
    <w:p>
      <w:pPr>
        <w:spacing w:after="0" w:line="29" w:lineRule="exact"/>
        <w:rPr>
          <w:sz w:val="20"/>
          <w:szCs w:val="20"/>
          <w:color w:val="auto"/>
        </w:rPr>
      </w:pPr>
    </w:p>
    <w:p>
      <w:pPr>
        <w:ind w:left="480"/>
        <w:spacing w:after="0"/>
        <w:rPr>
          <w:sz w:val="20"/>
          <w:szCs w:val="20"/>
          <w:color w:val="auto"/>
        </w:rPr>
      </w:pPr>
      <w:r>
        <w:rPr>
          <w:rFonts w:ascii="Courier New" w:cs="Courier New" w:eastAsia="Courier New" w:hAnsi="Courier New"/>
          <w:sz w:val="18"/>
          <w:szCs w:val="18"/>
          <w:color w:val="auto"/>
        </w:rPr>
        <w:t>NOTIONAL AMOUNT TRANSLATED TO FAIR VALUE OF U.S.</w:t>
      </w:r>
    </w:p>
    <w:tbl>
      <w:tblPr>
        <w:tblLayout w:type="fixed"/>
        <w:tblInd w:w="0" w:type="dxa"/>
        <w:tblCellMar>
          <w:top w:w="0" w:type="dxa"/>
          <w:left w:w="0" w:type="dxa"/>
          <w:bottom w:w="0" w:type="dxa"/>
          <w:right w:w="0" w:type="dxa"/>
        </w:tblCellMar>
      </w:tblPr>
      <w:tr>
        <w:trPr>
          <w:trHeight w:val="171"/>
        </w:trPr>
        <w:tc>
          <w:tcPr>
            <w:tcW w:w="3060" w:type="dxa"/>
            <w:vAlign w:val="bottom"/>
          </w:tcPr>
          <w:p>
            <w:pPr>
              <w:jc w:val="right"/>
              <w:spacing w:after="0" w:line="170" w:lineRule="exact"/>
              <w:rPr>
                <w:sz w:val="20"/>
                <w:szCs w:val="20"/>
                <w:color w:val="auto"/>
              </w:rPr>
            </w:pPr>
            <w:r>
              <w:rPr>
                <w:rFonts w:ascii="Courier New" w:cs="Courier New" w:eastAsia="Courier New" w:hAnsi="Courier New"/>
                <w:sz w:val="18"/>
                <w:szCs w:val="18"/>
                <w:color w:val="auto"/>
                <w:w w:val="76"/>
              </w:rPr>
              <w:t>DOLLAR(*) DERIVATIVES ---------------</w:t>
            </w:r>
          </w:p>
        </w:tc>
        <w:tc>
          <w:tcPr>
            <w:tcW w:w="2900" w:type="dxa"/>
            <w:vAlign w:val="bottom"/>
          </w:tcPr>
          <w:p>
            <w:pPr>
              <w:jc w:val="right"/>
              <w:ind w:right="172"/>
              <w:spacing w:after="0" w:line="170"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060" w:type="dxa"/>
            <w:vAlign w:val="bottom"/>
          </w:tcPr>
          <w:p>
            <w:pPr>
              <w:jc w:val="right"/>
              <w:spacing w:after="0"/>
              <w:rPr>
                <w:sz w:val="20"/>
                <w:szCs w:val="20"/>
                <w:color w:val="auto"/>
              </w:rPr>
            </w:pPr>
            <w:r>
              <w:rPr>
                <w:rFonts w:ascii="Courier New" w:cs="Courier New" w:eastAsia="Courier New" w:hAnsi="Courier New"/>
                <w:sz w:val="12"/>
                <w:szCs w:val="12"/>
                <w:color w:val="auto"/>
                <w:w w:val="74"/>
              </w:rPr>
              <w:t>Revenue..................................................</w:t>
            </w:r>
          </w:p>
        </w:tc>
        <w:tc>
          <w:tcPr>
            <w:tcW w:w="2900" w:type="dxa"/>
            <w:vAlign w:val="bottom"/>
            <w:vMerge w:val="restart"/>
          </w:tcPr>
          <w:p>
            <w:pPr>
              <w:jc w:val="right"/>
              <w:ind w:right="2172"/>
              <w:spacing w:after="0"/>
              <w:rPr>
                <w:sz w:val="20"/>
                <w:szCs w:val="20"/>
                <w:color w:val="auto"/>
              </w:rPr>
            </w:pPr>
            <w:r>
              <w:rPr>
                <w:rFonts w:ascii="Courier New" w:cs="Courier New" w:eastAsia="Courier New" w:hAnsi="Courier New"/>
                <w:sz w:val="18"/>
                <w:szCs w:val="18"/>
                <w:color w:val="auto"/>
                <w:w w:val="95"/>
              </w:rPr>
              <w:t>$(1.5)</w:t>
            </w:r>
          </w:p>
        </w:tc>
        <w:tc>
          <w:tcPr>
            <w:tcW w:w="0" w:type="dxa"/>
            <w:vAlign w:val="bottom"/>
          </w:tcPr>
          <w:p>
            <w:pPr>
              <w:spacing w:after="0"/>
              <w:rPr>
                <w:sz w:val="1"/>
                <w:szCs w:val="1"/>
                <w:color w:val="auto"/>
              </w:rPr>
            </w:pPr>
          </w:p>
        </w:tc>
      </w:tr>
      <w:tr>
        <w:trPr>
          <w:trHeight w:val="203"/>
        </w:trPr>
        <w:tc>
          <w:tcPr>
            <w:tcW w:w="3060" w:type="dxa"/>
            <w:vAlign w:val="bottom"/>
          </w:tcPr>
          <w:p>
            <w:pPr>
              <w:jc w:val="right"/>
              <w:ind w:right="18"/>
              <w:spacing w:after="0" w:line="203" w:lineRule="exact"/>
              <w:rPr>
                <w:sz w:val="20"/>
                <w:szCs w:val="20"/>
                <w:color w:val="auto"/>
              </w:rPr>
            </w:pPr>
            <w:r>
              <w:rPr>
                <w:rFonts w:ascii="Courier New" w:cs="Courier New" w:eastAsia="Courier New" w:hAnsi="Courier New"/>
                <w:sz w:val="18"/>
                <w:szCs w:val="18"/>
                <w:color w:val="auto"/>
              </w:rPr>
              <w:t>$ 33.1</w:t>
            </w:r>
          </w:p>
        </w:tc>
        <w:tc>
          <w:tcPr>
            <w:tcW w:w="2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Costs....................................................</w:t>
            </w:r>
          </w:p>
        </w:tc>
        <w:tc>
          <w:tcPr>
            <w:tcW w:w="0" w:type="dxa"/>
            <w:vAlign w:val="bottom"/>
          </w:tcPr>
          <w:p>
            <w:pPr>
              <w:spacing w:after="0"/>
              <w:rPr>
                <w:sz w:val="1"/>
                <w:szCs w:val="1"/>
                <w:color w:val="auto"/>
              </w:rPr>
            </w:pPr>
          </w:p>
        </w:tc>
      </w:tr>
      <w:tr>
        <w:trPr>
          <w:trHeight w:val="203"/>
        </w:trPr>
        <w:tc>
          <w:tcPr>
            <w:tcW w:w="5960" w:type="dxa"/>
            <w:vAlign w:val="bottom"/>
            <w:gridSpan w:val="2"/>
          </w:tcPr>
          <w:p>
            <w:pPr>
              <w:jc w:val="right"/>
              <w:ind w:right="1592"/>
              <w:spacing w:after="0" w:line="203" w:lineRule="exact"/>
              <w:rPr>
                <w:sz w:val="20"/>
                <w:szCs w:val="20"/>
                <w:color w:val="auto"/>
              </w:rPr>
            </w:pPr>
            <w:r>
              <w:rPr>
                <w:rFonts w:ascii="Courier New" w:cs="Courier New" w:eastAsia="Courier New" w:hAnsi="Courier New"/>
                <w:sz w:val="18"/>
                <w:szCs w:val="18"/>
                <w:color w:val="auto"/>
              </w:rPr>
              <w:t>(93.4) 7.2 Balance sheet</w:t>
            </w:r>
          </w:p>
        </w:tc>
        <w:tc>
          <w:tcPr>
            <w:tcW w:w="0" w:type="dxa"/>
            <w:vAlign w:val="bottom"/>
          </w:tcPr>
          <w:p>
            <w:pPr>
              <w:spacing w:after="0"/>
              <w:rPr>
                <w:sz w:val="1"/>
                <w:szCs w:val="1"/>
                <w:color w:val="auto"/>
              </w:rPr>
            </w:pPr>
          </w:p>
        </w:tc>
      </w:tr>
      <w:tr>
        <w:trPr>
          <w:trHeight w:val="235"/>
        </w:trPr>
        <w:tc>
          <w:tcPr>
            <w:tcW w:w="3060" w:type="dxa"/>
            <w:vAlign w:val="bottom"/>
          </w:tcPr>
          <w:p>
            <w:pPr>
              <w:jc w:val="right"/>
              <w:spacing w:after="0"/>
              <w:rPr>
                <w:sz w:val="20"/>
                <w:szCs w:val="20"/>
                <w:color w:val="auto"/>
              </w:rPr>
            </w:pPr>
            <w:r>
              <w:rPr>
                <w:rFonts w:ascii="Courier New" w:cs="Courier New" w:eastAsia="Courier New" w:hAnsi="Courier New"/>
                <w:sz w:val="16"/>
                <w:szCs w:val="16"/>
                <w:color w:val="auto"/>
                <w:w w:val="73"/>
              </w:rPr>
              <w:t>items......................................</w:t>
            </w:r>
          </w:p>
        </w:tc>
        <w:tc>
          <w:tcPr>
            <w:tcW w:w="2900" w:type="dxa"/>
            <w:vAlign w:val="bottom"/>
          </w:tcPr>
          <w:p>
            <w:pPr>
              <w:jc w:val="right"/>
              <w:spacing w:after="0"/>
              <w:rPr>
                <w:sz w:val="20"/>
                <w:szCs w:val="20"/>
                <w:color w:val="auto"/>
              </w:rPr>
            </w:pPr>
            <w:r>
              <w:rPr>
                <w:rFonts w:ascii="Courier New" w:cs="Courier New" w:eastAsia="Courier New" w:hAnsi="Courier New"/>
                <w:sz w:val="18"/>
                <w:szCs w:val="18"/>
                <w:color w:val="auto"/>
              </w:rPr>
              <w:t>7.6 (0.4) --</w:t>
            </w:r>
          </w:p>
        </w:tc>
        <w:tc>
          <w:tcPr>
            <w:tcW w:w="0" w:type="dxa"/>
            <w:vAlign w:val="bottom"/>
          </w:tcPr>
          <w:p>
            <w:pPr>
              <w:spacing w:after="0"/>
              <w:rPr>
                <w:sz w:val="1"/>
                <w:szCs w:val="1"/>
                <w:color w:val="auto"/>
              </w:rPr>
            </w:pPr>
          </w:p>
        </w:tc>
      </w:tr>
    </w:tbl>
    <w:p>
      <w:pPr>
        <w:ind w:left="1580" w:hanging="523"/>
        <w:spacing w:after="0"/>
        <w:tabs>
          <w:tab w:leader="none" w:pos="1580" w:val="left"/>
        </w:tabs>
        <w:numPr>
          <w:ilvl w:val="1"/>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$(52.7) $ 5.3 ====== =====</w:t>
      </w:r>
    </w:p>
    <w:p>
      <w:pPr>
        <w:spacing w:after="0" w:line="37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31" w:lineRule="exact"/>
        <w:rPr>
          <w:sz w:val="20"/>
          <w:szCs w:val="20"/>
          <w:color w:val="auto"/>
        </w:rPr>
      </w:pPr>
    </w:p>
    <w:p>
      <w:pPr>
        <w:ind w:left="420" w:right="2419" w:hanging="412"/>
        <w:spacing w:after="0" w:line="273" w:lineRule="auto"/>
        <w:tabs>
          <w:tab w:leader="none" w:pos="42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Positive notional amounts represent forward contracts to sell foreign currency. Negative notional amounts represent forward contracts to buy foreign currency.</w:t>
      </w:r>
    </w:p>
    <w:p>
      <w:pPr>
        <w:spacing w:after="0" w:line="82" w:lineRule="exact"/>
        <w:rPr>
          <w:sz w:val="20"/>
          <w:szCs w:val="20"/>
          <w:color w:val="auto"/>
        </w:rPr>
      </w:pPr>
    </w:p>
    <w:p>
      <w:pPr>
        <w:ind w:right="2319" w:firstLine="527"/>
        <w:spacing w:after="0" w:line="265" w:lineRule="auto"/>
        <w:rPr>
          <w:sz w:val="20"/>
          <w:szCs w:val="20"/>
          <w:color w:val="auto"/>
        </w:rPr>
      </w:pPr>
      <w:r>
        <w:rPr>
          <w:rFonts w:ascii="Courier New" w:cs="Courier New" w:eastAsia="Courier New" w:hAnsi="Courier New"/>
          <w:sz w:val="18"/>
          <w:szCs w:val="18"/>
          <w:color w:val="auto"/>
        </w:rPr>
        <w:t>Subsequent to the balance sheet date, we entered into foreign exchange forward contracts for approximately $100 million notional amount. These derivatives were entered to hedge exposure to changes in foreign currency exchange rates associated with revenue denominated in a foreign currency, including long-term exposures.</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INTEREST RATE RISK</w:t>
      </w:r>
    </w:p>
    <w:p>
      <w:pPr>
        <w:spacing w:after="0" w:line="201" w:lineRule="exact"/>
        <w:rPr>
          <w:sz w:val="20"/>
          <w:szCs w:val="20"/>
          <w:color w:val="auto"/>
        </w:rPr>
      </w:pPr>
    </w:p>
    <w:p>
      <w:pPr>
        <w:ind w:right="1879" w:firstLine="527"/>
        <w:spacing w:after="0" w:line="248" w:lineRule="auto"/>
        <w:rPr>
          <w:sz w:val="20"/>
          <w:szCs w:val="20"/>
          <w:color w:val="auto"/>
        </w:rPr>
      </w:pPr>
      <w:r>
        <w:rPr>
          <w:rFonts w:ascii="Courier New" w:cs="Courier New" w:eastAsia="Courier New" w:hAnsi="Courier New"/>
          <w:sz w:val="18"/>
          <w:szCs w:val="18"/>
          <w:color w:val="auto"/>
        </w:rPr>
        <w:t>Our interest expenses and income are sensitive to changes in interest rates, as all of our cash reserves and some of our borrowings, other than the Notes, are subject to interest rate changes. Excess liquidity is invested in short-term interest-bearing investments. Such short-term interest-bearing investments consist primarily of commercial paper, Treasury notes, Federal agency securities, corporate bonds, corporate backed obligations, mortgages and money market funds and currently bear minimal interest rate risk. As of September 30, 2003, we had nothing outstanding on either of our revolving lines of credit or our short-term credit facilities. As of September 30, 2003, we had outstanding long-term lease obligations of $48.2 million and a financing arrangement of $2.8 million, which in the aggregate bear minimal interest rate risk.</w:t>
      </w:r>
    </w:p>
    <w:p>
      <w:pPr>
        <w:spacing w:after="0" w:line="1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63</w:t>
      </w:r>
    </w:p>
    <w:p>
      <w:pPr>
        <w:sectPr>
          <w:pgSz w:w="11900" w:h="16838" w:orient="portrait"/>
          <w:cols w:equalWidth="0" w:num="1">
            <w:col w:w="10219"/>
          </w:cols>
          <w:pgMar w:left="240" w:top="691" w:right="1440" w:bottom="1440" w:gutter="0" w:footer="0" w:header="0"/>
        </w:sectPr>
      </w:pPr>
    </w:p>
    <w:bookmarkStart w:id="68" w:name="page69"/>
    <w:bookmarkEnd w:id="68"/>
    <w:p>
      <w:pPr>
        <w:spacing w:after="0"/>
        <w:tabs>
          <w:tab w:leader="none" w:pos="1040" w:val="left"/>
        </w:tabs>
        <w:rPr>
          <w:sz w:val="20"/>
          <w:szCs w:val="20"/>
          <w:color w:val="auto"/>
        </w:rPr>
      </w:pPr>
      <w:r>
        <w:rPr>
          <w:rFonts w:ascii="Courier New" w:cs="Courier New" w:eastAsia="Courier New" w:hAnsi="Courier New"/>
          <w:sz w:val="18"/>
          <w:szCs w:val="18"/>
          <w:color w:val="auto"/>
        </w:rPr>
        <w:t>ITEM 12.</w:t>
      </w:r>
      <w:r>
        <w:rPr>
          <w:sz w:val="20"/>
          <w:szCs w:val="20"/>
          <w:color w:val="auto"/>
        </w:rPr>
        <w:tab/>
      </w:r>
      <w:r>
        <w:rPr>
          <w:rFonts w:ascii="Courier New" w:cs="Courier New" w:eastAsia="Courier New" w:hAnsi="Courier New"/>
          <w:sz w:val="16"/>
          <w:szCs w:val="16"/>
          <w:color w:val="auto"/>
        </w:rPr>
        <w:t>DESCRIPTION OF SECURITIES OTHER THAN EQUITY SECURITIES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13.</w:t>
      </w:r>
      <w:r>
        <w:rPr>
          <w:sz w:val="20"/>
          <w:szCs w:val="20"/>
          <w:color w:val="auto"/>
        </w:rPr>
        <w:tab/>
      </w:r>
      <w:r>
        <w:rPr>
          <w:rFonts w:ascii="Courier New" w:cs="Courier New" w:eastAsia="Courier New" w:hAnsi="Courier New"/>
          <w:sz w:val="16"/>
          <w:szCs w:val="16"/>
          <w:color w:val="auto"/>
        </w:rPr>
        <w:t>DEFAULTS, DIVIDEND ARREARAGES AND DELINQUENCIES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left="1060" w:right="2099" w:hanging="1052"/>
        <w:spacing w:after="0" w:line="347" w:lineRule="auto"/>
        <w:tabs>
          <w:tab w:leader="none" w:pos="1040" w:val="left"/>
        </w:tabs>
        <w:rPr>
          <w:sz w:val="20"/>
          <w:szCs w:val="20"/>
          <w:color w:val="auto"/>
        </w:rPr>
      </w:pPr>
      <w:r>
        <w:rPr>
          <w:rFonts w:ascii="Courier New" w:cs="Courier New" w:eastAsia="Courier New" w:hAnsi="Courier New"/>
          <w:sz w:val="18"/>
          <w:szCs w:val="18"/>
          <w:color w:val="auto"/>
        </w:rPr>
        <w:t>ITEM 14.</w:t>
        <w:tab/>
        <w:t>MATERIAL MODIFICATIONS TO THE RIGHTS OF SECURITY HOLDERS AND USE OF PROCEEDS</w:t>
      </w:r>
    </w:p>
    <w:p>
      <w:pPr>
        <w:spacing w:after="0" w:line="1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15.</w:t>
      </w:r>
      <w:r>
        <w:rPr>
          <w:sz w:val="20"/>
          <w:szCs w:val="20"/>
          <w:color w:val="auto"/>
        </w:rPr>
        <w:tab/>
      </w:r>
      <w:r>
        <w:rPr>
          <w:rFonts w:ascii="Courier New" w:cs="Courier New" w:eastAsia="Courier New" w:hAnsi="Courier New"/>
          <w:sz w:val="16"/>
          <w:szCs w:val="16"/>
          <w:color w:val="auto"/>
        </w:rPr>
        <w:t>CONTROLS AND PROCEDURES</w:t>
      </w:r>
    </w:p>
    <w:p>
      <w:pPr>
        <w:spacing w:after="0" w:line="201" w:lineRule="exact"/>
        <w:rPr>
          <w:sz w:val="20"/>
          <w:szCs w:val="20"/>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The Company's management, with the participation of the Company's Chief Executive Officer and Chief Financial Officer of Amdocs Management Limited, evaluated the effectiveness of the Company's disclosure controls and procedures (as defined in Rules 13a-15(e) and 15d-15(e) under the Exchange Act) as of September 30, 2003. Based on this evaluation, the Chief Executive Officer and Chief Financial Officer of Amdocs Management Limited concluded that, as of September 30, 2003, the Company's disclosure controls and procedures were (1) designed to ensure that material information relating to the Company, including its consolidated subsidiaries, is made known to the Chief Executive Officer and Chief Financial Officer of Amdocs Management Limited by others within those entities, particularly during the period in which this Annual Report was being prepared and (2) effective, in that they provide reasonable assurance that information required to be disclosed by the Company in the reports that it files or submits under the Exchange Act is recorded, processed, summarized and reported within the time periods specified in the SEC's rules and forms.</w:t>
      </w:r>
    </w:p>
    <w:p>
      <w:pPr>
        <w:spacing w:after="0" w:line="291" w:lineRule="exact"/>
        <w:rPr>
          <w:sz w:val="20"/>
          <w:szCs w:val="20"/>
          <w:color w:val="auto"/>
        </w:rPr>
      </w:pPr>
    </w:p>
    <w:p>
      <w:pPr>
        <w:ind w:right="1779" w:firstLine="527"/>
        <w:spacing w:after="0" w:line="265" w:lineRule="auto"/>
        <w:rPr>
          <w:sz w:val="20"/>
          <w:szCs w:val="20"/>
          <w:color w:val="auto"/>
        </w:rPr>
      </w:pPr>
      <w:r>
        <w:rPr>
          <w:rFonts w:ascii="Courier New" w:cs="Courier New" w:eastAsia="Courier New" w:hAnsi="Courier New"/>
          <w:sz w:val="18"/>
          <w:szCs w:val="18"/>
          <w:color w:val="auto"/>
        </w:rPr>
        <w:t>No change in the Company's internal control over financial reporting (as defined in Rules 13a-15(f) and 15d-15(f) under the Exchange Act) occurred during the fiscal quarter ended September 30, 2003 that has materially affected, or is reasonably likely to materially affect, the Company's internal control over financial reporting.</w:t>
      </w:r>
    </w:p>
    <w:p>
      <w:pPr>
        <w:spacing w:after="0" w:line="90"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16A.</w:t>
      </w:r>
      <w:r>
        <w:rPr>
          <w:sz w:val="20"/>
          <w:szCs w:val="20"/>
          <w:color w:val="auto"/>
        </w:rPr>
        <w:tab/>
      </w:r>
      <w:r>
        <w:rPr>
          <w:rFonts w:ascii="Courier New" w:cs="Courier New" w:eastAsia="Courier New" w:hAnsi="Courier New"/>
          <w:sz w:val="16"/>
          <w:szCs w:val="16"/>
          <w:color w:val="auto"/>
        </w:rPr>
        <w:t>AUDIT COMMITTEE FINANCIAL EXPERT</w:t>
      </w:r>
    </w:p>
    <w:p>
      <w:pPr>
        <w:spacing w:after="0" w:line="201" w:lineRule="exact"/>
        <w:rPr>
          <w:sz w:val="20"/>
          <w:szCs w:val="20"/>
          <w:color w:val="auto"/>
        </w:rPr>
      </w:pPr>
    </w:p>
    <w:p>
      <w:pPr>
        <w:ind w:right="2199" w:firstLine="527"/>
        <w:spacing w:after="0" w:line="292" w:lineRule="auto"/>
        <w:rPr>
          <w:sz w:val="20"/>
          <w:szCs w:val="20"/>
          <w:color w:val="auto"/>
        </w:rPr>
      </w:pPr>
      <w:r>
        <w:rPr>
          <w:rFonts w:ascii="Courier New" w:cs="Courier New" w:eastAsia="Courier New" w:hAnsi="Courier New"/>
          <w:sz w:val="18"/>
          <w:szCs w:val="18"/>
          <w:color w:val="auto"/>
        </w:rPr>
        <w:t>Our Board of Directors has determined that the Company has at least one audit committee financial expert, Adrian Gardner, serving on its Audit Committee.</w:t>
      </w:r>
    </w:p>
    <w:p>
      <w:pPr>
        <w:spacing w:after="0" w:line="66"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16B.</w:t>
      </w:r>
      <w:r>
        <w:rPr>
          <w:sz w:val="20"/>
          <w:szCs w:val="20"/>
          <w:color w:val="auto"/>
        </w:rPr>
        <w:tab/>
      </w:r>
      <w:r>
        <w:rPr>
          <w:rFonts w:ascii="Courier New" w:cs="Courier New" w:eastAsia="Courier New" w:hAnsi="Courier New"/>
          <w:sz w:val="16"/>
          <w:szCs w:val="16"/>
          <w:color w:val="auto"/>
        </w:rPr>
        <w:t>CODE OF ETHICS</w:t>
      </w:r>
    </w:p>
    <w:p>
      <w:pPr>
        <w:spacing w:after="0" w:line="201" w:lineRule="exact"/>
        <w:rPr>
          <w:sz w:val="20"/>
          <w:szCs w:val="20"/>
          <w:color w:val="auto"/>
        </w:rPr>
      </w:pPr>
    </w:p>
    <w:p>
      <w:pPr>
        <w:ind w:right="2519" w:firstLine="527"/>
        <w:spacing w:after="0" w:line="292" w:lineRule="auto"/>
        <w:rPr>
          <w:sz w:val="20"/>
          <w:szCs w:val="20"/>
          <w:color w:val="auto"/>
        </w:rPr>
      </w:pPr>
      <w:r>
        <w:rPr>
          <w:rFonts w:ascii="Courier New" w:cs="Courier New" w:eastAsia="Courier New" w:hAnsi="Courier New"/>
          <w:sz w:val="18"/>
          <w:szCs w:val="18"/>
          <w:color w:val="auto"/>
        </w:rPr>
        <w:t>The Company has adopted a written code of ethics that applies to all Company employees, including the Company's principal executive officer, principal financial officer and principal accounting officer.</w:t>
      </w:r>
    </w:p>
    <w:p>
      <w:pPr>
        <w:spacing w:after="0" w:line="66" w:lineRule="exact"/>
        <w:rPr>
          <w:sz w:val="20"/>
          <w:szCs w:val="20"/>
          <w:color w:val="auto"/>
        </w:rPr>
      </w:pPr>
    </w:p>
    <w:p>
      <w:pPr>
        <w:ind w:right="1879" w:firstLine="527"/>
        <w:spacing w:after="0" w:line="347" w:lineRule="auto"/>
        <w:rPr>
          <w:sz w:val="20"/>
          <w:szCs w:val="20"/>
          <w:color w:val="auto"/>
        </w:rPr>
      </w:pPr>
      <w:r>
        <w:rPr>
          <w:rFonts w:ascii="Courier New" w:cs="Courier New" w:eastAsia="Courier New" w:hAnsi="Courier New"/>
          <w:sz w:val="18"/>
          <w:szCs w:val="18"/>
          <w:color w:val="auto"/>
        </w:rPr>
        <w:t>You may request a copy of our code of ethics, at no cost, by writing to or telephoning us as follows:</w:t>
      </w:r>
    </w:p>
    <w:p>
      <w:pPr>
        <w:spacing w:after="0" w:line="1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Amdocs, Inc.</w:t>
      </w:r>
    </w:p>
    <w:p>
      <w:pPr>
        <w:spacing w:after="0" w:line="2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1390 Timberlake Manor Parkway</w:t>
      </w:r>
    </w:p>
    <w:p>
      <w:pPr>
        <w:ind w:left="860"/>
        <w:spacing w:after="0" w:line="238" w:lineRule="auto"/>
        <w:rPr>
          <w:sz w:val="20"/>
          <w:szCs w:val="20"/>
          <w:color w:val="auto"/>
        </w:rPr>
      </w:pPr>
      <w:r>
        <w:rPr>
          <w:rFonts w:ascii="Courier New" w:cs="Courier New" w:eastAsia="Courier New" w:hAnsi="Courier New"/>
          <w:sz w:val="18"/>
          <w:szCs w:val="18"/>
          <w:color w:val="auto"/>
        </w:rPr>
        <w:t>Chesterfield, Missouri 63017</w:t>
      </w:r>
    </w:p>
    <w:p>
      <w:pPr>
        <w:ind w:left="860"/>
        <w:spacing w:after="0"/>
        <w:rPr>
          <w:sz w:val="20"/>
          <w:szCs w:val="20"/>
          <w:color w:val="auto"/>
        </w:rPr>
      </w:pPr>
      <w:r>
        <w:rPr>
          <w:rFonts w:ascii="Courier New" w:cs="Courier New" w:eastAsia="Courier New" w:hAnsi="Courier New"/>
          <w:sz w:val="18"/>
          <w:szCs w:val="18"/>
          <w:color w:val="auto"/>
        </w:rPr>
        <w:t>Telephone: (314) 212-8328</w:t>
      </w:r>
    </w:p>
    <w:p>
      <w:pPr>
        <w:spacing w:after="0" w:line="169"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16C.</w:t>
      </w:r>
      <w:r>
        <w:rPr>
          <w:sz w:val="20"/>
          <w:szCs w:val="20"/>
          <w:color w:val="auto"/>
        </w:rPr>
        <w:tab/>
      </w:r>
      <w:r>
        <w:rPr>
          <w:rFonts w:ascii="Courier New" w:cs="Courier New" w:eastAsia="Courier New" w:hAnsi="Courier New"/>
          <w:sz w:val="16"/>
          <w:szCs w:val="16"/>
          <w:color w:val="auto"/>
        </w:rPr>
        <w:t>PRINCIPAL ACCOUNTANT FEES AND SERVICES</w:t>
      </w:r>
    </w:p>
    <w:p>
      <w:pPr>
        <w:spacing w:after="0" w:line="201" w:lineRule="exact"/>
        <w:rPr>
          <w:sz w:val="20"/>
          <w:szCs w:val="20"/>
          <w:color w:val="auto"/>
        </w:rPr>
      </w:pPr>
    </w:p>
    <w:p>
      <w:pPr>
        <w:ind w:right="2099" w:firstLine="527"/>
        <w:spacing w:after="0" w:line="347" w:lineRule="auto"/>
        <w:rPr>
          <w:sz w:val="20"/>
          <w:szCs w:val="20"/>
          <w:color w:val="auto"/>
        </w:rPr>
      </w:pPr>
      <w:r>
        <w:rPr>
          <w:rFonts w:ascii="Courier New" w:cs="Courier New" w:eastAsia="Courier New" w:hAnsi="Courier New"/>
          <w:sz w:val="18"/>
          <w:szCs w:val="18"/>
          <w:color w:val="auto"/>
        </w:rPr>
        <w:t>During each of the last two fiscal years, Ernst &amp; Young LLP has acted as the Company's independent auditors.</w:t>
      </w:r>
    </w:p>
    <w:p>
      <w:pPr>
        <w:spacing w:after="0" w:line="1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64</w:t>
      </w:r>
    </w:p>
    <w:p>
      <w:pPr>
        <w:sectPr>
          <w:pgSz w:w="11900" w:h="16838" w:orient="portrait"/>
          <w:cols w:equalWidth="0" w:num="1">
            <w:col w:w="10219"/>
          </w:cols>
          <w:pgMar w:left="240" w:top="691" w:right="1440" w:bottom="1440" w:gutter="0" w:footer="0" w:header="0"/>
        </w:sectPr>
      </w:pPr>
    </w:p>
    <w:bookmarkStart w:id="69" w:name="page70"/>
    <w:bookmarkEnd w:id="69"/>
    <w:p>
      <w:pPr>
        <w:spacing w:after="0"/>
        <w:rPr>
          <w:sz w:val="20"/>
          <w:szCs w:val="20"/>
          <w:color w:val="auto"/>
        </w:rPr>
      </w:pPr>
      <w:r>
        <w:rPr>
          <w:rFonts w:ascii="Courier New" w:cs="Courier New" w:eastAsia="Courier New" w:hAnsi="Courier New"/>
          <w:sz w:val="18"/>
          <w:szCs w:val="18"/>
          <w:color w:val="auto"/>
        </w:rPr>
        <w:t>AUDIT FEES</w:t>
      </w:r>
    </w:p>
    <w:p>
      <w:pPr>
        <w:spacing w:after="0" w:line="201" w:lineRule="exact"/>
        <w:rPr>
          <w:sz w:val="20"/>
          <w:szCs w:val="20"/>
          <w:color w:val="auto"/>
        </w:rPr>
      </w:pPr>
    </w:p>
    <w:p>
      <w:pPr>
        <w:ind w:right="2099" w:firstLine="527"/>
        <w:spacing w:after="0" w:line="260" w:lineRule="auto"/>
        <w:rPr>
          <w:sz w:val="20"/>
          <w:szCs w:val="20"/>
          <w:color w:val="auto"/>
        </w:rPr>
      </w:pPr>
      <w:r>
        <w:rPr>
          <w:rFonts w:ascii="Courier New" w:cs="Courier New" w:eastAsia="Courier New" w:hAnsi="Courier New"/>
          <w:sz w:val="18"/>
          <w:szCs w:val="18"/>
          <w:color w:val="auto"/>
        </w:rPr>
        <w:t>Ernst &amp; Young billed the Company approximately $1.85 million for audit services for fiscal 2003, including fees associated with the annual audit and reviews of the Company's quarterly financial results submitted on Form 6-K, consultations on various accounting issues and performance of local statutory audits. Ernst &amp; Young billed the Company approximately $1.2 million for audit services for fiscal 2002.</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AUDIT-RELATED FEES</w:t>
      </w:r>
    </w:p>
    <w:p>
      <w:pPr>
        <w:spacing w:after="0" w:line="201" w:lineRule="exact"/>
        <w:rPr>
          <w:sz w:val="20"/>
          <w:szCs w:val="20"/>
          <w:color w:val="auto"/>
        </w:rPr>
      </w:pPr>
    </w:p>
    <w:p>
      <w:pPr>
        <w:ind w:right="1779" w:firstLine="527"/>
        <w:spacing w:after="0" w:line="260" w:lineRule="auto"/>
        <w:rPr>
          <w:sz w:val="20"/>
          <w:szCs w:val="20"/>
          <w:color w:val="auto"/>
        </w:rPr>
      </w:pPr>
      <w:r>
        <w:rPr>
          <w:rFonts w:ascii="Courier New" w:cs="Courier New" w:eastAsia="Courier New" w:hAnsi="Courier New"/>
          <w:sz w:val="18"/>
          <w:szCs w:val="18"/>
          <w:color w:val="auto"/>
        </w:rPr>
        <w:t>Ernst &amp; Young billed the Company approximately $0.8 million for audit-related services for fiscal 2003. Audit-related services principally include due diligence examinations, SAS 70 report issuances, as well as assistance with the requirements of the Sarbanes-Oxley Act of 2002 and related SEC regulations. Ernst &amp; Young billed the Company approximately $0.5 million for audit-related services for fiscal 2002.</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TAX FEES</w:t>
      </w:r>
    </w:p>
    <w:p>
      <w:pPr>
        <w:spacing w:after="0" w:line="201" w:lineRule="exact"/>
        <w:rPr>
          <w:sz w:val="20"/>
          <w:szCs w:val="20"/>
          <w:color w:val="auto"/>
        </w:rPr>
      </w:pPr>
    </w:p>
    <w:p>
      <w:pPr>
        <w:ind w:right="1779" w:firstLine="527"/>
        <w:spacing w:after="0" w:line="274" w:lineRule="auto"/>
        <w:rPr>
          <w:sz w:val="20"/>
          <w:szCs w:val="20"/>
          <w:color w:val="auto"/>
        </w:rPr>
      </w:pPr>
      <w:r>
        <w:rPr>
          <w:rFonts w:ascii="Courier New" w:cs="Courier New" w:eastAsia="Courier New" w:hAnsi="Courier New"/>
          <w:sz w:val="18"/>
          <w:szCs w:val="18"/>
          <w:color w:val="auto"/>
        </w:rPr>
        <w:t>Ernst &amp; Young billed the Company approximately $1.3 million for tax advice, including fees associated with tax compliance services, tax planning services and other tax consulting services for fiscal 2003. Ernst &amp; Young billed the Company approximately $1.4 million for tax advice in fiscal 2002.</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ALL OTHER FEES</w:t>
      </w:r>
    </w:p>
    <w:p>
      <w:pPr>
        <w:spacing w:after="0" w:line="201" w:lineRule="exact"/>
        <w:rPr>
          <w:sz w:val="20"/>
          <w:szCs w:val="20"/>
          <w:color w:val="auto"/>
        </w:rPr>
      </w:pPr>
    </w:p>
    <w:p>
      <w:pPr>
        <w:ind w:right="1879" w:firstLine="527"/>
        <w:spacing w:after="0" w:line="256" w:lineRule="auto"/>
        <w:rPr>
          <w:sz w:val="20"/>
          <w:szCs w:val="20"/>
          <w:color w:val="auto"/>
        </w:rPr>
      </w:pPr>
      <w:r>
        <w:rPr>
          <w:rFonts w:ascii="Courier New" w:cs="Courier New" w:eastAsia="Courier New" w:hAnsi="Courier New"/>
          <w:sz w:val="18"/>
          <w:szCs w:val="18"/>
          <w:color w:val="auto"/>
        </w:rPr>
        <w:t>Ernst &amp; Young billed the Company approximately $0.1 million for services other than Audit Fees, Audit-Related Fees and Tax Fees described above for fiscal 2003. In fiscal 2003, such other services included human resource consulting. Ernst &amp; Young billed the Company approximately $0.2 million for services other than Audit Fees, Audit-Related Fees and Tax Fees described above for fiscal 2002. In fiscal 2002, such other services included human resource consulting.</w:t>
      </w:r>
    </w:p>
    <w:p>
      <w:pPr>
        <w:spacing w:after="0" w:line="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PRE-APPROVAL POLICIES FOR NON-AUDIT SERVICES</w:t>
      </w:r>
    </w:p>
    <w:p>
      <w:pPr>
        <w:spacing w:after="0" w:line="201" w:lineRule="exact"/>
        <w:rPr>
          <w:sz w:val="20"/>
          <w:szCs w:val="20"/>
          <w:color w:val="auto"/>
        </w:rPr>
      </w:pPr>
    </w:p>
    <w:p>
      <w:pPr>
        <w:ind w:right="1779" w:firstLine="527"/>
        <w:spacing w:after="0" w:line="289" w:lineRule="auto"/>
        <w:rPr>
          <w:sz w:val="20"/>
          <w:szCs w:val="20"/>
          <w:color w:val="auto"/>
        </w:rPr>
      </w:pPr>
      <w:r>
        <w:rPr>
          <w:rFonts w:ascii="Courier New" w:cs="Courier New" w:eastAsia="Courier New" w:hAnsi="Courier New"/>
          <w:sz w:val="16"/>
          <w:szCs w:val="16"/>
          <w:color w:val="auto"/>
        </w:rPr>
        <w:t>Prior to the engagement of Ernst &amp; Young each year, the engagement is approved by the Audit Committee of the Board of Directors and by vote of the Company's shareholders at the Company's Annual General Meeting of Shareholders. The Company's Audit Committee has also adopted its own rules of procedure. The Audit Committee's rules of procedure provide for a process with respect to the prior approval of all services, including non-audit services, to be performed by the independent auditors for the Company. In fiscal 2003, the Company's Audit Committee approved all of the services provided by Ernst &amp; Young.</w:t>
      </w:r>
    </w:p>
    <w:p>
      <w:pPr>
        <w:spacing w:after="0" w:line="77"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16D.</w:t>
      </w:r>
      <w:r>
        <w:rPr>
          <w:sz w:val="20"/>
          <w:szCs w:val="20"/>
          <w:color w:val="auto"/>
        </w:rPr>
        <w:tab/>
      </w:r>
      <w:r>
        <w:rPr>
          <w:rFonts w:ascii="Courier New" w:cs="Courier New" w:eastAsia="Courier New" w:hAnsi="Courier New"/>
          <w:sz w:val="16"/>
          <w:szCs w:val="16"/>
          <w:color w:val="auto"/>
        </w:rPr>
        <w:t>EXEMPTION FROM THE LISTING STANDARDS FOR AUDIT COMMITTEES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PART III</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17.</w:t>
      </w:r>
      <w:r>
        <w:rPr>
          <w:sz w:val="20"/>
          <w:szCs w:val="20"/>
          <w:color w:val="auto"/>
        </w:rPr>
        <w:tab/>
      </w:r>
      <w:r>
        <w:rPr>
          <w:rFonts w:ascii="Courier New" w:cs="Courier New" w:eastAsia="Courier New" w:hAnsi="Courier New"/>
          <w:sz w:val="16"/>
          <w:szCs w:val="16"/>
          <w:color w:val="auto"/>
        </w:rPr>
        <w:t>FINANCIAL STATEMENTS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18.</w:t>
      </w:r>
      <w:r>
        <w:rPr>
          <w:sz w:val="20"/>
          <w:szCs w:val="20"/>
          <w:color w:val="auto"/>
        </w:rPr>
        <w:tab/>
      </w:r>
      <w:r>
        <w:rPr>
          <w:rFonts w:ascii="Courier New" w:cs="Courier New" w:eastAsia="Courier New" w:hAnsi="Courier New"/>
          <w:sz w:val="16"/>
          <w:szCs w:val="16"/>
          <w:color w:val="auto"/>
        </w:rPr>
        <w:t>FINANCIAL STATEMENTS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FINANCIAL STATEMENTS AND SCHEDULE</w:t>
      </w:r>
    </w:p>
    <w:p>
      <w:pPr>
        <w:spacing w:after="0" w:line="201" w:lineRule="exact"/>
        <w:rPr>
          <w:sz w:val="20"/>
          <w:szCs w:val="20"/>
          <w:color w:val="auto"/>
        </w:rPr>
      </w:pPr>
    </w:p>
    <w:p>
      <w:pPr>
        <w:ind w:right="2199" w:firstLine="527"/>
        <w:spacing w:after="0" w:line="274" w:lineRule="auto"/>
        <w:rPr>
          <w:sz w:val="20"/>
          <w:szCs w:val="20"/>
          <w:color w:val="auto"/>
        </w:rPr>
      </w:pPr>
      <w:r>
        <w:rPr>
          <w:rFonts w:ascii="Courier New" w:cs="Courier New" w:eastAsia="Courier New" w:hAnsi="Courier New"/>
          <w:sz w:val="18"/>
          <w:szCs w:val="18"/>
          <w:color w:val="auto"/>
        </w:rPr>
        <w:t>The following Financial Statements and Financial Statement Schedule of Amdocs Limited, with respect to financial results for the fiscal years ended September 30, 2003, 2002 and 2001, are included at the end of this Annual Report:</w:t>
      </w:r>
    </w:p>
    <w:p>
      <w:pPr>
        <w:spacing w:after="0" w:line="8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65</w:t>
      </w:r>
    </w:p>
    <w:p>
      <w:pPr>
        <w:sectPr>
          <w:pgSz w:w="11900" w:h="16838" w:orient="portrait"/>
          <w:cols w:equalWidth="0" w:num="1">
            <w:col w:w="10219"/>
          </w:cols>
          <w:pgMar w:left="240" w:top="691" w:right="1440" w:bottom="1440" w:gutter="0" w:footer="0" w:header="0"/>
        </w:sectPr>
      </w:pPr>
    </w:p>
    <w:bookmarkStart w:id="70" w:name="page71"/>
    <w:bookmarkEnd w:id="70"/>
    <w:p>
      <w:pPr>
        <w:ind w:left="220"/>
        <w:spacing w:after="0"/>
        <w:rPr>
          <w:sz w:val="20"/>
          <w:szCs w:val="20"/>
          <w:color w:val="auto"/>
        </w:rPr>
      </w:pPr>
      <w:r>
        <w:rPr>
          <w:rFonts w:ascii="Courier New" w:cs="Courier New" w:eastAsia="Courier New" w:hAnsi="Courier New"/>
          <w:sz w:val="18"/>
          <w:szCs w:val="18"/>
          <w:color w:val="auto"/>
        </w:rPr>
        <w:t>AUDITED FINANCIAL STATEMENTS OF AMDOCS LIMITED</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Report of Independent Auditors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Consolidated Balance Sheets as of September 30, 2003 and 2002</w:t>
      </w:r>
    </w:p>
    <w:p>
      <w:pPr>
        <w:spacing w:after="0" w:line="201" w:lineRule="exact"/>
        <w:rPr>
          <w:sz w:val="20"/>
          <w:szCs w:val="20"/>
          <w:color w:val="auto"/>
        </w:rPr>
      </w:pPr>
    </w:p>
    <w:p>
      <w:pPr>
        <w:ind w:right="2199" w:firstLine="527"/>
        <w:spacing w:after="0" w:line="347" w:lineRule="auto"/>
        <w:rPr>
          <w:sz w:val="20"/>
          <w:szCs w:val="20"/>
          <w:color w:val="auto"/>
        </w:rPr>
      </w:pPr>
      <w:r>
        <w:rPr>
          <w:rFonts w:ascii="Courier New" w:cs="Courier New" w:eastAsia="Courier New" w:hAnsi="Courier New"/>
          <w:sz w:val="18"/>
          <w:szCs w:val="18"/>
          <w:color w:val="auto"/>
        </w:rPr>
        <w:t>Consolidated Statements of Operations for the years ended September 30, 2003, 2002 and 2001</w:t>
      </w:r>
    </w:p>
    <w:p>
      <w:pPr>
        <w:spacing w:after="0" w:line="18" w:lineRule="exact"/>
        <w:rPr>
          <w:sz w:val="20"/>
          <w:szCs w:val="20"/>
          <w:color w:val="auto"/>
        </w:rPr>
      </w:pPr>
    </w:p>
    <w:p>
      <w:pPr>
        <w:ind w:right="2099" w:firstLine="527"/>
        <w:spacing w:after="0" w:line="347" w:lineRule="auto"/>
        <w:rPr>
          <w:sz w:val="20"/>
          <w:szCs w:val="20"/>
          <w:color w:val="auto"/>
        </w:rPr>
      </w:pPr>
      <w:r>
        <w:rPr>
          <w:rFonts w:ascii="Courier New" w:cs="Courier New" w:eastAsia="Courier New" w:hAnsi="Courier New"/>
          <w:sz w:val="18"/>
          <w:szCs w:val="18"/>
          <w:color w:val="auto"/>
        </w:rPr>
        <w:t>Consolidated Statements of Changes in Shareholders' Equity for the years ended September 30, 2003, 2002 and 2001</w:t>
      </w:r>
    </w:p>
    <w:p>
      <w:pPr>
        <w:spacing w:after="0" w:line="18" w:lineRule="exact"/>
        <w:rPr>
          <w:sz w:val="20"/>
          <w:szCs w:val="20"/>
          <w:color w:val="auto"/>
        </w:rPr>
      </w:pPr>
    </w:p>
    <w:p>
      <w:pPr>
        <w:ind w:right="2199" w:firstLine="527"/>
        <w:spacing w:after="0" w:line="347" w:lineRule="auto"/>
        <w:rPr>
          <w:sz w:val="20"/>
          <w:szCs w:val="20"/>
          <w:color w:val="auto"/>
        </w:rPr>
      </w:pPr>
      <w:r>
        <w:rPr>
          <w:rFonts w:ascii="Courier New" w:cs="Courier New" w:eastAsia="Courier New" w:hAnsi="Courier New"/>
          <w:sz w:val="18"/>
          <w:szCs w:val="18"/>
          <w:color w:val="auto"/>
        </w:rPr>
        <w:t>Consolidated Statements of Cash Flows for the years ended September 30, 2003, 2002 and 2001</w:t>
      </w:r>
    </w:p>
    <w:p>
      <w:pPr>
        <w:spacing w:after="0" w:line="1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Notes to Consolidated Financial Statements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FINANCIAL STATEMENT SCHEDULE OF AMDOCS LIMITED</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Valuation and Qualifying Accounts</w:t>
      </w:r>
    </w:p>
    <w:p>
      <w:pPr>
        <w:spacing w:after="0" w:line="201" w:lineRule="exact"/>
        <w:rPr>
          <w:sz w:val="20"/>
          <w:szCs w:val="20"/>
          <w:color w:val="auto"/>
        </w:rPr>
      </w:pPr>
    </w:p>
    <w:p>
      <w:pPr>
        <w:ind w:right="2099" w:firstLine="527"/>
        <w:spacing w:after="0" w:line="292" w:lineRule="auto"/>
        <w:rPr>
          <w:sz w:val="20"/>
          <w:szCs w:val="20"/>
          <w:color w:val="auto"/>
        </w:rPr>
      </w:pPr>
      <w:r>
        <w:rPr>
          <w:rFonts w:ascii="Courier New" w:cs="Courier New" w:eastAsia="Courier New" w:hAnsi="Courier New"/>
          <w:sz w:val="18"/>
          <w:szCs w:val="18"/>
          <w:color w:val="auto"/>
        </w:rPr>
        <w:t>The following Financial Statements of Certen Inc., with respect to the acquisition by Amdocs Limited of Certen Inc. on July 2, 2003, are included at the end of this Annual Report:</w:t>
      </w:r>
    </w:p>
    <w:p>
      <w:pPr>
        <w:spacing w:after="0" w:line="6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AUDITED FINANCIAL STATEMENTS OF CERTEN INC.</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Independent Auditors' Report</w:t>
      </w:r>
    </w:p>
    <w:p>
      <w:pPr>
        <w:spacing w:after="0" w:line="201" w:lineRule="exact"/>
        <w:rPr>
          <w:sz w:val="20"/>
          <w:szCs w:val="20"/>
          <w:color w:val="auto"/>
        </w:rPr>
      </w:pPr>
    </w:p>
    <w:p>
      <w:pPr>
        <w:ind w:right="1999" w:firstLine="527"/>
        <w:spacing w:after="0" w:line="347" w:lineRule="auto"/>
        <w:rPr>
          <w:sz w:val="20"/>
          <w:szCs w:val="20"/>
          <w:color w:val="auto"/>
        </w:rPr>
      </w:pPr>
      <w:r>
        <w:rPr>
          <w:rFonts w:ascii="Courier New" w:cs="Courier New" w:eastAsia="Courier New" w:hAnsi="Courier New"/>
          <w:sz w:val="18"/>
          <w:szCs w:val="18"/>
          <w:color w:val="auto"/>
        </w:rPr>
        <w:t>Statement of Operations and Retained Earnings for the twelve months ended December 31, 2002</w:t>
      </w:r>
    </w:p>
    <w:p>
      <w:pPr>
        <w:spacing w:after="0" w:line="1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Balance Sheet as at December 31, 2002</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Statement of Cash Flows for the year ended December 31, 2002</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Notes to Financial Statements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UNAUDITED FINANCIAL STATEMENTS OF CERTEN INC.</w:t>
      </w:r>
    </w:p>
    <w:p>
      <w:pPr>
        <w:spacing w:after="0" w:line="201" w:lineRule="exact"/>
        <w:rPr>
          <w:sz w:val="20"/>
          <w:szCs w:val="20"/>
          <w:color w:val="auto"/>
        </w:rPr>
      </w:pPr>
    </w:p>
    <w:p>
      <w:pPr>
        <w:ind w:right="1879" w:firstLine="527"/>
        <w:spacing w:after="0" w:line="347" w:lineRule="auto"/>
        <w:rPr>
          <w:sz w:val="20"/>
          <w:szCs w:val="20"/>
          <w:color w:val="auto"/>
        </w:rPr>
      </w:pPr>
      <w:r>
        <w:rPr>
          <w:rFonts w:ascii="Courier New" w:cs="Courier New" w:eastAsia="Courier New" w:hAnsi="Courier New"/>
          <w:sz w:val="18"/>
          <w:szCs w:val="18"/>
          <w:color w:val="auto"/>
        </w:rPr>
        <w:t>Unaudited Statement of Operations and Retained Earnings for the six months ended June 30, 2003</w:t>
      </w:r>
    </w:p>
    <w:p>
      <w:pPr>
        <w:spacing w:after="0" w:line="1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Unaudited Balance Sheet as at June 30, 2003</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Unaudited Statement of Cash Flows for the year ended June 30, 2003</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19.</w:t>
      </w:r>
      <w:r>
        <w:rPr>
          <w:sz w:val="20"/>
          <w:szCs w:val="20"/>
          <w:color w:val="auto"/>
        </w:rPr>
        <w:tab/>
      </w:r>
      <w:r>
        <w:rPr>
          <w:rFonts w:ascii="Courier New" w:cs="Courier New" w:eastAsia="Courier New" w:hAnsi="Courier New"/>
          <w:sz w:val="16"/>
          <w:szCs w:val="16"/>
          <w:color w:val="auto"/>
        </w:rPr>
        <w:t>EXHIBITS</w:t>
      </w:r>
    </w:p>
    <w:p>
      <w:pPr>
        <w:spacing w:after="0" w:line="201" w:lineRule="exact"/>
        <w:rPr>
          <w:sz w:val="20"/>
          <w:szCs w:val="20"/>
          <w:color w:val="auto"/>
        </w:rPr>
      </w:pPr>
    </w:p>
    <w:p>
      <w:pPr>
        <w:ind w:right="2419" w:firstLine="527"/>
        <w:spacing w:after="0" w:line="347" w:lineRule="auto"/>
        <w:rPr>
          <w:sz w:val="20"/>
          <w:szCs w:val="20"/>
          <w:color w:val="auto"/>
        </w:rPr>
      </w:pPr>
      <w:r>
        <w:rPr>
          <w:rFonts w:ascii="Courier New" w:cs="Courier New" w:eastAsia="Courier New" w:hAnsi="Courier New"/>
          <w:sz w:val="18"/>
          <w:szCs w:val="18"/>
          <w:color w:val="auto"/>
        </w:rPr>
        <w:t>The exhibits listed on the Exhibit Index hereof are filed herewith in response to this Item.</w:t>
      </w:r>
    </w:p>
    <w:p>
      <w:pPr>
        <w:spacing w:after="0" w:line="1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66</w:t>
      </w:r>
    </w:p>
    <w:p>
      <w:pPr>
        <w:sectPr>
          <w:pgSz w:w="11900" w:h="16838" w:orient="portrait"/>
          <w:cols w:equalWidth="0" w:num="1">
            <w:col w:w="10219"/>
          </w:cols>
          <w:pgMar w:left="240" w:top="691" w:right="1440" w:bottom="1440" w:gutter="0" w:footer="0" w:header="0"/>
        </w:sectPr>
      </w:pPr>
    </w:p>
    <w:bookmarkStart w:id="71" w:name="page72"/>
    <w:bookmarkEnd w:id="71"/>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jc w:val="both"/>
        <w:ind w:right="1999" w:firstLine="527"/>
        <w:spacing w:after="0" w:line="292" w:lineRule="auto"/>
        <w:rPr>
          <w:sz w:val="20"/>
          <w:szCs w:val="20"/>
          <w:color w:val="auto"/>
        </w:rPr>
      </w:pPr>
      <w:r>
        <w:rPr>
          <w:rFonts w:ascii="Courier New" w:cs="Courier New" w:eastAsia="Courier New" w:hAnsi="Courier New"/>
          <w:sz w:val="18"/>
          <w:szCs w:val="18"/>
          <w:color w:val="auto"/>
        </w:rPr>
        <w:t>The registrant hereby certifies that it meets all of the requirements for filing on Form 20-F and that it has duly caused and authorized the undersigned to sign this annual report on its behalf.</w:t>
      </w:r>
    </w:p>
    <w:p>
      <w:pPr>
        <w:spacing w:after="0" w:line="66"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4440"/>
        <w:spacing w:after="0"/>
        <w:tabs>
          <w:tab w:leader="none" w:pos="4940" w:val="left"/>
        </w:tabs>
        <w:rPr>
          <w:sz w:val="20"/>
          <w:szCs w:val="20"/>
          <w:color w:val="auto"/>
        </w:rPr>
      </w:pP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6"/>
          <w:szCs w:val="16"/>
          <w:color w:val="auto"/>
        </w:rPr>
        <w:t>THOMAS G. O'BRIEN</w:t>
      </w:r>
    </w:p>
    <w:p>
      <w:pPr>
        <w:spacing w:after="0" w:line="31"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Thomas G. O'Brien</w:t>
      </w:r>
    </w:p>
    <w:p>
      <w:pPr>
        <w:ind w:left="4440"/>
        <w:spacing w:after="0" w:line="238" w:lineRule="auto"/>
        <w:rPr>
          <w:sz w:val="20"/>
          <w:szCs w:val="20"/>
          <w:color w:val="auto"/>
        </w:rPr>
      </w:pPr>
      <w:r>
        <w:rPr>
          <w:rFonts w:ascii="Courier New" w:cs="Courier New" w:eastAsia="Courier New" w:hAnsi="Courier New"/>
          <w:sz w:val="18"/>
          <w:szCs w:val="18"/>
          <w:color w:val="auto"/>
        </w:rPr>
        <w:t>Treasurer and Secretary</w:t>
      </w:r>
    </w:p>
    <w:p>
      <w:pPr>
        <w:ind w:left="4440"/>
        <w:spacing w:after="0"/>
        <w:rPr>
          <w:sz w:val="20"/>
          <w:szCs w:val="20"/>
          <w:color w:val="auto"/>
        </w:rPr>
      </w:pPr>
      <w:r>
        <w:rPr>
          <w:rFonts w:ascii="Courier New" w:cs="Courier New" w:eastAsia="Courier New" w:hAnsi="Courier New"/>
          <w:sz w:val="18"/>
          <w:szCs w:val="18"/>
          <w:color w:val="auto"/>
        </w:rPr>
        <w:t>Authorized U.S. Representative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December 24, 2003</w:t>
      </w:r>
    </w:p>
    <w:p>
      <w:pPr>
        <w:sectPr>
          <w:pgSz w:w="11900" w:h="16838" w:orient="portrait"/>
          <w:cols w:equalWidth="0" w:num="1">
            <w:col w:w="10219"/>
          </w:cols>
          <w:pgMar w:left="240" w:top="691" w:right="1440" w:bottom="1440" w:gutter="0" w:footer="0" w:header="0"/>
        </w:sectPr>
      </w:pPr>
    </w:p>
    <w:bookmarkStart w:id="72" w:name="page73"/>
    <w:bookmarkEnd w:id="72"/>
    <w:p>
      <w:pPr>
        <w:jc w:val="right"/>
        <w:ind w:right="5359"/>
        <w:spacing w:after="0"/>
        <w:rPr>
          <w:sz w:val="20"/>
          <w:szCs w:val="20"/>
          <w:color w:val="auto"/>
        </w:rPr>
      </w:pPr>
      <w:r>
        <w:rPr>
          <w:rFonts w:ascii="Courier New" w:cs="Courier New" w:eastAsia="Courier New" w:hAnsi="Courier New"/>
          <w:sz w:val="18"/>
          <w:szCs w:val="18"/>
          <w:color w:val="auto"/>
        </w:rPr>
        <w:t>EXHIBIT INDEX</w:t>
      </w:r>
    </w:p>
    <w:p>
      <w:pPr>
        <w:spacing w:after="0" w:line="201" w:lineRule="exact"/>
        <w:rPr>
          <w:sz w:val="20"/>
          <w:szCs w:val="20"/>
          <w:color w:val="auto"/>
        </w:rPr>
      </w:pPr>
    </w:p>
    <w:p>
      <w:pPr>
        <w:jc w:val="center"/>
        <w:ind w:right="8419"/>
        <w:spacing w:after="0"/>
        <w:rPr>
          <w:sz w:val="20"/>
          <w:szCs w:val="20"/>
          <w:color w:val="auto"/>
        </w:rPr>
      </w:pPr>
      <w:r>
        <w:rPr>
          <w:rFonts w:ascii="Courier New" w:cs="Courier New" w:eastAsia="Courier New" w:hAnsi="Courier New"/>
          <w:sz w:val="18"/>
          <w:szCs w:val="18"/>
          <w:color w:val="auto"/>
        </w:rPr>
        <w:t>EXHIBIT NO.</w:t>
      </w:r>
    </w:p>
    <w:p>
      <w:pPr>
        <w:spacing w:after="0" w:line="29" w:lineRule="exact"/>
        <w:rPr>
          <w:sz w:val="20"/>
          <w:szCs w:val="20"/>
          <w:color w:val="auto"/>
        </w:rPr>
      </w:pPr>
    </w:p>
    <w:p>
      <w:pPr>
        <w:jc w:val="center"/>
        <w:ind w:right="8419"/>
        <w:spacing w:after="0"/>
        <w:rPr>
          <w:sz w:val="20"/>
          <w:szCs w:val="20"/>
          <w:color w:val="auto"/>
        </w:rPr>
      </w:pPr>
      <w:r>
        <w:rPr>
          <w:rFonts w:ascii="Courier New" w:cs="Courier New" w:eastAsia="Courier New" w:hAnsi="Courier New"/>
          <w:sz w:val="18"/>
          <w:szCs w:val="18"/>
          <w:color w:val="auto"/>
        </w:rPr>
        <w:t>DESCRIPTION - --</w:t>
      </w:r>
    </w:p>
    <w:p>
      <w:pPr>
        <w:ind w:left="680" w:hanging="623"/>
        <w:spacing w:after="0" w:line="238" w:lineRule="auto"/>
        <w:tabs>
          <w:tab w:leader="none" w:pos="68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jc w:val="center"/>
        <w:ind w:right="8419" w:firstLine="101"/>
        <w:spacing w:after="0" w:line="26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- 1. Memorandum and Articles of Association of Amdocs Limited (incorporated by reference to Exhibits 3.1 and 3.2 to Amdocs' Registration Statement on Form F-1 dated June 19, 1998; Registration No. 333-8826) 2.a.1 Indenture dated May 30, 2001 between Amdocs and United States Trust Company of New York (incorporated by reference to Exhibit 4.1 to Amdocs' Form 6-K dated May 31, 2001) 2.a.2 Registration Rights Agreement dated May 30, 2001 between Amdocs and Goldman, Sachs &amp; Co. (incorporated by reference to Exhibit 4.2 to Amdocs' Form 6-K dated May 31, 2001) 4.a.1 Agreement and Plan of Merger dated as of September 3, 1999 among Amdocs Limited, Ivan Acquisition Corp. and International Telecommunication Data Systems, Inc. (incorporated by reference to Exhibit 2.1 to Amdocs' Current Report on Form 6-K dated September 10, 1999) 4.a.2 Combination Agreement dated as of February 28, 2000 among Amdocs Limited, Solect Technology Group Inc., Amdocs (Denmark) ApS. and Amdocs Holdings ULC (incorporated by reference to</w:t>
      </w:r>
    </w:p>
    <w:p>
      <w:pPr>
        <w:sectPr>
          <w:pgSz w:w="11900" w:h="16838" w:orient="portrait"/>
          <w:cols w:equalWidth="0" w:num="1">
            <w:col w:w="10219"/>
          </w:cols>
          <w:pgMar w:left="240" w:top="691" w:right="1440" w:bottom="1440" w:gutter="0" w:footer="0" w:header="0"/>
        </w:sectPr>
      </w:pPr>
    </w:p>
    <w:bookmarkStart w:id="73" w:name="page74"/>
    <w:bookmarkEnd w:id="73"/>
    <w:p>
      <w:pPr>
        <w:ind w:left="100"/>
        <w:spacing w:after="0"/>
        <w:rPr>
          <w:sz w:val="20"/>
          <w:szCs w:val="20"/>
          <w:color w:val="auto"/>
        </w:rPr>
      </w:pPr>
      <w:r>
        <w:rPr>
          <w:rFonts w:ascii="Courier New" w:cs="Courier New" w:eastAsia="Courier New" w:hAnsi="Courier New"/>
          <w:sz w:val="18"/>
          <w:szCs w:val="18"/>
          <w:color w:val="auto"/>
        </w:rPr>
        <w:t>Exhibit 2.1 to</w:t>
      </w:r>
    </w:p>
    <w:p>
      <w:pPr>
        <w:spacing w:after="0" w:line="29" w:lineRule="exact"/>
        <w:rPr>
          <w:sz w:val="20"/>
          <w:szCs w:val="20"/>
          <w:color w:val="auto"/>
        </w:rPr>
      </w:pPr>
    </w:p>
    <w:p>
      <w:pPr>
        <w:ind w:left="40"/>
        <w:spacing w:after="0"/>
        <w:rPr>
          <w:sz w:val="20"/>
          <w:szCs w:val="20"/>
          <w:color w:val="auto"/>
        </w:rPr>
      </w:pPr>
      <w:r>
        <w:rPr>
          <w:rFonts w:ascii="Courier New" w:cs="Courier New" w:eastAsia="Courier New" w:hAnsi="Courier New"/>
          <w:sz w:val="18"/>
          <w:szCs w:val="18"/>
          <w:color w:val="auto"/>
        </w:rPr>
        <w:t>Amdocs' Current</w:t>
      </w:r>
    </w:p>
    <w:p>
      <w:pPr>
        <w:ind w:left="100"/>
        <w:spacing w:after="0" w:line="238" w:lineRule="auto"/>
        <w:rPr>
          <w:sz w:val="20"/>
          <w:szCs w:val="20"/>
          <w:color w:val="auto"/>
        </w:rPr>
      </w:pPr>
      <w:r>
        <w:rPr>
          <w:rFonts w:ascii="Courier New" w:cs="Courier New" w:eastAsia="Courier New" w:hAnsi="Courier New"/>
          <w:sz w:val="18"/>
          <w:szCs w:val="18"/>
          <w:color w:val="auto"/>
        </w:rPr>
        <w:t>Report on Form</w:t>
      </w:r>
    </w:p>
    <w:p>
      <w:pPr>
        <w:jc w:val="center"/>
        <w:ind w:right="8479"/>
        <w:spacing w:after="0"/>
        <w:rPr>
          <w:sz w:val="20"/>
          <w:szCs w:val="20"/>
          <w:color w:val="auto"/>
        </w:rPr>
      </w:pPr>
      <w:r>
        <w:rPr>
          <w:rFonts w:ascii="Courier New" w:cs="Courier New" w:eastAsia="Courier New" w:hAnsi="Courier New"/>
          <w:sz w:val="18"/>
          <w:szCs w:val="18"/>
          <w:color w:val="auto"/>
        </w:rPr>
        <w:t>6-K dated March</w:t>
      </w:r>
    </w:p>
    <w:p>
      <w:pPr>
        <w:jc w:val="center"/>
        <w:ind w:right="8479"/>
        <w:spacing w:after="0" w:line="238" w:lineRule="auto"/>
        <w:rPr>
          <w:sz w:val="20"/>
          <w:szCs w:val="20"/>
          <w:color w:val="auto"/>
        </w:rPr>
      </w:pPr>
      <w:r>
        <w:rPr>
          <w:rFonts w:ascii="Courier New" w:cs="Courier New" w:eastAsia="Courier New" w:hAnsi="Courier New"/>
          <w:sz w:val="18"/>
          <w:szCs w:val="18"/>
          <w:color w:val="auto"/>
        </w:rPr>
        <w:t>3, 2000) 4.a.3</w:t>
      </w:r>
    </w:p>
    <w:p>
      <w:pPr>
        <w:jc w:val="center"/>
        <w:ind w:right="8479"/>
        <w:spacing w:after="0"/>
        <w:rPr>
          <w:sz w:val="20"/>
          <w:szCs w:val="20"/>
          <w:color w:val="auto"/>
        </w:rPr>
      </w:pPr>
      <w:r>
        <w:rPr>
          <w:rFonts w:ascii="Courier New" w:cs="Courier New" w:eastAsia="Courier New" w:hAnsi="Courier New"/>
          <w:sz w:val="18"/>
          <w:szCs w:val="18"/>
          <w:color w:val="auto"/>
        </w:rPr>
        <w:t>Acquisition</w:t>
      </w:r>
    </w:p>
    <w:p>
      <w:pPr>
        <w:jc w:val="center"/>
        <w:ind w:right="8479"/>
        <w:spacing w:after="0" w:line="238" w:lineRule="auto"/>
        <w:rPr>
          <w:sz w:val="20"/>
          <w:szCs w:val="20"/>
          <w:color w:val="auto"/>
        </w:rPr>
      </w:pPr>
      <w:r>
        <w:rPr>
          <w:rFonts w:ascii="Courier New" w:cs="Courier New" w:eastAsia="Courier New" w:hAnsi="Courier New"/>
          <w:sz w:val="18"/>
          <w:szCs w:val="18"/>
          <w:color w:val="auto"/>
        </w:rPr>
        <w:t>Agreement dated</w:t>
      </w:r>
    </w:p>
    <w:p>
      <w:pPr>
        <w:jc w:val="center"/>
        <w:ind w:right="8479"/>
        <w:spacing w:after="0"/>
        <w:rPr>
          <w:sz w:val="20"/>
          <w:szCs w:val="20"/>
          <w:color w:val="auto"/>
        </w:rPr>
      </w:pPr>
      <w:r>
        <w:rPr>
          <w:rFonts w:ascii="Courier New" w:cs="Courier New" w:eastAsia="Courier New" w:hAnsi="Courier New"/>
          <w:sz w:val="16"/>
          <w:szCs w:val="16"/>
          <w:color w:val="auto"/>
        </w:rPr>
        <w:t>as of October 1,</w:t>
      </w:r>
    </w:p>
    <w:p>
      <w:pPr>
        <w:spacing w:after="0" w:line="20"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8"/>
          <w:szCs w:val="18"/>
          <w:color w:val="auto"/>
        </w:rPr>
        <w:t>2001, between</w:t>
      </w:r>
    </w:p>
    <w:p>
      <w:pPr>
        <w:jc w:val="center"/>
        <w:ind w:right="8479"/>
        <w:spacing w:after="0" w:line="238" w:lineRule="auto"/>
        <w:rPr>
          <w:sz w:val="20"/>
          <w:szCs w:val="20"/>
          <w:color w:val="auto"/>
        </w:rPr>
      </w:pPr>
      <w:r>
        <w:rPr>
          <w:rFonts w:ascii="Courier New" w:cs="Courier New" w:eastAsia="Courier New" w:hAnsi="Courier New"/>
          <w:sz w:val="18"/>
          <w:szCs w:val="18"/>
          <w:color w:val="auto"/>
        </w:rPr>
        <w:t>Amdocs Limited</w:t>
      </w:r>
    </w:p>
    <w:p>
      <w:pPr>
        <w:jc w:val="center"/>
        <w:ind w:right="8479"/>
        <w:spacing w:after="0"/>
        <w:rPr>
          <w:sz w:val="20"/>
          <w:szCs w:val="20"/>
          <w:color w:val="auto"/>
        </w:rPr>
      </w:pPr>
      <w:r>
        <w:rPr>
          <w:rFonts w:ascii="Courier New" w:cs="Courier New" w:eastAsia="Courier New" w:hAnsi="Courier New"/>
          <w:sz w:val="18"/>
          <w:szCs w:val="18"/>
          <w:color w:val="auto"/>
        </w:rPr>
        <w:t>and Nortel</w:t>
      </w:r>
    </w:p>
    <w:p>
      <w:pPr>
        <w:jc w:val="center"/>
        <w:ind w:right="8479"/>
        <w:spacing w:after="0" w:line="238" w:lineRule="auto"/>
        <w:rPr>
          <w:sz w:val="20"/>
          <w:szCs w:val="20"/>
          <w:color w:val="auto"/>
        </w:rPr>
      </w:pPr>
      <w:r>
        <w:rPr>
          <w:rFonts w:ascii="Courier New" w:cs="Courier New" w:eastAsia="Courier New" w:hAnsi="Courier New"/>
          <w:sz w:val="18"/>
          <w:szCs w:val="18"/>
          <w:color w:val="auto"/>
        </w:rPr>
        <w:t>Networks</w:t>
      </w:r>
    </w:p>
    <w:p>
      <w:pPr>
        <w:jc w:val="center"/>
        <w:ind w:right="8479"/>
        <w:spacing w:after="0"/>
        <w:rPr>
          <w:sz w:val="20"/>
          <w:szCs w:val="20"/>
          <w:color w:val="auto"/>
        </w:rPr>
      </w:pPr>
      <w:r>
        <w:rPr>
          <w:rFonts w:ascii="Courier New" w:cs="Courier New" w:eastAsia="Courier New" w:hAnsi="Courier New"/>
          <w:sz w:val="18"/>
          <w:szCs w:val="18"/>
          <w:color w:val="auto"/>
        </w:rPr>
        <w:t>Corporation.</w:t>
      </w:r>
    </w:p>
    <w:p>
      <w:pPr>
        <w:jc w:val="center"/>
        <w:ind w:right="8479"/>
        <w:spacing w:after="0"/>
        <w:rPr>
          <w:sz w:val="20"/>
          <w:szCs w:val="20"/>
          <w:color w:val="auto"/>
        </w:rPr>
      </w:pPr>
      <w:r>
        <w:rPr>
          <w:rFonts w:ascii="Courier New" w:cs="Courier New" w:eastAsia="Courier New" w:hAnsi="Courier New"/>
          <w:sz w:val="16"/>
          <w:szCs w:val="16"/>
          <w:color w:val="auto"/>
        </w:rPr>
        <w:t>(incorporated by</w:t>
      </w:r>
    </w:p>
    <w:p>
      <w:pPr>
        <w:spacing w:after="0" w:line="20"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8"/>
          <w:szCs w:val="18"/>
          <w:color w:val="auto"/>
        </w:rPr>
        <w:t>reference to</w:t>
      </w:r>
    </w:p>
    <w:p>
      <w:pPr>
        <w:jc w:val="center"/>
        <w:ind w:right="8479"/>
        <w:spacing w:after="0" w:line="238" w:lineRule="auto"/>
        <w:rPr>
          <w:sz w:val="20"/>
          <w:szCs w:val="20"/>
          <w:color w:val="auto"/>
        </w:rPr>
      </w:pPr>
      <w:r>
        <w:rPr>
          <w:rFonts w:ascii="Courier New" w:cs="Courier New" w:eastAsia="Courier New" w:hAnsi="Courier New"/>
          <w:sz w:val="18"/>
          <w:szCs w:val="18"/>
          <w:color w:val="auto"/>
        </w:rPr>
        <w:t>Exhibit 2.1 to</w:t>
      </w:r>
    </w:p>
    <w:p>
      <w:pPr>
        <w:jc w:val="center"/>
        <w:ind w:right="8479"/>
        <w:spacing w:after="0"/>
        <w:rPr>
          <w:sz w:val="20"/>
          <w:szCs w:val="20"/>
          <w:color w:val="auto"/>
        </w:rPr>
      </w:pPr>
      <w:r>
        <w:rPr>
          <w:rFonts w:ascii="Courier New" w:cs="Courier New" w:eastAsia="Courier New" w:hAnsi="Courier New"/>
          <w:sz w:val="18"/>
          <w:szCs w:val="18"/>
          <w:color w:val="auto"/>
        </w:rPr>
        <w:t>Amdocs' Current</w:t>
      </w:r>
    </w:p>
    <w:p>
      <w:pPr>
        <w:jc w:val="center"/>
        <w:ind w:right="8479"/>
        <w:spacing w:after="0" w:line="238" w:lineRule="auto"/>
        <w:rPr>
          <w:sz w:val="20"/>
          <w:szCs w:val="20"/>
          <w:color w:val="auto"/>
        </w:rPr>
      </w:pPr>
      <w:r>
        <w:rPr>
          <w:rFonts w:ascii="Courier New" w:cs="Courier New" w:eastAsia="Courier New" w:hAnsi="Courier New"/>
          <w:sz w:val="18"/>
          <w:szCs w:val="18"/>
          <w:color w:val="auto"/>
        </w:rPr>
        <w:t>Report on Form</w:t>
      </w:r>
    </w:p>
    <w:p>
      <w:pPr>
        <w:jc w:val="center"/>
        <w:ind w:right="8479"/>
        <w:spacing w:after="0"/>
        <w:rPr>
          <w:sz w:val="20"/>
          <w:szCs w:val="20"/>
          <w:color w:val="auto"/>
        </w:rPr>
      </w:pPr>
      <w:r>
        <w:rPr>
          <w:rFonts w:ascii="Courier New" w:cs="Courier New" w:eastAsia="Courier New" w:hAnsi="Courier New"/>
          <w:sz w:val="18"/>
          <w:szCs w:val="18"/>
          <w:color w:val="auto"/>
        </w:rPr>
        <w:t>6-K dated</w:t>
      </w:r>
    </w:p>
    <w:p>
      <w:pPr>
        <w:jc w:val="center"/>
        <w:ind w:right="8479"/>
        <w:spacing w:after="0" w:line="238" w:lineRule="auto"/>
        <w:rPr>
          <w:sz w:val="20"/>
          <w:szCs w:val="20"/>
          <w:color w:val="auto"/>
        </w:rPr>
      </w:pPr>
      <w:r>
        <w:rPr>
          <w:rFonts w:ascii="Courier New" w:cs="Courier New" w:eastAsia="Courier New" w:hAnsi="Courier New"/>
          <w:sz w:val="18"/>
          <w:szCs w:val="18"/>
          <w:color w:val="auto"/>
        </w:rPr>
        <w:t>October 10,</w:t>
      </w:r>
    </w:p>
    <w:p>
      <w:pPr>
        <w:jc w:val="center"/>
        <w:ind w:right="8479"/>
        <w:spacing w:after="0"/>
        <w:rPr>
          <w:sz w:val="20"/>
          <w:szCs w:val="20"/>
          <w:color w:val="auto"/>
        </w:rPr>
      </w:pPr>
      <w:r>
        <w:rPr>
          <w:rFonts w:ascii="Courier New" w:cs="Courier New" w:eastAsia="Courier New" w:hAnsi="Courier New"/>
          <w:sz w:val="18"/>
          <w:szCs w:val="18"/>
          <w:color w:val="auto"/>
        </w:rPr>
        <w:t>2001) 4.b.1</w:t>
      </w:r>
    </w:p>
    <w:p>
      <w:pPr>
        <w:jc w:val="center"/>
        <w:ind w:right="8479"/>
        <w:spacing w:after="0" w:line="238" w:lineRule="auto"/>
        <w:rPr>
          <w:sz w:val="20"/>
          <w:szCs w:val="20"/>
          <w:color w:val="auto"/>
        </w:rPr>
      </w:pPr>
      <w:r>
        <w:rPr>
          <w:rFonts w:ascii="Courier New" w:cs="Courier New" w:eastAsia="Courier New" w:hAnsi="Courier New"/>
          <w:sz w:val="18"/>
          <w:szCs w:val="18"/>
          <w:color w:val="auto"/>
        </w:rPr>
        <w:t>Information</w:t>
      </w:r>
    </w:p>
    <w:p>
      <w:pPr>
        <w:jc w:val="center"/>
        <w:ind w:right="8479"/>
        <w:spacing w:after="0"/>
        <w:rPr>
          <w:sz w:val="20"/>
          <w:szCs w:val="20"/>
          <w:color w:val="auto"/>
        </w:rPr>
      </w:pPr>
      <w:r>
        <w:rPr>
          <w:rFonts w:ascii="Courier New" w:cs="Courier New" w:eastAsia="Courier New" w:hAnsi="Courier New"/>
          <w:sz w:val="18"/>
          <w:szCs w:val="18"/>
          <w:color w:val="auto"/>
        </w:rPr>
        <w:t>Technology</w:t>
      </w:r>
    </w:p>
    <w:p>
      <w:pPr>
        <w:jc w:val="center"/>
        <w:ind w:right="8479"/>
        <w:spacing w:after="0" w:line="238" w:lineRule="auto"/>
        <w:rPr>
          <w:sz w:val="20"/>
          <w:szCs w:val="20"/>
          <w:color w:val="auto"/>
        </w:rPr>
      </w:pPr>
      <w:r>
        <w:rPr>
          <w:rFonts w:ascii="Courier New" w:cs="Courier New" w:eastAsia="Courier New" w:hAnsi="Courier New"/>
          <w:sz w:val="18"/>
          <w:szCs w:val="18"/>
          <w:color w:val="auto"/>
        </w:rPr>
        <w:t>Services</w:t>
      </w:r>
    </w:p>
    <w:p>
      <w:pPr>
        <w:jc w:val="center"/>
        <w:ind w:right="8479"/>
        <w:spacing w:after="0"/>
        <w:rPr>
          <w:sz w:val="20"/>
          <w:szCs w:val="20"/>
          <w:color w:val="auto"/>
        </w:rPr>
      </w:pPr>
      <w:r>
        <w:rPr>
          <w:rFonts w:ascii="Courier New" w:cs="Courier New" w:eastAsia="Courier New" w:hAnsi="Courier New"/>
          <w:sz w:val="18"/>
          <w:szCs w:val="18"/>
          <w:color w:val="auto"/>
        </w:rPr>
        <w:t>Agreement</w:t>
      </w:r>
    </w:p>
    <w:p>
      <w:pPr>
        <w:jc w:val="center"/>
        <w:ind w:right="8479"/>
        <w:spacing w:after="0" w:line="238" w:lineRule="auto"/>
        <w:rPr>
          <w:sz w:val="20"/>
          <w:szCs w:val="20"/>
          <w:color w:val="auto"/>
        </w:rPr>
      </w:pPr>
      <w:r>
        <w:rPr>
          <w:rFonts w:ascii="Courier New" w:cs="Courier New" w:eastAsia="Courier New" w:hAnsi="Courier New"/>
          <w:sz w:val="18"/>
          <w:szCs w:val="18"/>
          <w:color w:val="auto"/>
        </w:rPr>
        <w:t>between Amdocs,</w:t>
      </w:r>
    </w:p>
    <w:p>
      <w:pPr>
        <w:jc w:val="center"/>
        <w:ind w:right="8479"/>
        <w:spacing w:after="0"/>
        <w:rPr>
          <w:sz w:val="20"/>
          <w:szCs w:val="20"/>
          <w:color w:val="auto"/>
        </w:rPr>
      </w:pPr>
      <w:r>
        <w:rPr>
          <w:rFonts w:ascii="Courier New" w:cs="Courier New" w:eastAsia="Courier New" w:hAnsi="Courier New"/>
          <w:sz w:val="18"/>
          <w:szCs w:val="18"/>
          <w:color w:val="auto"/>
        </w:rPr>
        <w:t>Inc. and SBC</w:t>
      </w:r>
    </w:p>
    <w:p>
      <w:pPr>
        <w:jc w:val="center"/>
        <w:ind w:right="8479"/>
        <w:spacing w:after="0" w:line="238" w:lineRule="auto"/>
        <w:rPr>
          <w:sz w:val="20"/>
          <w:szCs w:val="20"/>
          <w:color w:val="auto"/>
        </w:rPr>
      </w:pPr>
      <w:r>
        <w:rPr>
          <w:rFonts w:ascii="Courier New" w:cs="Courier New" w:eastAsia="Courier New" w:hAnsi="Courier New"/>
          <w:sz w:val="18"/>
          <w:szCs w:val="18"/>
          <w:color w:val="auto"/>
        </w:rPr>
        <w:t>Services, Inc.</w:t>
      </w:r>
    </w:p>
    <w:p>
      <w:pPr>
        <w:jc w:val="center"/>
        <w:ind w:right="8479"/>
        <w:spacing w:after="0"/>
        <w:rPr>
          <w:sz w:val="20"/>
          <w:szCs w:val="20"/>
          <w:color w:val="auto"/>
        </w:rPr>
      </w:pPr>
      <w:r>
        <w:rPr>
          <w:rFonts w:ascii="Courier New" w:cs="Courier New" w:eastAsia="Courier New" w:hAnsi="Courier New"/>
          <w:sz w:val="16"/>
          <w:szCs w:val="16"/>
          <w:color w:val="auto"/>
        </w:rPr>
        <w:t>dated January 9,</w:t>
      </w:r>
    </w:p>
    <w:p>
      <w:pPr>
        <w:spacing w:after="0" w:line="20"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8"/>
          <w:szCs w:val="18"/>
          <w:color w:val="auto"/>
        </w:rPr>
        <w:t>2003</w:t>
      </w:r>
    </w:p>
    <w:p>
      <w:pPr>
        <w:jc w:val="center"/>
        <w:ind w:right="8479"/>
        <w:spacing w:after="0" w:line="238" w:lineRule="auto"/>
        <w:rPr>
          <w:sz w:val="20"/>
          <w:szCs w:val="20"/>
          <w:color w:val="auto"/>
        </w:rPr>
      </w:pPr>
      <w:r>
        <w:rPr>
          <w:rFonts w:ascii="Courier New" w:cs="Courier New" w:eastAsia="Courier New" w:hAnsi="Courier New"/>
          <w:sz w:val="18"/>
          <w:szCs w:val="18"/>
          <w:color w:val="auto"/>
        </w:rPr>
        <w:t>(confidential</w:t>
      </w:r>
    </w:p>
    <w:p>
      <w:pPr>
        <w:jc w:val="center"/>
        <w:ind w:right="8479"/>
        <w:spacing w:after="0"/>
        <w:rPr>
          <w:sz w:val="20"/>
          <w:szCs w:val="20"/>
          <w:color w:val="auto"/>
        </w:rPr>
      </w:pPr>
      <w:r>
        <w:rPr>
          <w:rFonts w:ascii="Courier New" w:cs="Courier New" w:eastAsia="Courier New" w:hAnsi="Courier New"/>
          <w:sz w:val="18"/>
          <w:szCs w:val="18"/>
          <w:color w:val="auto"/>
        </w:rPr>
        <w:t>material has</w:t>
      </w:r>
    </w:p>
    <w:p>
      <w:pPr>
        <w:jc w:val="center"/>
        <w:ind w:right="8479"/>
        <w:spacing w:after="0" w:line="238" w:lineRule="auto"/>
        <w:rPr>
          <w:sz w:val="20"/>
          <w:szCs w:val="20"/>
          <w:color w:val="auto"/>
        </w:rPr>
      </w:pPr>
      <w:r>
        <w:rPr>
          <w:rFonts w:ascii="Courier New" w:cs="Courier New" w:eastAsia="Courier New" w:hAnsi="Courier New"/>
          <w:sz w:val="18"/>
          <w:szCs w:val="18"/>
          <w:color w:val="auto"/>
        </w:rPr>
        <w:t>been redacted</w:t>
      </w:r>
    </w:p>
    <w:p>
      <w:pPr>
        <w:jc w:val="center"/>
        <w:ind w:right="8479"/>
        <w:spacing w:after="0"/>
        <w:rPr>
          <w:sz w:val="20"/>
          <w:szCs w:val="20"/>
          <w:color w:val="auto"/>
        </w:rPr>
      </w:pPr>
      <w:r>
        <w:rPr>
          <w:rFonts w:ascii="Courier New" w:cs="Courier New" w:eastAsia="Courier New" w:hAnsi="Courier New"/>
          <w:sz w:val="18"/>
          <w:szCs w:val="18"/>
          <w:color w:val="auto"/>
        </w:rPr>
        <w:t>and complete</w:t>
      </w:r>
    </w:p>
    <w:p>
      <w:pPr>
        <w:jc w:val="center"/>
        <w:ind w:right="8479"/>
        <w:spacing w:after="0" w:line="238" w:lineRule="auto"/>
        <w:rPr>
          <w:sz w:val="20"/>
          <w:szCs w:val="20"/>
          <w:color w:val="auto"/>
        </w:rPr>
      </w:pPr>
      <w:r>
        <w:rPr>
          <w:rFonts w:ascii="Courier New" w:cs="Courier New" w:eastAsia="Courier New" w:hAnsi="Courier New"/>
          <w:sz w:val="18"/>
          <w:szCs w:val="18"/>
          <w:color w:val="auto"/>
        </w:rPr>
        <w:t>exhibits have</w:t>
      </w:r>
    </w:p>
    <w:p>
      <w:pPr>
        <w:jc w:val="center"/>
        <w:ind w:right="8479"/>
        <w:spacing w:after="0"/>
        <w:rPr>
          <w:sz w:val="20"/>
          <w:szCs w:val="20"/>
          <w:color w:val="auto"/>
        </w:rPr>
      </w:pPr>
      <w:r>
        <w:rPr>
          <w:rFonts w:ascii="Courier New" w:cs="Courier New" w:eastAsia="Courier New" w:hAnsi="Courier New"/>
          <w:sz w:val="18"/>
          <w:szCs w:val="18"/>
          <w:color w:val="auto"/>
        </w:rPr>
        <w:t>been separately</w:t>
      </w:r>
    </w:p>
    <w:p>
      <w:pPr>
        <w:jc w:val="center"/>
        <w:ind w:right="8479"/>
        <w:spacing w:after="0" w:line="238" w:lineRule="auto"/>
        <w:rPr>
          <w:sz w:val="20"/>
          <w:szCs w:val="20"/>
          <w:color w:val="auto"/>
        </w:rPr>
      </w:pPr>
      <w:r>
        <w:rPr>
          <w:rFonts w:ascii="Courier New" w:cs="Courier New" w:eastAsia="Courier New" w:hAnsi="Courier New"/>
          <w:sz w:val="18"/>
          <w:szCs w:val="18"/>
          <w:color w:val="auto"/>
        </w:rPr>
        <w:t>filed with the</w:t>
      </w:r>
    </w:p>
    <w:p>
      <w:pPr>
        <w:jc w:val="center"/>
        <w:ind w:right="8479"/>
        <w:spacing w:after="0"/>
        <w:rPr>
          <w:sz w:val="20"/>
          <w:szCs w:val="20"/>
          <w:color w:val="auto"/>
        </w:rPr>
      </w:pPr>
      <w:r>
        <w:rPr>
          <w:rFonts w:ascii="Courier New" w:cs="Courier New" w:eastAsia="Courier New" w:hAnsi="Courier New"/>
          <w:sz w:val="18"/>
          <w:szCs w:val="18"/>
          <w:color w:val="auto"/>
        </w:rPr>
        <w:t>Securities and</w:t>
      </w:r>
    </w:p>
    <w:p>
      <w:pPr>
        <w:jc w:val="center"/>
        <w:ind w:right="8479"/>
        <w:spacing w:after="0" w:line="238" w:lineRule="auto"/>
        <w:rPr>
          <w:sz w:val="20"/>
          <w:szCs w:val="20"/>
          <w:color w:val="auto"/>
        </w:rPr>
      </w:pPr>
      <w:r>
        <w:rPr>
          <w:rFonts w:ascii="Courier New" w:cs="Courier New" w:eastAsia="Courier New" w:hAnsi="Courier New"/>
          <w:sz w:val="18"/>
          <w:szCs w:val="18"/>
          <w:color w:val="auto"/>
        </w:rPr>
        <w:t>Exchange</w:t>
      </w:r>
    </w:p>
    <w:p>
      <w:pPr>
        <w:jc w:val="center"/>
        <w:ind w:right="8479"/>
        <w:spacing w:after="0"/>
        <w:rPr>
          <w:sz w:val="20"/>
          <w:szCs w:val="20"/>
          <w:color w:val="auto"/>
        </w:rPr>
      </w:pPr>
      <w:r>
        <w:rPr>
          <w:rFonts w:ascii="Courier New" w:cs="Courier New" w:eastAsia="Courier New" w:hAnsi="Courier New"/>
          <w:sz w:val="18"/>
          <w:szCs w:val="18"/>
          <w:color w:val="auto"/>
        </w:rPr>
        <w:t>Commission)</w:t>
      </w:r>
    </w:p>
    <w:p>
      <w:pPr>
        <w:jc w:val="center"/>
        <w:ind w:right="8479"/>
        <w:spacing w:after="0"/>
        <w:rPr>
          <w:sz w:val="20"/>
          <w:szCs w:val="20"/>
          <w:color w:val="auto"/>
        </w:rPr>
      </w:pPr>
      <w:r>
        <w:rPr>
          <w:rFonts w:ascii="Courier New" w:cs="Courier New" w:eastAsia="Courier New" w:hAnsi="Courier New"/>
          <w:sz w:val="16"/>
          <w:szCs w:val="16"/>
          <w:color w:val="auto"/>
        </w:rPr>
        <w:t>(incorporated by</w:t>
      </w:r>
    </w:p>
    <w:p>
      <w:pPr>
        <w:spacing w:after="0" w:line="20"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8"/>
          <w:szCs w:val="18"/>
          <w:color w:val="auto"/>
        </w:rPr>
        <w:t>reference to</w:t>
      </w:r>
    </w:p>
    <w:p>
      <w:pPr>
        <w:jc w:val="center"/>
        <w:ind w:right="8479"/>
        <w:spacing w:after="0"/>
        <w:rPr>
          <w:sz w:val="20"/>
          <w:szCs w:val="20"/>
          <w:color w:val="auto"/>
        </w:rPr>
      </w:pPr>
      <w:r>
        <w:rPr>
          <w:rFonts w:ascii="Courier New" w:cs="Courier New" w:eastAsia="Courier New" w:hAnsi="Courier New"/>
          <w:sz w:val="16"/>
          <w:szCs w:val="16"/>
          <w:color w:val="auto"/>
        </w:rPr>
        <w:t>Exhibit 4.b.1 to</w:t>
      </w:r>
    </w:p>
    <w:p>
      <w:pPr>
        <w:spacing w:after="0" w:line="20"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8"/>
          <w:szCs w:val="18"/>
          <w:color w:val="auto"/>
        </w:rPr>
        <w:t>Amdocs' Annual</w:t>
      </w:r>
    </w:p>
    <w:p>
      <w:pPr>
        <w:jc w:val="center"/>
        <w:ind w:right="8479"/>
        <w:spacing w:after="0" w:line="238" w:lineRule="auto"/>
        <w:rPr>
          <w:sz w:val="20"/>
          <w:szCs w:val="20"/>
          <w:color w:val="auto"/>
        </w:rPr>
      </w:pPr>
      <w:r>
        <w:rPr>
          <w:rFonts w:ascii="Courier New" w:cs="Courier New" w:eastAsia="Courier New" w:hAnsi="Courier New"/>
          <w:sz w:val="18"/>
          <w:szCs w:val="18"/>
          <w:color w:val="auto"/>
        </w:rPr>
        <w:t>Report on Form</w:t>
      </w:r>
    </w:p>
    <w:p>
      <w:pPr>
        <w:jc w:val="center"/>
        <w:ind w:right="8479"/>
        <w:spacing w:after="0"/>
        <w:rPr>
          <w:sz w:val="20"/>
          <w:szCs w:val="20"/>
          <w:color w:val="auto"/>
        </w:rPr>
      </w:pPr>
      <w:r>
        <w:rPr>
          <w:rFonts w:ascii="Courier New" w:cs="Courier New" w:eastAsia="Courier New" w:hAnsi="Courier New"/>
          <w:sz w:val="18"/>
          <w:szCs w:val="18"/>
          <w:color w:val="auto"/>
        </w:rPr>
        <w:t>20-F for the</w:t>
      </w:r>
    </w:p>
    <w:p>
      <w:pPr>
        <w:jc w:val="center"/>
        <w:ind w:right="8479"/>
        <w:spacing w:after="0" w:line="238" w:lineRule="auto"/>
        <w:rPr>
          <w:sz w:val="20"/>
          <w:szCs w:val="20"/>
          <w:color w:val="auto"/>
        </w:rPr>
      </w:pPr>
      <w:r>
        <w:rPr>
          <w:rFonts w:ascii="Courier New" w:cs="Courier New" w:eastAsia="Courier New" w:hAnsi="Courier New"/>
          <w:sz w:val="18"/>
          <w:szCs w:val="18"/>
          <w:color w:val="auto"/>
        </w:rPr>
        <w:t>fiscal year</w:t>
      </w:r>
    </w:p>
    <w:p>
      <w:pPr>
        <w:jc w:val="center"/>
        <w:ind w:right="8479"/>
        <w:spacing w:after="0"/>
        <w:rPr>
          <w:sz w:val="20"/>
          <w:szCs w:val="20"/>
          <w:color w:val="auto"/>
        </w:rPr>
      </w:pPr>
      <w:r>
        <w:rPr>
          <w:rFonts w:ascii="Courier New" w:cs="Courier New" w:eastAsia="Courier New" w:hAnsi="Courier New"/>
          <w:sz w:val="18"/>
          <w:szCs w:val="18"/>
          <w:color w:val="auto"/>
        </w:rPr>
        <w:t>ended September</w:t>
      </w:r>
    </w:p>
    <w:p>
      <w:pPr>
        <w:jc w:val="center"/>
        <w:ind w:right="8479"/>
        <w:spacing w:after="0" w:line="238" w:lineRule="auto"/>
        <w:rPr>
          <w:sz w:val="20"/>
          <w:szCs w:val="20"/>
          <w:color w:val="auto"/>
        </w:rPr>
      </w:pPr>
      <w:r>
        <w:rPr>
          <w:rFonts w:ascii="Courier New" w:cs="Courier New" w:eastAsia="Courier New" w:hAnsi="Courier New"/>
          <w:sz w:val="18"/>
          <w:szCs w:val="18"/>
          <w:color w:val="auto"/>
        </w:rPr>
        <w:t>30, 2003) 4.b.2</w:t>
      </w:r>
    </w:p>
    <w:p>
      <w:pPr>
        <w:jc w:val="center"/>
        <w:ind w:right="8479"/>
        <w:spacing w:after="0"/>
        <w:rPr>
          <w:sz w:val="20"/>
          <w:szCs w:val="20"/>
          <w:color w:val="auto"/>
        </w:rPr>
      </w:pPr>
      <w:r>
        <w:rPr>
          <w:rFonts w:ascii="Courier New" w:cs="Courier New" w:eastAsia="Courier New" w:hAnsi="Courier New"/>
          <w:sz w:val="16"/>
          <w:szCs w:val="16"/>
          <w:color w:val="auto"/>
        </w:rPr>
        <w:t>Master Agreement</w:t>
      </w:r>
    </w:p>
    <w:p>
      <w:pPr>
        <w:spacing w:after="0" w:line="21"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6"/>
          <w:szCs w:val="16"/>
          <w:color w:val="auto"/>
        </w:rPr>
        <w:t>for Software and</w:t>
      </w:r>
    </w:p>
    <w:p>
      <w:pPr>
        <w:spacing w:after="0" w:line="21"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6"/>
          <w:szCs w:val="16"/>
          <w:color w:val="auto"/>
        </w:rPr>
        <w:t>Services between</w:t>
      </w:r>
    </w:p>
    <w:p>
      <w:pPr>
        <w:spacing w:after="0" w:line="21"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6"/>
          <w:szCs w:val="16"/>
          <w:color w:val="auto"/>
        </w:rPr>
        <w:t>Amdocs, Inc. and</w:t>
      </w:r>
    </w:p>
    <w:p>
      <w:pPr>
        <w:spacing w:after="0" w:line="20"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8"/>
          <w:szCs w:val="18"/>
          <w:color w:val="auto"/>
        </w:rPr>
        <w:t>SBC Operations,</w:t>
      </w:r>
    </w:p>
    <w:p>
      <w:pPr>
        <w:jc w:val="center"/>
        <w:ind w:right="8479"/>
        <w:spacing w:after="0" w:line="238" w:lineRule="auto"/>
        <w:rPr>
          <w:sz w:val="20"/>
          <w:szCs w:val="20"/>
          <w:color w:val="auto"/>
        </w:rPr>
      </w:pPr>
      <w:r>
        <w:rPr>
          <w:rFonts w:ascii="Courier New" w:cs="Courier New" w:eastAsia="Courier New" w:hAnsi="Courier New"/>
          <w:sz w:val="18"/>
          <w:szCs w:val="18"/>
          <w:color w:val="auto"/>
        </w:rPr>
        <w:t>Inc., effective</w:t>
      </w:r>
    </w:p>
    <w:p>
      <w:pPr>
        <w:jc w:val="center"/>
        <w:ind w:right="8479"/>
        <w:spacing w:after="0"/>
        <w:rPr>
          <w:sz w:val="20"/>
          <w:szCs w:val="20"/>
          <w:color w:val="auto"/>
        </w:rPr>
      </w:pPr>
      <w:r>
        <w:rPr>
          <w:rFonts w:ascii="Courier New" w:cs="Courier New" w:eastAsia="Courier New" w:hAnsi="Courier New"/>
          <w:sz w:val="18"/>
          <w:szCs w:val="18"/>
          <w:color w:val="auto"/>
        </w:rPr>
        <w:t>July 7, 1998</w:t>
      </w:r>
    </w:p>
    <w:p>
      <w:pPr>
        <w:jc w:val="center"/>
        <w:ind w:right="8479"/>
        <w:spacing w:after="0" w:line="238" w:lineRule="auto"/>
        <w:rPr>
          <w:sz w:val="20"/>
          <w:szCs w:val="20"/>
          <w:color w:val="auto"/>
        </w:rPr>
      </w:pPr>
      <w:r>
        <w:rPr>
          <w:rFonts w:ascii="Courier New" w:cs="Courier New" w:eastAsia="Courier New" w:hAnsi="Courier New"/>
          <w:sz w:val="18"/>
          <w:szCs w:val="18"/>
          <w:color w:val="auto"/>
        </w:rPr>
        <w:t>(confidential</w:t>
      </w:r>
    </w:p>
    <w:p>
      <w:pPr>
        <w:jc w:val="center"/>
        <w:ind w:right="8479"/>
        <w:spacing w:after="0"/>
        <w:rPr>
          <w:sz w:val="20"/>
          <w:szCs w:val="20"/>
          <w:color w:val="auto"/>
        </w:rPr>
      </w:pPr>
      <w:r>
        <w:rPr>
          <w:rFonts w:ascii="Courier New" w:cs="Courier New" w:eastAsia="Courier New" w:hAnsi="Courier New"/>
          <w:sz w:val="18"/>
          <w:szCs w:val="18"/>
          <w:color w:val="auto"/>
        </w:rPr>
        <w:t>material has</w:t>
      </w:r>
    </w:p>
    <w:p>
      <w:pPr>
        <w:jc w:val="center"/>
        <w:ind w:right="8479"/>
        <w:spacing w:after="0" w:line="238" w:lineRule="auto"/>
        <w:rPr>
          <w:sz w:val="20"/>
          <w:szCs w:val="20"/>
          <w:color w:val="auto"/>
        </w:rPr>
      </w:pPr>
      <w:r>
        <w:rPr>
          <w:rFonts w:ascii="Courier New" w:cs="Courier New" w:eastAsia="Courier New" w:hAnsi="Courier New"/>
          <w:sz w:val="18"/>
          <w:szCs w:val="18"/>
          <w:color w:val="auto"/>
        </w:rPr>
        <w:t>been redacted</w:t>
      </w:r>
    </w:p>
    <w:p>
      <w:pPr>
        <w:jc w:val="center"/>
        <w:ind w:right="8479"/>
        <w:spacing w:after="0"/>
        <w:rPr>
          <w:sz w:val="20"/>
          <w:szCs w:val="20"/>
          <w:color w:val="auto"/>
        </w:rPr>
      </w:pPr>
      <w:r>
        <w:rPr>
          <w:rFonts w:ascii="Courier New" w:cs="Courier New" w:eastAsia="Courier New" w:hAnsi="Courier New"/>
          <w:sz w:val="18"/>
          <w:szCs w:val="18"/>
          <w:color w:val="auto"/>
        </w:rPr>
        <w:t>and complete</w:t>
      </w:r>
    </w:p>
    <w:p>
      <w:pPr>
        <w:jc w:val="center"/>
        <w:ind w:right="8479"/>
        <w:spacing w:after="0" w:line="238" w:lineRule="auto"/>
        <w:rPr>
          <w:sz w:val="20"/>
          <w:szCs w:val="20"/>
          <w:color w:val="auto"/>
        </w:rPr>
      </w:pPr>
      <w:r>
        <w:rPr>
          <w:rFonts w:ascii="Courier New" w:cs="Courier New" w:eastAsia="Courier New" w:hAnsi="Courier New"/>
          <w:sz w:val="18"/>
          <w:szCs w:val="18"/>
          <w:color w:val="auto"/>
        </w:rPr>
        <w:t>exhibits have</w:t>
      </w:r>
    </w:p>
    <w:p>
      <w:pPr>
        <w:jc w:val="center"/>
        <w:ind w:right="8479"/>
        <w:spacing w:after="0"/>
        <w:rPr>
          <w:sz w:val="20"/>
          <w:szCs w:val="20"/>
          <w:color w:val="auto"/>
        </w:rPr>
      </w:pPr>
      <w:r>
        <w:rPr>
          <w:rFonts w:ascii="Courier New" w:cs="Courier New" w:eastAsia="Courier New" w:hAnsi="Courier New"/>
          <w:sz w:val="18"/>
          <w:szCs w:val="18"/>
          <w:color w:val="auto"/>
        </w:rPr>
        <w:t>been separately</w:t>
      </w:r>
    </w:p>
    <w:p>
      <w:pPr>
        <w:jc w:val="center"/>
        <w:ind w:right="8479"/>
        <w:spacing w:after="0" w:line="238" w:lineRule="auto"/>
        <w:rPr>
          <w:sz w:val="20"/>
          <w:szCs w:val="20"/>
          <w:color w:val="auto"/>
        </w:rPr>
      </w:pPr>
      <w:r>
        <w:rPr>
          <w:rFonts w:ascii="Courier New" w:cs="Courier New" w:eastAsia="Courier New" w:hAnsi="Courier New"/>
          <w:sz w:val="18"/>
          <w:szCs w:val="18"/>
          <w:color w:val="auto"/>
        </w:rPr>
        <w:t>filed with the</w:t>
      </w:r>
    </w:p>
    <w:p>
      <w:pPr>
        <w:jc w:val="center"/>
        <w:ind w:right="8479"/>
        <w:spacing w:after="0"/>
        <w:rPr>
          <w:sz w:val="20"/>
          <w:szCs w:val="20"/>
          <w:color w:val="auto"/>
        </w:rPr>
      </w:pPr>
      <w:r>
        <w:rPr>
          <w:rFonts w:ascii="Courier New" w:cs="Courier New" w:eastAsia="Courier New" w:hAnsi="Courier New"/>
          <w:sz w:val="18"/>
          <w:szCs w:val="18"/>
          <w:color w:val="auto"/>
        </w:rPr>
        <w:t>Securities and</w:t>
      </w:r>
    </w:p>
    <w:p>
      <w:pPr>
        <w:jc w:val="center"/>
        <w:ind w:right="8479"/>
        <w:spacing w:after="0" w:line="238" w:lineRule="auto"/>
        <w:rPr>
          <w:sz w:val="20"/>
          <w:szCs w:val="20"/>
          <w:color w:val="auto"/>
        </w:rPr>
      </w:pPr>
      <w:r>
        <w:rPr>
          <w:rFonts w:ascii="Courier New" w:cs="Courier New" w:eastAsia="Courier New" w:hAnsi="Courier New"/>
          <w:sz w:val="18"/>
          <w:szCs w:val="18"/>
          <w:color w:val="auto"/>
        </w:rPr>
        <w:t>Exchange</w:t>
      </w:r>
    </w:p>
    <w:p>
      <w:pPr>
        <w:jc w:val="center"/>
        <w:ind w:right="8479"/>
        <w:spacing w:after="0"/>
        <w:rPr>
          <w:sz w:val="20"/>
          <w:szCs w:val="20"/>
          <w:color w:val="auto"/>
        </w:rPr>
      </w:pPr>
      <w:r>
        <w:rPr>
          <w:rFonts w:ascii="Courier New" w:cs="Courier New" w:eastAsia="Courier New" w:hAnsi="Courier New"/>
          <w:sz w:val="18"/>
          <w:szCs w:val="18"/>
          <w:color w:val="auto"/>
        </w:rPr>
        <w:t>Commission)</w:t>
      </w:r>
    </w:p>
    <w:p>
      <w:pPr>
        <w:jc w:val="center"/>
        <w:ind w:right="8479"/>
        <w:spacing w:after="0"/>
        <w:rPr>
          <w:sz w:val="20"/>
          <w:szCs w:val="20"/>
          <w:color w:val="auto"/>
        </w:rPr>
      </w:pPr>
      <w:r>
        <w:rPr>
          <w:rFonts w:ascii="Courier New" w:cs="Courier New" w:eastAsia="Courier New" w:hAnsi="Courier New"/>
          <w:sz w:val="16"/>
          <w:szCs w:val="16"/>
          <w:color w:val="auto"/>
        </w:rPr>
        <w:t>(incorporated by</w:t>
      </w:r>
    </w:p>
    <w:p>
      <w:pPr>
        <w:spacing w:after="0" w:line="20"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8"/>
          <w:szCs w:val="18"/>
          <w:color w:val="auto"/>
        </w:rPr>
        <w:t>reference to</w:t>
      </w:r>
    </w:p>
    <w:p>
      <w:pPr>
        <w:jc w:val="center"/>
        <w:ind w:right="8479"/>
        <w:spacing w:after="0"/>
        <w:rPr>
          <w:sz w:val="20"/>
          <w:szCs w:val="20"/>
          <w:color w:val="auto"/>
        </w:rPr>
      </w:pPr>
      <w:r>
        <w:rPr>
          <w:rFonts w:ascii="Courier New" w:cs="Courier New" w:eastAsia="Courier New" w:hAnsi="Courier New"/>
          <w:sz w:val="16"/>
          <w:szCs w:val="16"/>
          <w:color w:val="auto"/>
        </w:rPr>
        <w:t>Exhibit 10.13 to</w:t>
      </w:r>
    </w:p>
    <w:p>
      <w:pPr>
        <w:spacing w:after="0" w:line="21"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6"/>
          <w:szCs w:val="16"/>
          <w:color w:val="auto"/>
        </w:rPr>
        <w:t>Amdocs' Amedment</w:t>
      </w:r>
    </w:p>
    <w:p>
      <w:pPr>
        <w:spacing w:after="0" w:line="20"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8"/>
          <w:szCs w:val="18"/>
          <w:color w:val="auto"/>
        </w:rPr>
        <w:t>No. 1 to</w:t>
      </w:r>
    </w:p>
    <w:p>
      <w:pPr>
        <w:jc w:val="center"/>
        <w:ind w:right="8479"/>
        <w:spacing w:after="0" w:line="238" w:lineRule="auto"/>
        <w:rPr>
          <w:sz w:val="20"/>
          <w:szCs w:val="20"/>
          <w:color w:val="auto"/>
        </w:rPr>
      </w:pPr>
      <w:r>
        <w:rPr>
          <w:rFonts w:ascii="Courier New" w:cs="Courier New" w:eastAsia="Courier New" w:hAnsi="Courier New"/>
          <w:sz w:val="18"/>
          <w:szCs w:val="18"/>
          <w:color w:val="auto"/>
        </w:rPr>
        <w:t>Registration</w:t>
      </w:r>
    </w:p>
    <w:p>
      <w:pPr>
        <w:jc w:val="center"/>
        <w:ind w:right="8479"/>
        <w:spacing w:after="0"/>
        <w:rPr>
          <w:sz w:val="20"/>
          <w:szCs w:val="20"/>
          <w:color w:val="auto"/>
        </w:rPr>
      </w:pPr>
      <w:r>
        <w:rPr>
          <w:rFonts w:ascii="Courier New" w:cs="Courier New" w:eastAsia="Courier New" w:hAnsi="Courier New"/>
          <w:sz w:val="18"/>
          <w:szCs w:val="18"/>
          <w:color w:val="auto"/>
        </w:rPr>
        <w:t>Statement on</w:t>
      </w:r>
    </w:p>
    <w:p>
      <w:pPr>
        <w:jc w:val="center"/>
        <w:ind w:right="8479"/>
        <w:spacing w:after="0" w:line="238" w:lineRule="auto"/>
        <w:rPr>
          <w:sz w:val="20"/>
          <w:szCs w:val="20"/>
          <w:color w:val="auto"/>
        </w:rPr>
      </w:pPr>
      <w:r>
        <w:rPr>
          <w:rFonts w:ascii="Courier New" w:cs="Courier New" w:eastAsia="Courier New" w:hAnsi="Courier New"/>
          <w:sz w:val="18"/>
          <w:szCs w:val="18"/>
          <w:color w:val="auto"/>
        </w:rPr>
        <w:t>Form F-1, dated</w:t>
      </w:r>
    </w:p>
    <w:p>
      <w:pPr>
        <w:jc w:val="center"/>
        <w:ind w:right="8479"/>
        <w:spacing w:after="0"/>
        <w:rPr>
          <w:sz w:val="20"/>
          <w:szCs w:val="20"/>
          <w:color w:val="auto"/>
        </w:rPr>
      </w:pPr>
      <w:r>
        <w:rPr>
          <w:rFonts w:ascii="Courier New" w:cs="Courier New" w:eastAsia="Courier New" w:hAnsi="Courier New"/>
          <w:sz w:val="18"/>
          <w:szCs w:val="18"/>
          <w:color w:val="auto"/>
        </w:rPr>
        <w:t>May 21, 1999,</w:t>
      </w:r>
    </w:p>
    <w:p>
      <w:pPr>
        <w:jc w:val="center"/>
        <w:ind w:right="8479"/>
        <w:spacing w:after="0"/>
        <w:rPr>
          <w:sz w:val="20"/>
          <w:szCs w:val="20"/>
          <w:color w:val="auto"/>
        </w:rPr>
      </w:pPr>
      <w:r>
        <w:rPr>
          <w:rFonts w:ascii="Courier New" w:cs="Courier New" w:eastAsia="Courier New" w:hAnsi="Courier New"/>
          <w:sz w:val="16"/>
          <w:szCs w:val="16"/>
          <w:color w:val="auto"/>
        </w:rPr>
        <w:t>Registration No.</w:t>
      </w:r>
    </w:p>
    <w:p>
      <w:pPr>
        <w:spacing w:after="0" w:line="21"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6"/>
          <w:szCs w:val="16"/>
          <w:color w:val="auto"/>
        </w:rPr>
        <w:t>333-75151) 4.c.1</w:t>
      </w:r>
    </w:p>
    <w:p>
      <w:pPr>
        <w:spacing w:after="0" w:line="20"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8"/>
          <w:szCs w:val="18"/>
          <w:color w:val="auto"/>
        </w:rPr>
        <w:t>Amdocs Limited</w:t>
      </w:r>
    </w:p>
    <w:p>
      <w:pPr>
        <w:jc w:val="center"/>
        <w:ind w:right="8479"/>
        <w:spacing w:after="0" w:line="238" w:lineRule="auto"/>
        <w:rPr>
          <w:sz w:val="20"/>
          <w:szCs w:val="20"/>
          <w:color w:val="auto"/>
        </w:rPr>
      </w:pPr>
      <w:r>
        <w:rPr>
          <w:rFonts w:ascii="Courier New" w:cs="Courier New" w:eastAsia="Courier New" w:hAnsi="Courier New"/>
          <w:sz w:val="18"/>
          <w:szCs w:val="18"/>
          <w:color w:val="auto"/>
        </w:rPr>
        <w:t>1998 Stock</w:t>
      </w:r>
    </w:p>
    <w:p>
      <w:pPr>
        <w:jc w:val="center"/>
        <w:ind w:right="8479"/>
        <w:spacing w:after="0"/>
        <w:rPr>
          <w:sz w:val="20"/>
          <w:szCs w:val="20"/>
          <w:color w:val="auto"/>
        </w:rPr>
      </w:pPr>
      <w:r>
        <w:rPr>
          <w:rFonts w:ascii="Courier New" w:cs="Courier New" w:eastAsia="Courier New" w:hAnsi="Courier New"/>
          <w:sz w:val="18"/>
          <w:szCs w:val="18"/>
          <w:color w:val="auto"/>
        </w:rPr>
        <w:t>Option and</w:t>
      </w:r>
    </w:p>
    <w:p>
      <w:pPr>
        <w:jc w:val="center"/>
        <w:ind w:right="8479"/>
        <w:spacing w:after="0"/>
        <w:rPr>
          <w:sz w:val="20"/>
          <w:szCs w:val="20"/>
          <w:color w:val="auto"/>
        </w:rPr>
      </w:pPr>
      <w:r>
        <w:rPr>
          <w:rFonts w:ascii="Courier New" w:cs="Courier New" w:eastAsia="Courier New" w:hAnsi="Courier New"/>
          <w:sz w:val="18"/>
          <w:szCs w:val="18"/>
          <w:color w:val="auto"/>
        </w:rPr>
        <w:t>Incentive Plan,</w:t>
      </w:r>
    </w:p>
    <w:p>
      <w:pPr>
        <w:sectPr>
          <w:pgSz w:w="11900" w:h="16838" w:orient="portrait"/>
          <w:cols w:equalWidth="0" w:num="1">
            <w:col w:w="10159"/>
          </w:cols>
          <w:pgMar w:left="300" w:top="110" w:right="1440" w:bottom="0" w:gutter="0" w:footer="0" w:header="0"/>
        </w:sectPr>
      </w:pPr>
    </w:p>
    <w:bookmarkStart w:id="74" w:name="page75"/>
    <w:bookmarkEnd w:id="74"/>
    <w:p>
      <w:pPr>
        <w:jc w:val="center"/>
        <w:ind w:right="8476"/>
        <w:spacing w:after="0"/>
        <w:rPr>
          <w:sz w:val="20"/>
          <w:szCs w:val="20"/>
          <w:color w:val="auto"/>
        </w:rPr>
      </w:pPr>
      <w:r>
        <w:rPr>
          <w:rFonts w:ascii="Courier New" w:cs="Courier New" w:eastAsia="Courier New" w:hAnsi="Courier New"/>
          <w:sz w:val="18"/>
          <w:szCs w:val="18"/>
          <w:color w:val="auto"/>
        </w:rPr>
        <w:t>as amended</w:t>
      </w:r>
    </w:p>
    <w:p>
      <w:pPr>
        <w:spacing w:after="0" w:line="31" w:lineRule="exact"/>
        <w:rPr>
          <w:sz w:val="20"/>
          <w:szCs w:val="20"/>
          <w:color w:val="auto"/>
        </w:rPr>
      </w:pPr>
    </w:p>
    <w:p>
      <w:pPr>
        <w:jc w:val="center"/>
        <w:ind w:right="8476"/>
        <w:spacing w:after="0"/>
        <w:rPr>
          <w:sz w:val="20"/>
          <w:szCs w:val="20"/>
          <w:color w:val="auto"/>
        </w:rPr>
      </w:pPr>
      <w:r>
        <w:rPr>
          <w:rFonts w:ascii="Courier New" w:cs="Courier New" w:eastAsia="Courier New" w:hAnsi="Courier New"/>
          <w:sz w:val="16"/>
          <w:szCs w:val="16"/>
          <w:color w:val="auto"/>
        </w:rPr>
        <w:t>January 24, 2001</w:t>
      </w:r>
    </w:p>
    <w:p>
      <w:pPr>
        <w:spacing w:after="0" w:line="21" w:lineRule="exact"/>
        <w:rPr>
          <w:sz w:val="20"/>
          <w:szCs w:val="20"/>
          <w:color w:val="auto"/>
        </w:rPr>
      </w:pPr>
    </w:p>
    <w:p>
      <w:pPr>
        <w:jc w:val="center"/>
        <w:ind w:right="8476"/>
        <w:spacing w:after="0"/>
        <w:rPr>
          <w:sz w:val="20"/>
          <w:szCs w:val="20"/>
          <w:color w:val="auto"/>
        </w:rPr>
      </w:pPr>
      <w:r>
        <w:rPr>
          <w:rFonts w:ascii="Courier New" w:cs="Courier New" w:eastAsia="Courier New" w:hAnsi="Courier New"/>
          <w:sz w:val="16"/>
          <w:szCs w:val="16"/>
          <w:color w:val="auto"/>
        </w:rPr>
        <w:t>(incorporated by</w:t>
      </w:r>
    </w:p>
    <w:p>
      <w:pPr>
        <w:spacing w:after="0" w:line="20" w:lineRule="exact"/>
        <w:rPr>
          <w:sz w:val="20"/>
          <w:szCs w:val="20"/>
          <w:color w:val="auto"/>
        </w:rPr>
      </w:pPr>
    </w:p>
    <w:p>
      <w:pPr>
        <w:jc w:val="center"/>
        <w:ind w:right="8476"/>
        <w:spacing w:after="0"/>
        <w:rPr>
          <w:sz w:val="20"/>
          <w:szCs w:val="20"/>
          <w:color w:val="auto"/>
        </w:rPr>
      </w:pPr>
      <w:r>
        <w:rPr>
          <w:rFonts w:ascii="Courier New" w:cs="Courier New" w:eastAsia="Courier New" w:hAnsi="Courier New"/>
          <w:sz w:val="18"/>
          <w:szCs w:val="18"/>
          <w:color w:val="auto"/>
        </w:rPr>
        <w:t>reference to</w:t>
      </w:r>
    </w:p>
    <w:p>
      <w:pPr>
        <w:jc w:val="center"/>
        <w:ind w:right="8476"/>
        <w:spacing w:after="0" w:line="238" w:lineRule="auto"/>
        <w:rPr>
          <w:sz w:val="20"/>
          <w:szCs w:val="20"/>
          <w:color w:val="auto"/>
        </w:rPr>
      </w:pPr>
      <w:r>
        <w:rPr>
          <w:rFonts w:ascii="Courier New" w:cs="Courier New" w:eastAsia="Courier New" w:hAnsi="Courier New"/>
          <w:sz w:val="18"/>
          <w:szCs w:val="18"/>
          <w:color w:val="auto"/>
        </w:rPr>
        <w:t>Exhibit 4 to</w:t>
      </w:r>
    </w:p>
    <w:p>
      <w:pPr>
        <w:jc w:val="center"/>
        <w:ind w:right="8476"/>
        <w:spacing w:after="0"/>
        <w:rPr>
          <w:sz w:val="20"/>
          <w:szCs w:val="20"/>
          <w:color w:val="auto"/>
        </w:rPr>
      </w:pPr>
      <w:r>
        <w:rPr>
          <w:rFonts w:ascii="Courier New" w:cs="Courier New" w:eastAsia="Courier New" w:hAnsi="Courier New"/>
          <w:sz w:val="18"/>
          <w:szCs w:val="18"/>
          <w:color w:val="auto"/>
        </w:rPr>
        <w:t>Amdocs'</w:t>
      </w:r>
    </w:p>
    <w:p>
      <w:pPr>
        <w:jc w:val="center"/>
        <w:ind w:right="8476"/>
        <w:spacing w:after="0" w:line="238" w:lineRule="auto"/>
        <w:rPr>
          <w:sz w:val="20"/>
          <w:szCs w:val="20"/>
          <w:color w:val="auto"/>
        </w:rPr>
      </w:pPr>
      <w:r>
        <w:rPr>
          <w:rFonts w:ascii="Courier New" w:cs="Courier New" w:eastAsia="Courier New" w:hAnsi="Courier New"/>
          <w:sz w:val="18"/>
          <w:szCs w:val="18"/>
          <w:color w:val="auto"/>
        </w:rPr>
        <w:t>Registration</w:t>
      </w:r>
    </w:p>
    <w:p>
      <w:pPr>
        <w:jc w:val="center"/>
        <w:ind w:right="8476"/>
        <w:spacing w:after="0"/>
        <w:rPr>
          <w:sz w:val="20"/>
          <w:szCs w:val="20"/>
          <w:color w:val="auto"/>
        </w:rPr>
      </w:pPr>
      <w:r>
        <w:rPr>
          <w:rFonts w:ascii="Courier New" w:cs="Courier New" w:eastAsia="Courier New" w:hAnsi="Courier New"/>
          <w:sz w:val="18"/>
          <w:szCs w:val="18"/>
          <w:color w:val="auto"/>
        </w:rPr>
        <w:t>Statement on</w:t>
      </w:r>
    </w:p>
    <w:p>
      <w:pPr>
        <w:jc w:val="center"/>
        <w:ind w:right="8476"/>
        <w:spacing w:after="0" w:line="238" w:lineRule="auto"/>
        <w:rPr>
          <w:sz w:val="20"/>
          <w:szCs w:val="20"/>
          <w:color w:val="auto"/>
        </w:rPr>
      </w:pPr>
      <w:r>
        <w:rPr>
          <w:rFonts w:ascii="Courier New" w:cs="Courier New" w:eastAsia="Courier New" w:hAnsi="Courier New"/>
          <w:sz w:val="18"/>
          <w:szCs w:val="18"/>
          <w:color w:val="auto"/>
        </w:rPr>
        <w:t>Form S-8 dated</w:t>
      </w:r>
    </w:p>
    <w:p>
      <w:pPr>
        <w:jc w:val="center"/>
        <w:ind w:right="8476"/>
        <w:spacing w:after="0"/>
        <w:rPr>
          <w:sz w:val="20"/>
          <w:szCs w:val="20"/>
          <w:color w:val="auto"/>
        </w:rPr>
      </w:pPr>
      <w:r>
        <w:rPr>
          <w:rFonts w:ascii="Courier New" w:cs="Courier New" w:eastAsia="Courier New" w:hAnsi="Courier New"/>
          <w:sz w:val="18"/>
          <w:szCs w:val="18"/>
          <w:color w:val="auto"/>
        </w:rPr>
        <w:t>April 6, 2001;</w:t>
      </w:r>
    </w:p>
    <w:p>
      <w:pPr>
        <w:jc w:val="center"/>
        <w:ind w:right="8476"/>
        <w:spacing w:after="0"/>
        <w:rPr>
          <w:sz w:val="20"/>
          <w:szCs w:val="20"/>
          <w:color w:val="auto"/>
        </w:rPr>
      </w:pPr>
      <w:r>
        <w:rPr>
          <w:rFonts w:ascii="Courier New" w:cs="Courier New" w:eastAsia="Courier New" w:hAnsi="Courier New"/>
          <w:sz w:val="16"/>
          <w:szCs w:val="16"/>
          <w:color w:val="auto"/>
        </w:rPr>
        <w:t>Registration No.</w:t>
      </w:r>
    </w:p>
    <w:p>
      <w:pPr>
        <w:spacing w:after="0" w:line="20" w:lineRule="exact"/>
        <w:rPr>
          <w:sz w:val="20"/>
          <w:szCs w:val="20"/>
          <w:color w:val="auto"/>
        </w:rPr>
      </w:pPr>
    </w:p>
    <w:p>
      <w:pPr>
        <w:jc w:val="center"/>
        <w:ind w:right="8476"/>
        <w:spacing w:after="0"/>
        <w:rPr>
          <w:sz w:val="20"/>
          <w:szCs w:val="20"/>
          <w:color w:val="auto"/>
        </w:rPr>
      </w:pPr>
      <w:r>
        <w:rPr>
          <w:rFonts w:ascii="Courier New" w:cs="Courier New" w:eastAsia="Courier New" w:hAnsi="Courier New"/>
          <w:sz w:val="18"/>
          <w:szCs w:val="18"/>
          <w:color w:val="auto"/>
        </w:rPr>
        <w:t>333-58454) 8.</w:t>
      </w:r>
    </w:p>
    <w:p>
      <w:pPr>
        <w:jc w:val="center"/>
        <w:ind w:right="8476"/>
        <w:spacing w:after="0" w:line="238" w:lineRule="auto"/>
        <w:rPr>
          <w:sz w:val="20"/>
          <w:szCs w:val="20"/>
          <w:color w:val="auto"/>
        </w:rPr>
      </w:pPr>
      <w:r>
        <w:rPr>
          <w:rFonts w:ascii="Courier New" w:cs="Courier New" w:eastAsia="Courier New" w:hAnsi="Courier New"/>
          <w:sz w:val="18"/>
          <w:szCs w:val="18"/>
          <w:color w:val="auto"/>
        </w:rPr>
        <w:t>Subsidiaries of</w:t>
      </w:r>
    </w:p>
    <w:p>
      <w:pPr>
        <w:jc w:val="center"/>
        <w:ind w:right="8476"/>
        <w:spacing w:after="0"/>
        <w:rPr>
          <w:sz w:val="20"/>
          <w:szCs w:val="20"/>
          <w:color w:val="auto"/>
        </w:rPr>
      </w:pPr>
      <w:r>
        <w:rPr>
          <w:rFonts w:ascii="Courier New" w:cs="Courier New" w:eastAsia="Courier New" w:hAnsi="Courier New"/>
          <w:sz w:val="18"/>
          <w:szCs w:val="18"/>
          <w:color w:val="auto"/>
        </w:rPr>
        <w:t>Amdocs Limited</w:t>
      </w:r>
    </w:p>
    <w:p>
      <w:pPr>
        <w:jc w:val="center"/>
        <w:ind w:right="8476"/>
        <w:spacing w:after="0" w:line="238" w:lineRule="auto"/>
        <w:rPr>
          <w:sz w:val="20"/>
          <w:szCs w:val="20"/>
          <w:color w:val="auto"/>
        </w:rPr>
      </w:pPr>
      <w:r>
        <w:rPr>
          <w:rFonts w:ascii="Courier New" w:cs="Courier New" w:eastAsia="Courier New" w:hAnsi="Courier New"/>
          <w:sz w:val="18"/>
          <w:szCs w:val="18"/>
          <w:color w:val="auto"/>
        </w:rPr>
        <w:t>12.1</w:t>
      </w:r>
    </w:p>
    <w:p>
      <w:pPr>
        <w:jc w:val="center"/>
        <w:ind w:right="8476"/>
        <w:spacing w:after="0"/>
        <w:rPr>
          <w:sz w:val="20"/>
          <w:szCs w:val="20"/>
          <w:color w:val="auto"/>
        </w:rPr>
      </w:pPr>
      <w:r>
        <w:rPr>
          <w:rFonts w:ascii="Courier New" w:cs="Courier New" w:eastAsia="Courier New" w:hAnsi="Courier New"/>
          <w:sz w:val="16"/>
          <w:szCs w:val="16"/>
          <w:color w:val="auto"/>
        </w:rPr>
        <w:t>Certification of</w:t>
      </w:r>
    </w:p>
    <w:p>
      <w:pPr>
        <w:spacing w:after="0" w:line="20" w:lineRule="exact"/>
        <w:rPr>
          <w:sz w:val="20"/>
          <w:szCs w:val="20"/>
          <w:color w:val="auto"/>
        </w:rPr>
      </w:pPr>
    </w:p>
    <w:p>
      <w:pPr>
        <w:jc w:val="center"/>
        <w:ind w:right="8476"/>
        <w:spacing w:after="0"/>
        <w:rPr>
          <w:sz w:val="20"/>
          <w:szCs w:val="20"/>
          <w:color w:val="auto"/>
        </w:rPr>
      </w:pPr>
      <w:r>
        <w:rPr>
          <w:rFonts w:ascii="Courier New" w:cs="Courier New" w:eastAsia="Courier New" w:hAnsi="Courier New"/>
          <w:sz w:val="18"/>
          <w:szCs w:val="18"/>
          <w:color w:val="auto"/>
        </w:rPr>
        <w:t>Chief Executive</w:t>
      </w:r>
    </w:p>
    <w:p>
      <w:pPr>
        <w:jc w:val="center"/>
        <w:ind w:right="8476"/>
        <w:spacing w:after="0"/>
        <w:rPr>
          <w:sz w:val="20"/>
          <w:szCs w:val="20"/>
          <w:color w:val="auto"/>
        </w:rPr>
      </w:pPr>
      <w:r>
        <w:rPr>
          <w:rFonts w:ascii="Courier New" w:cs="Courier New" w:eastAsia="Courier New" w:hAnsi="Courier New"/>
          <w:sz w:val="16"/>
          <w:szCs w:val="16"/>
          <w:color w:val="auto"/>
        </w:rPr>
        <w:t>Officer pursuant</w:t>
      </w:r>
    </w:p>
    <w:p>
      <w:pPr>
        <w:spacing w:after="0" w:line="20" w:lineRule="exact"/>
        <w:rPr>
          <w:sz w:val="20"/>
          <w:szCs w:val="20"/>
          <w:color w:val="auto"/>
        </w:rPr>
      </w:pPr>
    </w:p>
    <w:p>
      <w:pPr>
        <w:jc w:val="center"/>
        <w:ind w:right="8476"/>
        <w:spacing w:after="0"/>
        <w:rPr>
          <w:sz w:val="20"/>
          <w:szCs w:val="20"/>
          <w:color w:val="auto"/>
        </w:rPr>
      </w:pPr>
      <w:r>
        <w:rPr>
          <w:rFonts w:ascii="Courier New" w:cs="Courier New" w:eastAsia="Courier New" w:hAnsi="Courier New"/>
          <w:sz w:val="18"/>
          <w:szCs w:val="18"/>
          <w:color w:val="auto"/>
        </w:rPr>
        <w:t>to Rule 13a-</w:t>
      </w:r>
    </w:p>
    <w:p>
      <w:pPr>
        <w:jc w:val="center"/>
        <w:ind w:right="8476"/>
        <w:spacing w:after="0" w:line="238" w:lineRule="auto"/>
        <w:rPr>
          <w:sz w:val="20"/>
          <w:szCs w:val="20"/>
          <w:color w:val="auto"/>
        </w:rPr>
      </w:pPr>
      <w:r>
        <w:rPr>
          <w:rFonts w:ascii="Courier New" w:cs="Courier New" w:eastAsia="Courier New" w:hAnsi="Courier New"/>
          <w:sz w:val="18"/>
          <w:szCs w:val="18"/>
          <w:color w:val="auto"/>
        </w:rPr>
        <w:t>14(a)/15d-14(a)</w:t>
      </w:r>
    </w:p>
    <w:p>
      <w:pPr>
        <w:jc w:val="center"/>
        <w:ind w:right="8476"/>
        <w:spacing w:after="0"/>
        <w:rPr>
          <w:sz w:val="20"/>
          <w:szCs w:val="20"/>
          <w:color w:val="auto"/>
        </w:rPr>
      </w:pPr>
      <w:r>
        <w:rPr>
          <w:rFonts w:ascii="Courier New" w:cs="Courier New" w:eastAsia="Courier New" w:hAnsi="Courier New"/>
          <w:sz w:val="18"/>
          <w:szCs w:val="18"/>
          <w:color w:val="auto"/>
        </w:rPr>
        <w:t>12.2</w:t>
      </w:r>
    </w:p>
    <w:p>
      <w:pPr>
        <w:jc w:val="center"/>
        <w:ind w:right="8476"/>
        <w:spacing w:after="0"/>
        <w:rPr>
          <w:sz w:val="20"/>
          <w:szCs w:val="20"/>
          <w:color w:val="auto"/>
        </w:rPr>
      </w:pPr>
      <w:r>
        <w:rPr>
          <w:rFonts w:ascii="Courier New" w:cs="Courier New" w:eastAsia="Courier New" w:hAnsi="Courier New"/>
          <w:sz w:val="16"/>
          <w:szCs w:val="16"/>
          <w:color w:val="auto"/>
        </w:rPr>
        <w:t>Certification of</w:t>
      </w:r>
    </w:p>
    <w:p>
      <w:pPr>
        <w:spacing w:after="0" w:line="20" w:lineRule="exact"/>
        <w:rPr>
          <w:sz w:val="20"/>
          <w:szCs w:val="20"/>
          <w:color w:val="auto"/>
        </w:rPr>
      </w:pPr>
    </w:p>
    <w:p>
      <w:pPr>
        <w:jc w:val="center"/>
        <w:ind w:right="8476"/>
        <w:spacing w:after="0"/>
        <w:rPr>
          <w:sz w:val="20"/>
          <w:szCs w:val="20"/>
          <w:color w:val="auto"/>
        </w:rPr>
      </w:pPr>
      <w:r>
        <w:rPr>
          <w:rFonts w:ascii="Courier New" w:cs="Courier New" w:eastAsia="Courier New" w:hAnsi="Courier New"/>
          <w:sz w:val="18"/>
          <w:szCs w:val="18"/>
          <w:color w:val="auto"/>
        </w:rPr>
        <w:t>Chief Financial</w:t>
      </w:r>
    </w:p>
    <w:p>
      <w:pPr>
        <w:jc w:val="center"/>
        <w:ind w:right="8476"/>
        <w:spacing w:after="0"/>
        <w:rPr>
          <w:sz w:val="20"/>
          <w:szCs w:val="20"/>
          <w:color w:val="auto"/>
        </w:rPr>
      </w:pPr>
      <w:r>
        <w:rPr>
          <w:rFonts w:ascii="Courier New" w:cs="Courier New" w:eastAsia="Courier New" w:hAnsi="Courier New"/>
          <w:sz w:val="16"/>
          <w:szCs w:val="16"/>
          <w:color w:val="auto"/>
        </w:rPr>
        <w:t>Officer pursuant</w:t>
      </w:r>
    </w:p>
    <w:p>
      <w:pPr>
        <w:spacing w:after="0" w:line="20" w:lineRule="exact"/>
        <w:rPr>
          <w:sz w:val="20"/>
          <w:szCs w:val="20"/>
          <w:color w:val="auto"/>
        </w:rPr>
      </w:pPr>
    </w:p>
    <w:p>
      <w:pPr>
        <w:jc w:val="center"/>
        <w:ind w:right="8476"/>
        <w:spacing w:after="0"/>
        <w:rPr>
          <w:sz w:val="20"/>
          <w:szCs w:val="20"/>
          <w:color w:val="auto"/>
        </w:rPr>
      </w:pPr>
      <w:r>
        <w:rPr>
          <w:rFonts w:ascii="Courier New" w:cs="Courier New" w:eastAsia="Courier New" w:hAnsi="Courier New"/>
          <w:sz w:val="18"/>
          <w:szCs w:val="18"/>
          <w:color w:val="auto"/>
        </w:rPr>
        <w:t>to Rule 13a-</w:t>
      </w:r>
    </w:p>
    <w:p>
      <w:pPr>
        <w:jc w:val="center"/>
        <w:ind w:right="8476"/>
        <w:spacing w:after="0" w:line="238" w:lineRule="auto"/>
        <w:rPr>
          <w:sz w:val="20"/>
          <w:szCs w:val="20"/>
          <w:color w:val="auto"/>
        </w:rPr>
      </w:pPr>
      <w:r>
        <w:rPr>
          <w:rFonts w:ascii="Courier New" w:cs="Courier New" w:eastAsia="Courier New" w:hAnsi="Courier New"/>
          <w:sz w:val="18"/>
          <w:szCs w:val="18"/>
          <w:color w:val="auto"/>
        </w:rPr>
        <w:t>14(a)/15d-14(a)</w:t>
      </w:r>
    </w:p>
    <w:p>
      <w:pPr>
        <w:jc w:val="center"/>
        <w:ind w:right="8476"/>
        <w:spacing w:after="0"/>
        <w:rPr>
          <w:sz w:val="20"/>
          <w:szCs w:val="20"/>
          <w:color w:val="auto"/>
        </w:rPr>
      </w:pPr>
      <w:r>
        <w:rPr>
          <w:rFonts w:ascii="Courier New" w:cs="Courier New" w:eastAsia="Courier New" w:hAnsi="Courier New"/>
          <w:sz w:val="18"/>
          <w:szCs w:val="18"/>
          <w:color w:val="auto"/>
        </w:rPr>
        <w:t>13.1</w:t>
      </w:r>
    </w:p>
    <w:p>
      <w:pPr>
        <w:jc w:val="center"/>
        <w:ind w:right="8476"/>
        <w:spacing w:after="0"/>
        <w:rPr>
          <w:sz w:val="20"/>
          <w:szCs w:val="20"/>
          <w:color w:val="auto"/>
        </w:rPr>
      </w:pPr>
      <w:r>
        <w:rPr>
          <w:rFonts w:ascii="Courier New" w:cs="Courier New" w:eastAsia="Courier New" w:hAnsi="Courier New"/>
          <w:sz w:val="16"/>
          <w:szCs w:val="16"/>
          <w:color w:val="auto"/>
        </w:rPr>
        <w:t>Certification of</w:t>
      </w:r>
    </w:p>
    <w:p>
      <w:pPr>
        <w:spacing w:after="0" w:line="20" w:lineRule="exact"/>
        <w:rPr>
          <w:sz w:val="20"/>
          <w:szCs w:val="20"/>
          <w:color w:val="auto"/>
        </w:rPr>
      </w:pPr>
    </w:p>
    <w:p>
      <w:pPr>
        <w:jc w:val="center"/>
        <w:ind w:right="8476"/>
        <w:spacing w:after="0"/>
        <w:rPr>
          <w:sz w:val="20"/>
          <w:szCs w:val="20"/>
          <w:color w:val="auto"/>
        </w:rPr>
      </w:pPr>
      <w:r>
        <w:rPr>
          <w:rFonts w:ascii="Courier New" w:cs="Courier New" w:eastAsia="Courier New" w:hAnsi="Courier New"/>
          <w:sz w:val="18"/>
          <w:szCs w:val="18"/>
          <w:color w:val="auto"/>
        </w:rPr>
        <w:t>Chief Executive</w:t>
      </w:r>
    </w:p>
    <w:p>
      <w:pPr>
        <w:jc w:val="center"/>
        <w:ind w:right="8476"/>
        <w:spacing w:after="0"/>
        <w:rPr>
          <w:sz w:val="20"/>
          <w:szCs w:val="20"/>
          <w:color w:val="auto"/>
        </w:rPr>
      </w:pPr>
      <w:r>
        <w:rPr>
          <w:rFonts w:ascii="Courier New" w:cs="Courier New" w:eastAsia="Courier New" w:hAnsi="Courier New"/>
          <w:sz w:val="16"/>
          <w:szCs w:val="16"/>
          <w:color w:val="auto"/>
        </w:rPr>
        <w:t>Officer pursuant</w:t>
      </w:r>
    </w:p>
    <w:p>
      <w:pPr>
        <w:spacing w:after="0" w:line="20" w:lineRule="exact"/>
        <w:rPr>
          <w:sz w:val="20"/>
          <w:szCs w:val="20"/>
          <w:color w:val="auto"/>
        </w:rPr>
      </w:pPr>
    </w:p>
    <w:p>
      <w:pPr>
        <w:jc w:val="center"/>
        <w:ind w:right="8476"/>
        <w:spacing w:after="0"/>
        <w:rPr>
          <w:sz w:val="20"/>
          <w:szCs w:val="20"/>
          <w:color w:val="auto"/>
        </w:rPr>
      </w:pPr>
      <w:r>
        <w:rPr>
          <w:rFonts w:ascii="Courier New" w:cs="Courier New" w:eastAsia="Courier New" w:hAnsi="Courier New"/>
          <w:sz w:val="18"/>
          <w:szCs w:val="18"/>
          <w:color w:val="auto"/>
        </w:rPr>
        <w:t>to 18 U.S.C.</w:t>
      </w:r>
    </w:p>
    <w:p>
      <w:pPr>
        <w:jc w:val="center"/>
        <w:ind w:right="8476"/>
        <w:spacing w:after="0" w:line="238" w:lineRule="auto"/>
        <w:rPr>
          <w:sz w:val="20"/>
          <w:szCs w:val="20"/>
          <w:color w:val="auto"/>
        </w:rPr>
      </w:pPr>
      <w:r>
        <w:rPr>
          <w:rFonts w:ascii="Courier New" w:cs="Courier New" w:eastAsia="Courier New" w:hAnsi="Courier New"/>
          <w:sz w:val="18"/>
          <w:szCs w:val="18"/>
          <w:color w:val="auto"/>
        </w:rPr>
        <w:t>1350 13.2</w:t>
      </w:r>
    </w:p>
    <w:p>
      <w:pPr>
        <w:jc w:val="center"/>
        <w:ind w:right="8476"/>
        <w:spacing w:after="0"/>
        <w:rPr>
          <w:sz w:val="20"/>
          <w:szCs w:val="20"/>
          <w:color w:val="auto"/>
        </w:rPr>
      </w:pPr>
      <w:r>
        <w:rPr>
          <w:rFonts w:ascii="Courier New" w:cs="Courier New" w:eastAsia="Courier New" w:hAnsi="Courier New"/>
          <w:sz w:val="16"/>
          <w:szCs w:val="16"/>
          <w:color w:val="auto"/>
        </w:rPr>
        <w:t>Certification of</w:t>
      </w:r>
    </w:p>
    <w:p>
      <w:pPr>
        <w:spacing w:after="0" w:line="20" w:lineRule="exact"/>
        <w:rPr>
          <w:sz w:val="20"/>
          <w:szCs w:val="20"/>
          <w:color w:val="auto"/>
        </w:rPr>
      </w:pPr>
    </w:p>
    <w:p>
      <w:pPr>
        <w:jc w:val="center"/>
        <w:ind w:right="8476"/>
        <w:spacing w:after="0"/>
        <w:rPr>
          <w:sz w:val="20"/>
          <w:szCs w:val="20"/>
          <w:color w:val="auto"/>
        </w:rPr>
      </w:pPr>
      <w:r>
        <w:rPr>
          <w:rFonts w:ascii="Courier New" w:cs="Courier New" w:eastAsia="Courier New" w:hAnsi="Courier New"/>
          <w:sz w:val="18"/>
          <w:szCs w:val="18"/>
          <w:color w:val="auto"/>
        </w:rPr>
        <w:t>Chief Financial</w:t>
      </w:r>
    </w:p>
    <w:p>
      <w:pPr>
        <w:jc w:val="center"/>
        <w:ind w:right="8476"/>
        <w:spacing w:after="0"/>
        <w:rPr>
          <w:sz w:val="20"/>
          <w:szCs w:val="20"/>
          <w:color w:val="auto"/>
        </w:rPr>
      </w:pPr>
      <w:r>
        <w:rPr>
          <w:rFonts w:ascii="Courier New" w:cs="Courier New" w:eastAsia="Courier New" w:hAnsi="Courier New"/>
          <w:sz w:val="16"/>
          <w:szCs w:val="16"/>
          <w:color w:val="auto"/>
        </w:rPr>
        <w:t>Officer pursuant</w:t>
      </w:r>
    </w:p>
    <w:p>
      <w:pPr>
        <w:spacing w:after="0" w:line="20" w:lineRule="exact"/>
        <w:rPr>
          <w:sz w:val="20"/>
          <w:szCs w:val="20"/>
          <w:color w:val="auto"/>
        </w:rPr>
      </w:pPr>
    </w:p>
    <w:p>
      <w:pPr>
        <w:jc w:val="center"/>
        <w:ind w:right="8476"/>
        <w:spacing w:after="0"/>
        <w:rPr>
          <w:sz w:val="20"/>
          <w:szCs w:val="20"/>
          <w:color w:val="auto"/>
        </w:rPr>
      </w:pPr>
      <w:r>
        <w:rPr>
          <w:rFonts w:ascii="Courier New" w:cs="Courier New" w:eastAsia="Courier New" w:hAnsi="Courier New"/>
          <w:sz w:val="18"/>
          <w:szCs w:val="18"/>
          <w:color w:val="auto"/>
        </w:rPr>
        <w:t>to 18 U.S.C.</w:t>
      </w:r>
    </w:p>
    <w:p>
      <w:pPr>
        <w:jc w:val="center"/>
        <w:ind w:right="8476"/>
        <w:spacing w:after="0" w:line="238" w:lineRule="auto"/>
        <w:rPr>
          <w:sz w:val="20"/>
          <w:szCs w:val="20"/>
          <w:color w:val="auto"/>
        </w:rPr>
      </w:pPr>
      <w:r>
        <w:rPr>
          <w:rFonts w:ascii="Courier New" w:cs="Courier New" w:eastAsia="Courier New" w:hAnsi="Courier New"/>
          <w:sz w:val="18"/>
          <w:szCs w:val="18"/>
          <w:color w:val="auto"/>
        </w:rPr>
        <w:t>1350 14.1</w:t>
      </w:r>
    </w:p>
    <w:p>
      <w:pPr>
        <w:jc w:val="center"/>
        <w:ind w:right="8476"/>
        <w:spacing w:after="0"/>
        <w:rPr>
          <w:sz w:val="20"/>
          <w:szCs w:val="20"/>
          <w:color w:val="auto"/>
        </w:rPr>
      </w:pPr>
      <w:r>
        <w:rPr>
          <w:rFonts w:ascii="Courier New" w:cs="Courier New" w:eastAsia="Courier New" w:hAnsi="Courier New"/>
          <w:sz w:val="16"/>
          <w:szCs w:val="16"/>
          <w:color w:val="auto"/>
        </w:rPr>
        <w:t>Consent of Ernst</w:t>
      </w:r>
    </w:p>
    <w:p>
      <w:pPr>
        <w:spacing w:after="0" w:line="21" w:lineRule="exact"/>
        <w:rPr>
          <w:sz w:val="20"/>
          <w:szCs w:val="20"/>
          <w:color w:val="auto"/>
        </w:rPr>
      </w:pPr>
    </w:p>
    <w:p>
      <w:pPr>
        <w:ind w:left="323" w:right="8479" w:hanging="323"/>
        <w:spacing w:after="0" w:line="262" w:lineRule="auto"/>
        <w:tabs>
          <w:tab w:leader="none" w:pos="218"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Young LLP 14.2 Consent of Deloitte &amp; Touche LLP</w:t>
      </w:r>
    </w:p>
    <w:p>
      <w:pPr>
        <w:sectPr>
          <w:pgSz w:w="11900" w:h="16838" w:orient="portrait"/>
          <w:cols w:equalWidth="0" w:num="1">
            <w:col w:w="10163"/>
          </w:cols>
          <w:pgMar w:left="297" w:top="110" w:right="1440" w:bottom="1440" w:gutter="0" w:footer="0" w:header="0"/>
        </w:sectPr>
      </w:pPr>
    </w:p>
    <w:bookmarkStart w:id="75" w:name="page76"/>
    <w:bookmarkEnd w:id="75"/>
    <w:p>
      <w:pPr>
        <w:ind w:left="2640"/>
        <w:spacing w:after="0"/>
        <w:rPr>
          <w:sz w:val="20"/>
          <w:szCs w:val="20"/>
          <w:color w:val="auto"/>
        </w:rPr>
      </w:pPr>
      <w:r>
        <w:rPr>
          <w:rFonts w:ascii="Courier New" w:cs="Courier New" w:eastAsia="Courier New" w:hAnsi="Courier New"/>
          <w:sz w:val="18"/>
          <w:szCs w:val="18"/>
          <w:color w:val="auto"/>
        </w:rPr>
        <w:t>INDEX TO FINANCIAL STATEMENTS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644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AND FINANCIAL STATEMENT SCHEDULE</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8"/>
        </w:trPr>
        <w:tc>
          <w:tcPr>
            <w:tcW w:w="6440" w:type="dxa"/>
            <w:vAlign w:val="bottom"/>
          </w:tcPr>
          <w:p>
            <w:pPr>
              <w:jc w:val="right"/>
              <w:ind w:right="2132"/>
              <w:spacing w:after="0"/>
              <w:rPr>
                <w:sz w:val="20"/>
                <w:szCs w:val="20"/>
                <w:color w:val="auto"/>
              </w:rPr>
            </w:pPr>
            <w:r>
              <w:rPr>
                <w:rFonts w:ascii="Courier New" w:cs="Courier New" w:eastAsia="Courier New" w:hAnsi="Courier New"/>
                <w:sz w:val="18"/>
                <w:szCs w:val="18"/>
                <w:color w:val="auto"/>
              </w:rPr>
              <w:t>AMDOCS LIMITED</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6440" w:type="dxa"/>
            <w:vAlign w:val="bottom"/>
          </w:tcPr>
          <w:p>
            <w:pPr>
              <w:spacing w:after="0"/>
              <w:rPr>
                <w:sz w:val="20"/>
                <w:szCs w:val="20"/>
                <w:color w:val="auto"/>
              </w:rPr>
            </w:pPr>
            <w:r>
              <w:rPr>
                <w:rFonts w:ascii="Courier New" w:cs="Courier New" w:eastAsia="Courier New" w:hAnsi="Courier New"/>
                <w:sz w:val="18"/>
                <w:szCs w:val="18"/>
                <w:color w:val="auto"/>
              </w:rPr>
              <w:t>AUDITED FINANCIAL STATEMENTS</w:t>
            </w:r>
          </w:p>
        </w:tc>
        <w:tc>
          <w:tcPr>
            <w:tcW w:w="5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F-2</w:t>
            </w:r>
          </w:p>
        </w:tc>
        <w:tc>
          <w:tcPr>
            <w:tcW w:w="0" w:type="dxa"/>
            <w:vAlign w:val="bottom"/>
          </w:tcPr>
          <w:p>
            <w:pPr>
              <w:spacing w:after="0"/>
              <w:rPr>
                <w:sz w:val="1"/>
                <w:szCs w:val="1"/>
                <w:color w:val="auto"/>
              </w:rPr>
            </w:pP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Report of Independent Auditors............................</w:t>
            </w:r>
          </w:p>
        </w:tc>
        <w:tc>
          <w:tcPr>
            <w:tcW w:w="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Consolidated Balance Sheets as of September 30, 2003 and</w:t>
            </w:r>
          </w:p>
        </w:tc>
        <w:tc>
          <w:tcPr>
            <w:tcW w:w="5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F-3</w:t>
            </w:r>
          </w:p>
        </w:tc>
        <w:tc>
          <w:tcPr>
            <w:tcW w:w="0" w:type="dxa"/>
            <w:vAlign w:val="bottom"/>
          </w:tcPr>
          <w:p>
            <w:pPr>
              <w:spacing w:after="0"/>
              <w:rPr>
                <w:sz w:val="1"/>
                <w:szCs w:val="1"/>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2002...................................................</w:t>
            </w:r>
          </w:p>
        </w:tc>
        <w:tc>
          <w:tcPr>
            <w:tcW w:w="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Consolidated Statements of Operations for the years ended</w:t>
            </w:r>
          </w:p>
        </w:tc>
        <w:tc>
          <w:tcPr>
            <w:tcW w:w="5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F-4</w:t>
            </w:r>
          </w:p>
        </w:tc>
        <w:tc>
          <w:tcPr>
            <w:tcW w:w="0" w:type="dxa"/>
            <w:vAlign w:val="bottom"/>
          </w:tcPr>
          <w:p>
            <w:pPr>
              <w:spacing w:after="0"/>
              <w:rPr>
                <w:sz w:val="1"/>
                <w:szCs w:val="1"/>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September 30, 2003, 2002 and 2001......................</w:t>
            </w:r>
          </w:p>
        </w:tc>
        <w:tc>
          <w:tcPr>
            <w:tcW w:w="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Consolidated Statements of Changes in Shareholders' Equity</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for the years ended September 30, 2003, 2002 and</w:t>
            </w:r>
          </w:p>
        </w:tc>
        <w:tc>
          <w:tcPr>
            <w:tcW w:w="5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F-5</w:t>
            </w:r>
          </w:p>
        </w:tc>
        <w:tc>
          <w:tcPr>
            <w:tcW w:w="0" w:type="dxa"/>
            <w:vAlign w:val="bottom"/>
          </w:tcPr>
          <w:p>
            <w:pPr>
              <w:spacing w:after="0"/>
              <w:rPr>
                <w:sz w:val="1"/>
                <w:szCs w:val="1"/>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2001...................................................</w:t>
            </w:r>
          </w:p>
        </w:tc>
        <w:tc>
          <w:tcPr>
            <w:tcW w:w="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Consolidated Statements of Cash Flows for the years ended</w:t>
            </w:r>
          </w:p>
        </w:tc>
        <w:tc>
          <w:tcPr>
            <w:tcW w:w="5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F-6</w:t>
            </w:r>
          </w:p>
        </w:tc>
        <w:tc>
          <w:tcPr>
            <w:tcW w:w="0" w:type="dxa"/>
            <w:vAlign w:val="bottom"/>
          </w:tcPr>
          <w:p>
            <w:pPr>
              <w:spacing w:after="0"/>
              <w:rPr>
                <w:sz w:val="1"/>
                <w:szCs w:val="1"/>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September 30, 2003, 2002 and 2001......................</w:t>
            </w:r>
          </w:p>
        </w:tc>
        <w:tc>
          <w:tcPr>
            <w:tcW w:w="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64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Notes to Consolidated Financial Statements................</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F-8</w:t>
            </w:r>
          </w:p>
        </w:tc>
        <w:tc>
          <w:tcPr>
            <w:tcW w:w="0" w:type="dxa"/>
            <w:vAlign w:val="bottom"/>
          </w:tcPr>
          <w:p>
            <w:pPr>
              <w:spacing w:after="0"/>
              <w:rPr>
                <w:sz w:val="1"/>
                <w:szCs w:val="1"/>
                <w:color w:val="auto"/>
              </w:rPr>
            </w:pPr>
          </w:p>
        </w:tc>
      </w:tr>
      <w:tr>
        <w:trPr>
          <w:trHeight w:val="311"/>
        </w:trPr>
        <w:tc>
          <w:tcPr>
            <w:tcW w:w="6440" w:type="dxa"/>
            <w:vAlign w:val="bottom"/>
          </w:tcPr>
          <w:p>
            <w:pPr>
              <w:spacing w:after="0"/>
              <w:rPr>
                <w:sz w:val="20"/>
                <w:szCs w:val="20"/>
                <w:color w:val="auto"/>
              </w:rPr>
            </w:pPr>
            <w:r>
              <w:rPr>
                <w:rFonts w:ascii="Courier New" w:cs="Courier New" w:eastAsia="Courier New" w:hAnsi="Courier New"/>
                <w:sz w:val="18"/>
                <w:szCs w:val="18"/>
                <w:color w:val="auto"/>
              </w:rPr>
              <w:t>FINANCIAL STATEMENT SCHEDULE</w:t>
            </w:r>
          </w:p>
        </w:tc>
        <w:tc>
          <w:tcPr>
            <w:tcW w:w="5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F-39</w:t>
            </w:r>
          </w:p>
        </w:tc>
        <w:tc>
          <w:tcPr>
            <w:tcW w:w="0" w:type="dxa"/>
            <w:vAlign w:val="bottom"/>
          </w:tcPr>
          <w:p>
            <w:pPr>
              <w:spacing w:after="0"/>
              <w:rPr>
                <w:sz w:val="1"/>
                <w:szCs w:val="1"/>
                <w:color w:val="auto"/>
              </w:rPr>
            </w:pPr>
          </w:p>
        </w:tc>
      </w:tr>
      <w:tr>
        <w:trPr>
          <w:trHeight w:val="296"/>
        </w:trPr>
        <w:tc>
          <w:tcPr>
            <w:tcW w:w="64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Valuation and Qualifying Accounts.........................</w:t>
            </w:r>
          </w:p>
        </w:tc>
        <w:tc>
          <w:tcPr>
            <w:tcW w:w="5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6440" w:type="dxa"/>
            <w:vAlign w:val="bottom"/>
          </w:tcPr>
          <w:p>
            <w:pPr>
              <w:jc w:val="right"/>
              <w:ind w:right="2332"/>
              <w:spacing w:after="0"/>
              <w:rPr>
                <w:sz w:val="20"/>
                <w:szCs w:val="20"/>
                <w:color w:val="auto"/>
              </w:rPr>
            </w:pPr>
            <w:r>
              <w:rPr>
                <w:rFonts w:ascii="Courier New" w:cs="Courier New" w:eastAsia="Courier New" w:hAnsi="Courier New"/>
                <w:sz w:val="18"/>
                <w:szCs w:val="18"/>
                <w:color w:val="auto"/>
              </w:rPr>
              <w:t>CERTEN INC.</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6440" w:type="dxa"/>
            <w:vAlign w:val="bottom"/>
          </w:tcPr>
          <w:p>
            <w:pPr>
              <w:spacing w:after="0"/>
              <w:rPr>
                <w:sz w:val="20"/>
                <w:szCs w:val="20"/>
                <w:color w:val="auto"/>
              </w:rPr>
            </w:pPr>
            <w:r>
              <w:rPr>
                <w:rFonts w:ascii="Courier New" w:cs="Courier New" w:eastAsia="Courier New" w:hAnsi="Courier New"/>
                <w:sz w:val="18"/>
                <w:szCs w:val="18"/>
                <w:color w:val="auto"/>
              </w:rPr>
              <w:t>AUDITED FINANCIAL STATEMENTS OF CERTEN INC.</w:t>
            </w:r>
          </w:p>
        </w:tc>
        <w:tc>
          <w:tcPr>
            <w:tcW w:w="5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F-40</w:t>
            </w:r>
          </w:p>
        </w:tc>
        <w:tc>
          <w:tcPr>
            <w:tcW w:w="0" w:type="dxa"/>
            <w:vAlign w:val="bottom"/>
          </w:tcPr>
          <w:p>
            <w:pPr>
              <w:spacing w:after="0"/>
              <w:rPr>
                <w:sz w:val="1"/>
                <w:szCs w:val="1"/>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Independent Auditors' Report..............................</w:t>
            </w:r>
          </w:p>
        </w:tc>
        <w:tc>
          <w:tcPr>
            <w:tcW w:w="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Statement of Operations and Retained Earnings for the</w:t>
            </w:r>
          </w:p>
        </w:tc>
        <w:tc>
          <w:tcPr>
            <w:tcW w:w="5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F-41</w:t>
            </w:r>
          </w:p>
        </w:tc>
        <w:tc>
          <w:tcPr>
            <w:tcW w:w="0" w:type="dxa"/>
            <w:vAlign w:val="bottom"/>
          </w:tcPr>
          <w:p>
            <w:pPr>
              <w:spacing w:after="0"/>
              <w:rPr>
                <w:sz w:val="1"/>
                <w:szCs w:val="1"/>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twelve months ended December 31, 2002..................</w:t>
            </w:r>
          </w:p>
        </w:tc>
        <w:tc>
          <w:tcPr>
            <w:tcW w:w="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Balance Sheet as at December 31, 2002.....................</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F-42</w:t>
            </w:r>
          </w:p>
        </w:tc>
        <w:tc>
          <w:tcPr>
            <w:tcW w:w="0" w:type="dxa"/>
            <w:vAlign w:val="bottom"/>
          </w:tcPr>
          <w:p>
            <w:pPr>
              <w:spacing w:after="0"/>
              <w:rPr>
                <w:sz w:val="1"/>
                <w:szCs w:val="1"/>
                <w:color w:val="auto"/>
              </w:rPr>
            </w:pP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Statement of Cash Flows for the year ended December 31,</w:t>
            </w:r>
          </w:p>
        </w:tc>
        <w:tc>
          <w:tcPr>
            <w:tcW w:w="5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F-43</w:t>
            </w:r>
          </w:p>
        </w:tc>
        <w:tc>
          <w:tcPr>
            <w:tcW w:w="0" w:type="dxa"/>
            <w:vAlign w:val="bottom"/>
          </w:tcPr>
          <w:p>
            <w:pPr>
              <w:spacing w:after="0"/>
              <w:rPr>
                <w:sz w:val="1"/>
                <w:szCs w:val="1"/>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2002...................................................</w:t>
            </w:r>
          </w:p>
        </w:tc>
        <w:tc>
          <w:tcPr>
            <w:tcW w:w="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64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Notes to Financial Statements.............................</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F-44</w:t>
            </w:r>
          </w:p>
        </w:tc>
        <w:tc>
          <w:tcPr>
            <w:tcW w:w="0" w:type="dxa"/>
            <w:vAlign w:val="bottom"/>
          </w:tcPr>
          <w:p>
            <w:pPr>
              <w:spacing w:after="0"/>
              <w:rPr>
                <w:sz w:val="1"/>
                <w:szCs w:val="1"/>
                <w:color w:val="auto"/>
              </w:rPr>
            </w:pPr>
          </w:p>
        </w:tc>
      </w:tr>
      <w:tr>
        <w:trPr>
          <w:trHeight w:val="311"/>
        </w:trPr>
        <w:tc>
          <w:tcPr>
            <w:tcW w:w="6440" w:type="dxa"/>
            <w:vAlign w:val="bottom"/>
          </w:tcPr>
          <w:p>
            <w:pPr>
              <w:spacing w:after="0"/>
              <w:rPr>
                <w:sz w:val="20"/>
                <w:szCs w:val="20"/>
                <w:color w:val="auto"/>
              </w:rPr>
            </w:pPr>
            <w:r>
              <w:rPr>
                <w:rFonts w:ascii="Courier New" w:cs="Courier New" w:eastAsia="Courier New" w:hAnsi="Courier New"/>
                <w:sz w:val="18"/>
                <w:szCs w:val="18"/>
                <w:color w:val="auto"/>
              </w:rPr>
              <w:t>UNAUDITED FINANCIAL STATEMENTS OF CERTEN INC.</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Unaudited Statement of Operations and Retained Earnings</w:t>
            </w:r>
          </w:p>
        </w:tc>
        <w:tc>
          <w:tcPr>
            <w:tcW w:w="5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F-55</w:t>
            </w:r>
          </w:p>
        </w:tc>
        <w:tc>
          <w:tcPr>
            <w:tcW w:w="0" w:type="dxa"/>
            <w:vAlign w:val="bottom"/>
          </w:tcPr>
          <w:p>
            <w:pPr>
              <w:spacing w:after="0"/>
              <w:rPr>
                <w:sz w:val="1"/>
                <w:szCs w:val="1"/>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for the six months ended June 30, 2003.................</w:t>
            </w:r>
          </w:p>
        </w:tc>
        <w:tc>
          <w:tcPr>
            <w:tcW w:w="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Unaudited Balance Sheet as at June 30, 2003...............</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F-56</w:t>
            </w:r>
          </w:p>
        </w:tc>
        <w:tc>
          <w:tcPr>
            <w:tcW w:w="0" w:type="dxa"/>
            <w:vAlign w:val="bottom"/>
          </w:tcPr>
          <w:p>
            <w:pPr>
              <w:spacing w:after="0"/>
              <w:rPr>
                <w:sz w:val="1"/>
                <w:szCs w:val="1"/>
                <w:color w:val="auto"/>
              </w:rPr>
            </w:pP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Unaudited Statement of Cash Flows for the year ended June</w:t>
            </w:r>
          </w:p>
        </w:tc>
        <w:tc>
          <w:tcPr>
            <w:tcW w:w="5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F-57</w:t>
            </w:r>
          </w:p>
        </w:tc>
        <w:tc>
          <w:tcPr>
            <w:tcW w:w="0" w:type="dxa"/>
            <w:vAlign w:val="bottom"/>
          </w:tcPr>
          <w:p>
            <w:pPr>
              <w:spacing w:after="0"/>
              <w:rPr>
                <w:sz w:val="1"/>
                <w:szCs w:val="1"/>
                <w:color w:val="auto"/>
              </w:rPr>
            </w:pPr>
          </w:p>
        </w:tc>
      </w:tr>
      <w:tr>
        <w:trPr>
          <w:trHeight w:val="296"/>
        </w:trPr>
        <w:tc>
          <w:tcPr>
            <w:tcW w:w="64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30, 2003...............................................</w:t>
            </w:r>
          </w:p>
        </w:tc>
        <w:tc>
          <w:tcPr>
            <w:tcW w:w="5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6440" w:type="dxa"/>
            <w:vAlign w:val="bottom"/>
          </w:tcPr>
          <w:p>
            <w:pPr>
              <w:jc w:val="right"/>
              <w:ind w:right="1912"/>
              <w:spacing w:after="0"/>
              <w:rPr>
                <w:sz w:val="20"/>
                <w:szCs w:val="20"/>
                <w:color w:val="auto"/>
              </w:rPr>
            </w:pPr>
            <w:r>
              <w:rPr>
                <w:rFonts w:ascii="Courier New" w:cs="Courier New" w:eastAsia="Courier New" w:hAnsi="Courier New"/>
                <w:sz w:val="18"/>
                <w:szCs w:val="18"/>
                <w:color w:val="auto"/>
              </w:rPr>
              <w:t>F-1</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691" w:right="1440" w:bottom="1440" w:gutter="0" w:footer="0" w:header="0"/>
        </w:sectPr>
      </w:pPr>
    </w:p>
    <w:bookmarkStart w:id="76" w:name="page77"/>
    <w:bookmarkEnd w:id="76"/>
    <w:p>
      <w:pPr>
        <w:ind w:left="2640"/>
        <w:spacing w:after="0"/>
        <w:rPr>
          <w:sz w:val="20"/>
          <w:szCs w:val="20"/>
          <w:color w:val="auto"/>
        </w:rPr>
      </w:pPr>
      <w:r>
        <w:rPr>
          <w:rFonts w:ascii="Courier New" w:cs="Courier New" w:eastAsia="Courier New" w:hAnsi="Courier New"/>
          <w:sz w:val="18"/>
          <w:szCs w:val="18"/>
          <w:color w:val="auto"/>
        </w:rPr>
        <w:t>REPORT OF INDEPENDENT AUDITORS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the Board of Directors and the Shareholders Amdocs Limited</w:t>
      </w:r>
    </w:p>
    <w:p>
      <w:pPr>
        <w:spacing w:after="0" w:line="201" w:lineRule="exact"/>
        <w:rPr>
          <w:sz w:val="20"/>
          <w:szCs w:val="20"/>
          <w:color w:val="auto"/>
        </w:rPr>
      </w:pPr>
    </w:p>
    <w:p>
      <w:pPr>
        <w:ind w:right="1779" w:firstLine="527"/>
        <w:spacing w:after="0" w:line="276" w:lineRule="auto"/>
        <w:rPr>
          <w:sz w:val="20"/>
          <w:szCs w:val="20"/>
          <w:color w:val="auto"/>
        </w:rPr>
      </w:pPr>
      <w:r>
        <w:rPr>
          <w:rFonts w:ascii="Courier New" w:cs="Courier New" w:eastAsia="Courier New" w:hAnsi="Courier New"/>
          <w:sz w:val="16"/>
          <w:szCs w:val="16"/>
          <w:color w:val="auto"/>
        </w:rPr>
        <w:t>We have audited the accompanying consolidated balance sheets of Amdocs Limited as of September 30, 2003 and 2002, and the related consolidated statements of operations, changes in shareholders' equity, and cash flows for each of the three years in the period ended September 30, 2003. Our audits also included the financial statement schedule listed in the Index at Item 18 of Part</w:t>
      </w:r>
    </w:p>
    <w:p>
      <w:pPr>
        <w:spacing w:after="0" w:line="3" w:lineRule="exact"/>
        <w:rPr>
          <w:sz w:val="20"/>
          <w:szCs w:val="20"/>
          <w:color w:val="auto"/>
        </w:rPr>
      </w:pPr>
    </w:p>
    <w:p>
      <w:pPr>
        <w:ind w:right="1879" w:firstLine="8"/>
        <w:spacing w:after="0" w:line="273" w:lineRule="auto"/>
        <w:tabs>
          <w:tab w:leader="none" w:pos="527"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These financial statements and financial statement schedule are the responsibility of the Company's management. Our responsibility is to express an opinion on these financial statements based on our audits.</w:t>
      </w:r>
    </w:p>
    <w:p>
      <w:pPr>
        <w:spacing w:after="0" w:line="82" w:lineRule="exact"/>
        <w:rPr>
          <w:sz w:val="20"/>
          <w:szCs w:val="20"/>
          <w:color w:val="auto"/>
        </w:rPr>
      </w:pPr>
    </w:p>
    <w:p>
      <w:pPr>
        <w:ind w:right="1779" w:firstLine="527"/>
        <w:spacing w:after="0" w:line="252" w:lineRule="auto"/>
        <w:rPr>
          <w:sz w:val="20"/>
          <w:szCs w:val="20"/>
          <w:color w:val="auto"/>
        </w:rPr>
      </w:pPr>
      <w:r>
        <w:rPr>
          <w:rFonts w:ascii="Courier New" w:cs="Courier New" w:eastAsia="Courier New" w:hAnsi="Courier New"/>
          <w:sz w:val="18"/>
          <w:szCs w:val="18"/>
          <w:color w:val="auto"/>
        </w:rPr>
        <w:t>We conducted our audits in accordance with auditing standards generally accepted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99" w:lineRule="exact"/>
        <w:rPr>
          <w:sz w:val="20"/>
          <w:szCs w:val="20"/>
          <w:color w:val="auto"/>
        </w:rPr>
      </w:pPr>
    </w:p>
    <w:p>
      <w:pPr>
        <w:ind w:right="1779" w:firstLine="527"/>
        <w:spacing w:after="0" w:line="252" w:lineRule="auto"/>
        <w:rPr>
          <w:sz w:val="20"/>
          <w:szCs w:val="20"/>
          <w:color w:val="auto"/>
        </w:rPr>
      </w:pPr>
      <w:r>
        <w:rPr>
          <w:rFonts w:ascii="Courier New" w:cs="Courier New" w:eastAsia="Courier New" w:hAnsi="Courier New"/>
          <w:sz w:val="18"/>
          <w:szCs w:val="18"/>
          <w:color w:val="auto"/>
        </w:rPr>
        <w:t>In our opinion, the financial statements referred to above present fairly, in all material respects, the consolidated financial position of Amdocs Limited at September 30, 2003 and 2002, and the consolidated results of its operations and its cash flows for each of the three years in the period ended September 30, 2003, in conformity with accounting principles generally accepted in the United States. Also, in our opinion, the related financial statement schedule, when considered in relation to the basic consolidated financial statements taken as a whole, presents fairly in all material respects the information set forth herein.</w:t>
      </w:r>
    </w:p>
    <w:p>
      <w:pPr>
        <w:spacing w:after="0" w:line="99" w:lineRule="exact"/>
        <w:rPr>
          <w:sz w:val="20"/>
          <w:szCs w:val="20"/>
          <w:color w:val="auto"/>
        </w:rPr>
      </w:pPr>
    </w:p>
    <w:p>
      <w:pPr>
        <w:ind w:right="2199" w:firstLine="527"/>
        <w:spacing w:after="0" w:line="274" w:lineRule="auto"/>
        <w:rPr>
          <w:sz w:val="20"/>
          <w:szCs w:val="20"/>
          <w:color w:val="auto"/>
        </w:rPr>
      </w:pPr>
      <w:r>
        <w:rPr>
          <w:rFonts w:ascii="Courier New" w:cs="Courier New" w:eastAsia="Courier New" w:hAnsi="Courier New"/>
          <w:sz w:val="18"/>
          <w:szCs w:val="18"/>
          <w:color w:val="auto"/>
        </w:rPr>
        <w:t>As discussed in Note 2 to the accompanying consolidated financial statements, effective October 1, 2002, the Company adopted the provisions of Statement of Financial Accounting Standards No. 142, Goodwill and Other Intangible Assets.</w:t>
      </w:r>
    </w:p>
    <w:p>
      <w:pPr>
        <w:spacing w:after="0" w:line="82"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/s/ ERNST &amp; YOUNG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October 30, 2003</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w:t>
      </w:r>
    </w:p>
    <w:p>
      <w:pPr>
        <w:spacing w:after="0" w:line="16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F-2</w:t>
      </w:r>
    </w:p>
    <w:p>
      <w:pPr>
        <w:sectPr>
          <w:pgSz w:w="11900" w:h="16838" w:orient="portrait"/>
          <w:cols w:equalWidth="0" w:num="1">
            <w:col w:w="10219"/>
          </w:cols>
          <w:pgMar w:left="240" w:top="690" w:right="1440"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96"/>
        </w:trPr>
        <w:tc>
          <w:tcPr>
            <w:tcW w:w="2480" w:type="dxa"/>
            <w:vAlign w:val="bottom"/>
          </w:tcPr>
          <w:p>
            <w:pPr>
              <w:spacing w:after="0"/>
              <w:rPr>
                <w:sz w:val="24"/>
                <w:szCs w:val="24"/>
                <w:color w:val="auto"/>
              </w:rPr>
            </w:pPr>
          </w:p>
        </w:tc>
        <w:tc>
          <w:tcPr>
            <w:tcW w:w="2540" w:type="dxa"/>
            <w:vAlign w:val="bottom"/>
          </w:tcPr>
          <w:p>
            <w:pPr>
              <w:jc w:val="right"/>
              <w:spacing w:after="0"/>
              <w:rPr>
                <w:sz w:val="20"/>
                <w:szCs w:val="20"/>
                <w:color w:val="auto"/>
              </w:rPr>
            </w:pPr>
            <w:r>
              <w:rPr>
                <w:rFonts w:ascii="Courier New" w:cs="Courier New" w:eastAsia="Courier New" w:hAnsi="Courier New"/>
                <w:sz w:val="18"/>
                <w:szCs w:val="18"/>
                <w:color w:val="auto"/>
              </w:rPr>
              <w:t>AMDOCS LIMITED</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480" w:type="dxa"/>
            <w:vAlign w:val="bottom"/>
          </w:tcPr>
          <w:p>
            <w:pPr>
              <w:spacing w:after="0"/>
              <w:rPr>
                <w:sz w:val="24"/>
                <w:szCs w:val="24"/>
                <w:color w:val="auto"/>
              </w:rPr>
            </w:pPr>
          </w:p>
        </w:tc>
        <w:tc>
          <w:tcPr>
            <w:tcW w:w="364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CONSOLIDATED BALANCE SHEETS</w:t>
            </w:r>
          </w:p>
        </w:tc>
        <w:tc>
          <w:tcPr>
            <w:tcW w:w="0" w:type="dxa"/>
            <w:vAlign w:val="bottom"/>
          </w:tcPr>
          <w:p>
            <w:pPr>
              <w:spacing w:after="0"/>
              <w:rPr>
                <w:sz w:val="1"/>
                <w:szCs w:val="1"/>
                <w:color w:val="auto"/>
              </w:rPr>
            </w:pPr>
          </w:p>
        </w:tc>
      </w:tr>
      <w:tr>
        <w:trPr>
          <w:trHeight w:val="296"/>
        </w:trPr>
        <w:tc>
          <w:tcPr>
            <w:tcW w:w="612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(IN THOUSANDS, EXCEPT PER SHARE DATA)</w:t>
            </w:r>
          </w:p>
        </w:tc>
        <w:tc>
          <w:tcPr>
            <w:tcW w:w="0" w:type="dxa"/>
            <w:vAlign w:val="bottom"/>
          </w:tcPr>
          <w:p>
            <w:pPr>
              <w:spacing w:after="0"/>
              <w:rPr>
                <w:sz w:val="1"/>
                <w:szCs w:val="1"/>
                <w:color w:val="auto"/>
              </w:rPr>
            </w:pPr>
          </w:p>
        </w:tc>
      </w:tr>
      <w:tr>
        <w:trPr>
          <w:trHeight w:val="311"/>
        </w:trPr>
        <w:tc>
          <w:tcPr>
            <w:tcW w:w="612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AS OF SEPTEMBER 30, ----------------------------</w:t>
            </w:r>
          </w:p>
        </w:tc>
        <w:tc>
          <w:tcPr>
            <w:tcW w:w="0" w:type="dxa"/>
            <w:vAlign w:val="bottom"/>
          </w:tcPr>
          <w:p>
            <w:pPr>
              <w:spacing w:after="0"/>
              <w:rPr>
                <w:sz w:val="1"/>
                <w:szCs w:val="1"/>
                <w:color w:val="auto"/>
              </w:rPr>
            </w:pPr>
          </w:p>
        </w:tc>
      </w:tr>
      <w:tr>
        <w:trPr>
          <w:trHeight w:val="203"/>
        </w:trPr>
        <w:tc>
          <w:tcPr>
            <w:tcW w:w="2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- 2003 2002 ----------</w:t>
            </w:r>
          </w:p>
        </w:tc>
        <w:tc>
          <w:tcPr>
            <w:tcW w:w="3640" w:type="dxa"/>
            <w:vAlign w:val="bottom"/>
            <w:gridSpan w:val="2"/>
          </w:tcPr>
          <w:p>
            <w:pPr>
              <w:jc w:val="right"/>
              <w:ind w:right="912"/>
              <w:spacing w:after="0" w:line="203" w:lineRule="exact"/>
              <w:rPr>
                <w:sz w:val="20"/>
                <w:szCs w:val="20"/>
                <w:color w:val="auto"/>
              </w:rPr>
            </w:pPr>
            <w:r>
              <w:rPr>
                <w:rFonts w:ascii="Courier New" w:cs="Courier New" w:eastAsia="Courier New" w:hAnsi="Courier New"/>
                <w:sz w:val="18"/>
                <w:szCs w:val="18"/>
                <w:color w:val="auto"/>
                <w:w w:val="97"/>
              </w:rPr>
              <w:t>---------- ASSETS CURRENT</w:t>
            </w:r>
          </w:p>
        </w:tc>
        <w:tc>
          <w:tcPr>
            <w:tcW w:w="0" w:type="dxa"/>
            <w:vAlign w:val="bottom"/>
          </w:tcPr>
          <w:p>
            <w:pPr>
              <w:spacing w:after="0"/>
              <w:rPr>
                <w:sz w:val="1"/>
                <w:szCs w:val="1"/>
                <w:color w:val="auto"/>
              </w:rPr>
            </w:pPr>
          </w:p>
        </w:tc>
      </w:tr>
      <w:tr>
        <w:trPr>
          <w:trHeight w:val="203"/>
        </w:trPr>
        <w:tc>
          <w:tcPr>
            <w:tcW w:w="5020" w:type="dxa"/>
            <w:vAlign w:val="bottom"/>
            <w:gridSpan w:val="2"/>
          </w:tcPr>
          <w:p>
            <w:pPr>
              <w:jc w:val="center"/>
              <w:ind w:left="75"/>
              <w:spacing w:after="0" w:line="203" w:lineRule="exact"/>
              <w:rPr>
                <w:sz w:val="20"/>
                <w:szCs w:val="20"/>
                <w:color w:val="auto"/>
              </w:rPr>
            </w:pPr>
            <w:r>
              <w:rPr>
                <w:rFonts w:ascii="Courier New" w:cs="Courier New" w:eastAsia="Courier New" w:hAnsi="Courier New"/>
                <w:sz w:val="18"/>
                <w:szCs w:val="18"/>
                <w:color w:val="auto"/>
                <w:w w:val="97"/>
              </w:rPr>
              <w:t>ASSETS: Cash and cash</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jc w:val="right"/>
              <w:spacing w:after="0"/>
              <w:rPr>
                <w:sz w:val="20"/>
                <w:szCs w:val="20"/>
                <w:color w:val="auto"/>
              </w:rPr>
            </w:pPr>
            <w:r>
              <w:rPr>
                <w:rFonts w:ascii="Courier New" w:cs="Courier New" w:eastAsia="Courier New" w:hAnsi="Courier New"/>
                <w:sz w:val="13"/>
                <w:szCs w:val="13"/>
                <w:color w:val="auto"/>
                <w:w w:val="71"/>
              </w:rPr>
              <w:t>equivalents.................................</w:t>
            </w:r>
          </w:p>
        </w:tc>
        <w:tc>
          <w:tcPr>
            <w:tcW w:w="2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gridSpan w:val="2"/>
          </w:tcPr>
          <w:p>
            <w:pPr>
              <w:jc w:val="center"/>
              <w:ind w:left="75"/>
              <w:spacing w:after="0" w:line="203" w:lineRule="exact"/>
              <w:rPr>
                <w:sz w:val="20"/>
                <w:szCs w:val="20"/>
                <w:color w:val="auto"/>
              </w:rPr>
            </w:pPr>
            <w:r>
              <w:rPr>
                <w:rFonts w:ascii="Courier New" w:cs="Courier New" w:eastAsia="Courier New" w:hAnsi="Courier New"/>
                <w:sz w:val="18"/>
                <w:szCs w:val="18"/>
                <w:color w:val="auto"/>
                <w:w w:val="97"/>
              </w:rPr>
              <w:t>847,600 $ 466,655 Short-term interest-bearing</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5"/>
              </w:rPr>
              <w:t>investments...................</w:t>
            </w:r>
          </w:p>
        </w:tc>
        <w:tc>
          <w:tcPr>
            <w:tcW w:w="2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443,292 581,164</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gridSpan w:val="2"/>
          </w:tcPr>
          <w:p>
            <w:pPr>
              <w:jc w:val="center"/>
              <w:ind w:left="75"/>
              <w:spacing w:after="0" w:line="203" w:lineRule="exact"/>
              <w:rPr>
                <w:sz w:val="20"/>
                <w:szCs w:val="20"/>
                <w:color w:val="auto"/>
              </w:rPr>
            </w:pPr>
            <w:r>
              <w:rPr>
                <w:rFonts w:ascii="Courier New" w:cs="Courier New" w:eastAsia="Courier New" w:hAnsi="Courier New"/>
                <w:sz w:val="18"/>
                <w:szCs w:val="18"/>
                <w:color w:val="auto"/>
                <w:w w:val="97"/>
              </w:rPr>
              <w:t>Accounts receivable,</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jc w:val="right"/>
              <w:spacing w:after="0"/>
              <w:rPr>
                <w:sz w:val="20"/>
                <w:szCs w:val="20"/>
                <w:color w:val="auto"/>
              </w:rPr>
            </w:pPr>
            <w:r>
              <w:rPr>
                <w:rFonts w:ascii="Courier New" w:cs="Courier New" w:eastAsia="Courier New" w:hAnsi="Courier New"/>
                <w:sz w:val="15"/>
                <w:szCs w:val="15"/>
                <w:color w:val="auto"/>
                <w:w w:val="73"/>
              </w:rPr>
              <w:t>net(*)...............................</w:t>
            </w:r>
          </w:p>
        </w:tc>
        <w:tc>
          <w:tcPr>
            <w:tcW w:w="2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198,274</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gridSpan w:val="2"/>
          </w:tcPr>
          <w:p>
            <w:pPr>
              <w:jc w:val="center"/>
              <w:ind w:left="75"/>
              <w:spacing w:after="0" w:line="203" w:lineRule="exact"/>
              <w:rPr>
                <w:sz w:val="20"/>
                <w:szCs w:val="20"/>
                <w:color w:val="auto"/>
              </w:rPr>
            </w:pPr>
            <w:r>
              <w:rPr>
                <w:rFonts w:ascii="Courier New" w:cs="Courier New" w:eastAsia="Courier New" w:hAnsi="Courier New"/>
                <w:sz w:val="18"/>
                <w:szCs w:val="18"/>
                <w:color w:val="auto"/>
                <w:w w:val="97"/>
              </w:rPr>
              <w:t>312,732 Deferred income taxes and taxes</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7"/>
              </w:rPr>
              <w:t>receivable................</w:t>
            </w:r>
          </w:p>
        </w:tc>
        <w:tc>
          <w:tcPr>
            <w:tcW w:w="3640" w:type="dxa"/>
            <w:vAlign w:val="bottom"/>
            <w:gridSpan w:val="2"/>
          </w:tcPr>
          <w:p>
            <w:pPr>
              <w:jc w:val="right"/>
              <w:ind w:right="912"/>
              <w:spacing w:after="0" w:line="203" w:lineRule="exact"/>
              <w:rPr>
                <w:sz w:val="20"/>
                <w:szCs w:val="20"/>
                <w:color w:val="auto"/>
              </w:rPr>
            </w:pPr>
            <w:r>
              <w:rPr>
                <w:rFonts w:ascii="Courier New" w:cs="Courier New" w:eastAsia="Courier New" w:hAnsi="Courier New"/>
                <w:sz w:val="18"/>
                <w:szCs w:val="18"/>
                <w:color w:val="auto"/>
              </w:rPr>
              <w:t>60,868 48,154 Prepaid</w:t>
            </w:r>
          </w:p>
        </w:tc>
        <w:tc>
          <w:tcPr>
            <w:tcW w:w="0" w:type="dxa"/>
            <w:vAlign w:val="bottom"/>
          </w:tcPr>
          <w:p>
            <w:pPr>
              <w:spacing w:after="0"/>
              <w:rPr>
                <w:sz w:val="1"/>
                <w:szCs w:val="1"/>
                <w:color w:val="auto"/>
              </w:rPr>
            </w:pPr>
          </w:p>
        </w:tc>
      </w:tr>
      <w:tr>
        <w:trPr>
          <w:trHeight w:val="203"/>
        </w:trPr>
        <w:tc>
          <w:tcPr>
            <w:tcW w:w="5020" w:type="dxa"/>
            <w:vAlign w:val="bottom"/>
            <w:gridSpan w:val="2"/>
          </w:tcPr>
          <w:p>
            <w:pPr>
              <w:jc w:val="center"/>
              <w:ind w:left="75"/>
              <w:spacing w:after="0" w:line="203" w:lineRule="exact"/>
              <w:rPr>
                <w:sz w:val="20"/>
                <w:szCs w:val="20"/>
                <w:color w:val="auto"/>
              </w:rPr>
            </w:pPr>
            <w:r>
              <w:rPr>
                <w:rFonts w:ascii="Courier New" w:cs="Courier New" w:eastAsia="Courier New" w:hAnsi="Courier New"/>
                <w:sz w:val="18"/>
                <w:szCs w:val="18"/>
                <w:color w:val="auto"/>
                <w:w w:val="97"/>
              </w:rPr>
              <w:t>expenses and other current</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assets(*)..............</w:t>
            </w:r>
          </w:p>
        </w:tc>
        <w:tc>
          <w:tcPr>
            <w:tcW w:w="3640" w:type="dxa"/>
            <w:vAlign w:val="bottom"/>
            <w:gridSpan w:val="2"/>
          </w:tcPr>
          <w:p>
            <w:pPr>
              <w:jc w:val="right"/>
              <w:ind w:right="912"/>
              <w:spacing w:after="0" w:line="203" w:lineRule="exact"/>
              <w:rPr>
                <w:sz w:val="20"/>
                <w:szCs w:val="20"/>
                <w:color w:val="auto"/>
              </w:rPr>
            </w:pPr>
            <w:r>
              <w:rPr>
                <w:rFonts w:ascii="Courier New" w:cs="Courier New" w:eastAsia="Courier New" w:hAnsi="Courier New"/>
                <w:sz w:val="18"/>
                <w:szCs w:val="18"/>
                <w:color w:val="auto"/>
              </w:rPr>
              <w:t>85,902 72,196 ----------</w:t>
            </w:r>
          </w:p>
        </w:tc>
        <w:tc>
          <w:tcPr>
            <w:tcW w:w="0" w:type="dxa"/>
            <w:vAlign w:val="bottom"/>
          </w:tcPr>
          <w:p>
            <w:pPr>
              <w:spacing w:after="0"/>
              <w:rPr>
                <w:sz w:val="1"/>
                <w:szCs w:val="1"/>
                <w:color w:val="auto"/>
              </w:rPr>
            </w:pPr>
          </w:p>
        </w:tc>
      </w:tr>
      <w:tr>
        <w:trPr>
          <w:trHeight w:val="203"/>
        </w:trPr>
        <w:tc>
          <w:tcPr>
            <w:tcW w:w="2480" w:type="dxa"/>
            <w:vAlign w:val="bottom"/>
            <w:vMerge w:val="restart"/>
          </w:tcPr>
          <w:p>
            <w:pPr>
              <w:jc w:val="right"/>
              <w:spacing w:after="0"/>
              <w:rPr>
                <w:sz w:val="20"/>
                <w:szCs w:val="20"/>
                <w:color w:val="auto"/>
              </w:rPr>
            </w:pPr>
            <w:r>
              <w:rPr>
                <w:rFonts w:ascii="Courier New" w:cs="Courier New" w:eastAsia="Courier New" w:hAnsi="Courier New"/>
                <w:sz w:val="12"/>
                <w:szCs w:val="12"/>
                <w:color w:val="auto"/>
                <w:w w:val="72"/>
              </w:rPr>
              <w:t>ASSETS..............................</w:t>
            </w:r>
            <w:r>
              <w:rPr>
                <w:rFonts w:ascii="Courier New" w:cs="Courier New" w:eastAsia="Courier New" w:hAnsi="Courier New"/>
                <w:sz w:val="20"/>
                <w:szCs w:val="20"/>
                <w:color w:val="auto"/>
                <w:w w:val="72"/>
                <w:vertAlign w:val="superscript"/>
              </w:rPr>
              <w:t>----------</w:t>
            </w:r>
          </w:p>
        </w:tc>
        <w:tc>
          <w:tcPr>
            <w:tcW w:w="254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w w:val="96"/>
              </w:rPr>
              <w:t>TOTAL CURRENT</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vMerge w:val="continue"/>
          </w:tcPr>
          <w:p>
            <w:pPr>
              <w:spacing w:after="0"/>
              <w:rPr>
                <w:sz w:val="17"/>
                <w:szCs w:val="17"/>
                <w:color w:val="auto"/>
              </w:rPr>
            </w:pPr>
          </w:p>
        </w:tc>
        <w:tc>
          <w:tcPr>
            <w:tcW w:w="2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1,635,936</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gridSpan w:val="2"/>
          </w:tcPr>
          <w:p>
            <w:pPr>
              <w:jc w:val="center"/>
              <w:ind w:left="75"/>
              <w:spacing w:after="0" w:line="203" w:lineRule="exact"/>
              <w:rPr>
                <w:sz w:val="20"/>
                <w:szCs w:val="20"/>
                <w:color w:val="auto"/>
              </w:rPr>
            </w:pPr>
            <w:r>
              <w:rPr>
                <w:rFonts w:ascii="Courier New" w:cs="Courier New" w:eastAsia="Courier New" w:hAnsi="Courier New"/>
                <w:sz w:val="18"/>
                <w:szCs w:val="18"/>
                <w:color w:val="auto"/>
                <w:w w:val="97"/>
              </w:rPr>
              <w:t>1,480,901 Equipment, vehicles and leasehold</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7"/>
              </w:rPr>
              <w:t>improvements, net.........</w:t>
            </w:r>
          </w:p>
        </w:tc>
        <w:tc>
          <w:tcPr>
            <w:tcW w:w="2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203,467 160,902</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gridSpan w:val="2"/>
          </w:tcPr>
          <w:p>
            <w:pPr>
              <w:jc w:val="center"/>
              <w:ind w:left="75"/>
              <w:spacing w:after="0" w:line="203" w:lineRule="exact"/>
              <w:rPr>
                <w:sz w:val="20"/>
                <w:szCs w:val="20"/>
                <w:color w:val="auto"/>
              </w:rPr>
            </w:pPr>
            <w:r>
              <w:rPr>
                <w:rFonts w:ascii="Courier New" w:cs="Courier New" w:eastAsia="Courier New" w:hAnsi="Courier New"/>
                <w:sz w:val="18"/>
                <w:szCs w:val="18"/>
                <w:color w:val="auto"/>
                <w:w w:val="97"/>
              </w:rPr>
              <w:t>Deferred income</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gridSpan w:val="2"/>
          </w:tcPr>
          <w:p>
            <w:pPr>
              <w:jc w:val="center"/>
              <w:ind w:left="55"/>
              <w:spacing w:after="0" w:line="203" w:lineRule="exact"/>
              <w:rPr>
                <w:sz w:val="20"/>
                <w:szCs w:val="20"/>
                <w:color w:val="auto"/>
              </w:rPr>
            </w:pPr>
            <w:r>
              <w:rPr>
                <w:rFonts w:ascii="Courier New" w:cs="Courier New" w:eastAsia="Courier New" w:hAnsi="Courier New"/>
                <w:sz w:val="18"/>
                <w:szCs w:val="18"/>
                <w:color w:val="auto"/>
                <w:w w:val="97"/>
              </w:rPr>
              <w:t>taxes.......................................</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gridSpan w:val="2"/>
          </w:tcPr>
          <w:p>
            <w:pPr>
              <w:jc w:val="center"/>
              <w:ind w:left="55"/>
              <w:spacing w:after="0" w:line="203" w:lineRule="exact"/>
              <w:rPr>
                <w:sz w:val="20"/>
                <w:szCs w:val="20"/>
                <w:color w:val="auto"/>
              </w:rPr>
            </w:pPr>
            <w:r>
              <w:rPr>
                <w:rFonts w:ascii="Courier New" w:cs="Courier New" w:eastAsia="Courier New" w:hAnsi="Courier New"/>
                <w:sz w:val="18"/>
                <w:szCs w:val="18"/>
                <w:color w:val="auto"/>
                <w:w w:val="97"/>
              </w:rPr>
              <w:t>105,943 37,582 Goodwill and other intangible</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5"/>
              </w:rPr>
              <w:t>assets, net...................</w:t>
            </w:r>
          </w:p>
        </w:tc>
        <w:tc>
          <w:tcPr>
            <w:tcW w:w="2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855,975 750,530</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gridSpan w:val="2"/>
          </w:tcPr>
          <w:p>
            <w:pPr>
              <w:jc w:val="center"/>
              <w:ind w:left="75"/>
              <w:spacing w:after="0" w:line="203" w:lineRule="exact"/>
              <w:rPr>
                <w:sz w:val="20"/>
                <w:szCs w:val="20"/>
                <w:color w:val="auto"/>
              </w:rPr>
            </w:pPr>
            <w:r>
              <w:rPr>
                <w:rFonts w:ascii="Courier New" w:cs="Courier New" w:eastAsia="Courier New" w:hAnsi="Courier New"/>
                <w:sz w:val="18"/>
                <w:szCs w:val="18"/>
                <w:color w:val="auto"/>
                <w:w w:val="98"/>
              </w:rPr>
              <w:t>Other noncurrent</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jc w:val="right"/>
              <w:spacing w:after="0"/>
              <w:rPr>
                <w:sz w:val="20"/>
                <w:szCs w:val="20"/>
                <w:color w:val="auto"/>
              </w:rPr>
            </w:pPr>
            <w:r>
              <w:rPr>
                <w:rFonts w:ascii="Courier New" w:cs="Courier New" w:eastAsia="Courier New" w:hAnsi="Courier New"/>
                <w:sz w:val="11"/>
                <w:szCs w:val="11"/>
                <w:color w:val="auto"/>
                <w:w w:val="70"/>
              </w:rPr>
              <w:t>assets(*)..................................</w:t>
            </w:r>
            <w:r>
              <w:rPr>
                <w:rFonts w:ascii="Courier New" w:cs="Courier New" w:eastAsia="Courier New" w:hAnsi="Courier New"/>
                <w:sz w:val="16"/>
                <w:szCs w:val="16"/>
                <w:color w:val="auto"/>
                <w:w w:val="70"/>
                <w:vertAlign w:val="subscript"/>
              </w:rPr>
              <w:t>----------</w:t>
            </w:r>
          </w:p>
        </w:tc>
        <w:tc>
          <w:tcPr>
            <w:tcW w:w="2540" w:type="dxa"/>
            <w:vAlign w:val="bottom"/>
            <w:vMerge w:val="restart"/>
          </w:tcPr>
          <w:p>
            <w:pPr>
              <w:ind w:left="640"/>
              <w:spacing w:after="0"/>
              <w:rPr>
                <w:sz w:val="20"/>
                <w:szCs w:val="20"/>
                <w:color w:val="auto"/>
              </w:rPr>
            </w:pPr>
            <w:r>
              <w:rPr>
                <w:rFonts w:ascii="Courier New" w:cs="Courier New" w:eastAsia="Courier New" w:hAnsi="Courier New"/>
                <w:sz w:val="18"/>
                <w:szCs w:val="18"/>
                <w:color w:val="auto"/>
              </w:rPr>
              <w:t>---------- TOTAL</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jc w:val="right"/>
              <w:ind w:right="535"/>
              <w:spacing w:after="0" w:line="203" w:lineRule="exact"/>
              <w:rPr>
                <w:sz w:val="20"/>
                <w:szCs w:val="20"/>
                <w:color w:val="auto"/>
              </w:rPr>
            </w:pPr>
            <w:r>
              <w:rPr>
                <w:rFonts w:ascii="Courier New" w:cs="Courier New" w:eastAsia="Courier New" w:hAnsi="Courier New"/>
                <w:sz w:val="18"/>
                <w:szCs w:val="18"/>
                <w:color w:val="auto"/>
              </w:rPr>
              <w:t>76,196 110,179</w:t>
            </w:r>
          </w:p>
        </w:tc>
        <w:tc>
          <w:tcPr>
            <w:tcW w:w="2540" w:type="dxa"/>
            <w:vAlign w:val="bottom"/>
            <w:vMerge w:val="continue"/>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gridSpan w:val="2"/>
          </w:tcPr>
          <w:p>
            <w:pPr>
              <w:jc w:val="center"/>
              <w:ind w:left="55"/>
              <w:spacing w:after="0" w:line="203" w:lineRule="exact"/>
              <w:rPr>
                <w:sz w:val="20"/>
                <w:szCs w:val="20"/>
                <w:color w:val="auto"/>
              </w:rPr>
            </w:pPr>
            <w:r>
              <w:rPr>
                <w:rFonts w:ascii="Courier New" w:cs="Courier New" w:eastAsia="Courier New" w:hAnsi="Courier New"/>
                <w:sz w:val="18"/>
                <w:szCs w:val="18"/>
                <w:color w:val="auto"/>
                <w:w w:val="97"/>
              </w:rPr>
              <w:t>ASSETS......................................</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gridSpan w:val="2"/>
          </w:tcPr>
          <w:p>
            <w:pPr>
              <w:jc w:val="center"/>
              <w:ind w:left="75"/>
              <w:spacing w:after="0" w:line="203" w:lineRule="exact"/>
              <w:rPr>
                <w:sz w:val="20"/>
                <w:szCs w:val="20"/>
                <w:color w:val="auto"/>
              </w:rPr>
            </w:pPr>
            <w:r>
              <w:rPr>
                <w:rFonts w:ascii="Courier New" w:cs="Courier New" w:eastAsia="Courier New" w:hAnsi="Courier New"/>
                <w:sz w:val="18"/>
                <w:szCs w:val="18"/>
                <w:color w:val="auto"/>
                <w:w w:val="97"/>
              </w:rPr>
              <w:t>$2,877,517 $2,540,094 ========== ==========</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gridSpan w:val="2"/>
          </w:tcPr>
          <w:p>
            <w:pPr>
              <w:jc w:val="center"/>
              <w:ind w:left="55"/>
              <w:spacing w:after="0" w:line="203" w:lineRule="exact"/>
              <w:rPr>
                <w:sz w:val="20"/>
                <w:szCs w:val="20"/>
                <w:color w:val="auto"/>
              </w:rPr>
            </w:pPr>
            <w:r>
              <w:rPr>
                <w:rFonts w:ascii="Courier New" w:cs="Courier New" w:eastAsia="Courier New" w:hAnsi="Courier New"/>
                <w:sz w:val="18"/>
                <w:szCs w:val="18"/>
                <w:color w:val="auto"/>
                <w:w w:val="97"/>
              </w:rPr>
              <w:t>LIABILITIES AND SHAREHOLDERS' EQUITY CURRENT</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gridSpan w:val="2"/>
          </w:tcPr>
          <w:p>
            <w:pPr>
              <w:jc w:val="center"/>
              <w:ind w:left="75"/>
              <w:spacing w:after="0" w:line="203" w:lineRule="exact"/>
              <w:rPr>
                <w:sz w:val="20"/>
                <w:szCs w:val="20"/>
                <w:color w:val="auto"/>
              </w:rPr>
            </w:pPr>
            <w:r>
              <w:rPr>
                <w:rFonts w:ascii="Courier New" w:cs="Courier New" w:eastAsia="Courier New" w:hAnsi="Courier New"/>
                <w:sz w:val="18"/>
                <w:szCs w:val="18"/>
                <w:color w:val="auto"/>
                <w:w w:val="97"/>
              </w:rPr>
              <w:t>LIABILITIES: Accounts</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4"/>
              </w:rPr>
              <w:t>payable..........................................</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gridSpan w:val="2"/>
          </w:tcPr>
          <w:p>
            <w:pPr>
              <w:jc w:val="center"/>
              <w:ind w:left="75"/>
              <w:spacing w:after="0" w:line="203" w:lineRule="exact"/>
              <w:rPr>
                <w:sz w:val="20"/>
                <w:szCs w:val="20"/>
                <w:color w:val="auto"/>
              </w:rPr>
            </w:pPr>
            <w:r>
              <w:rPr>
                <w:rFonts w:ascii="Courier New" w:cs="Courier New" w:eastAsia="Courier New" w:hAnsi="Courier New"/>
                <w:sz w:val="18"/>
                <w:szCs w:val="18"/>
                <w:color w:val="auto"/>
                <w:w w:val="97"/>
              </w:rPr>
              <w:t>$ 101,116 $ 44,704 Accrued expenses and other</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current liabilities............</w:t>
            </w:r>
          </w:p>
        </w:tc>
        <w:tc>
          <w:tcPr>
            <w:tcW w:w="3640" w:type="dxa"/>
            <w:vAlign w:val="bottom"/>
            <w:gridSpan w:val="2"/>
          </w:tcPr>
          <w:p>
            <w:pPr>
              <w:jc w:val="right"/>
              <w:ind w:right="972"/>
              <w:spacing w:after="0" w:line="203" w:lineRule="exact"/>
              <w:rPr>
                <w:sz w:val="20"/>
                <w:szCs w:val="20"/>
                <w:color w:val="auto"/>
              </w:rPr>
            </w:pPr>
            <w:r>
              <w:rPr>
                <w:rFonts w:ascii="Courier New" w:cs="Courier New" w:eastAsia="Courier New" w:hAnsi="Courier New"/>
                <w:sz w:val="18"/>
                <w:szCs w:val="18"/>
                <w:color w:val="auto"/>
              </w:rPr>
              <w:t>123,223 147,425</w:t>
            </w:r>
          </w:p>
        </w:tc>
        <w:tc>
          <w:tcPr>
            <w:tcW w:w="0" w:type="dxa"/>
            <w:vAlign w:val="bottom"/>
          </w:tcPr>
          <w:p>
            <w:pPr>
              <w:spacing w:after="0"/>
              <w:rPr>
                <w:sz w:val="1"/>
                <w:szCs w:val="1"/>
                <w:color w:val="auto"/>
              </w:rPr>
            </w:pPr>
          </w:p>
        </w:tc>
      </w:tr>
      <w:tr>
        <w:trPr>
          <w:trHeight w:val="203"/>
        </w:trPr>
        <w:tc>
          <w:tcPr>
            <w:tcW w:w="5020" w:type="dxa"/>
            <w:vAlign w:val="bottom"/>
            <w:gridSpan w:val="2"/>
          </w:tcPr>
          <w:p>
            <w:pPr>
              <w:jc w:val="center"/>
              <w:ind w:left="75"/>
              <w:spacing w:after="0" w:line="203" w:lineRule="exact"/>
              <w:rPr>
                <w:sz w:val="20"/>
                <w:szCs w:val="20"/>
                <w:color w:val="auto"/>
              </w:rPr>
            </w:pPr>
            <w:r>
              <w:rPr>
                <w:rFonts w:ascii="Courier New" w:cs="Courier New" w:eastAsia="Courier New" w:hAnsi="Courier New"/>
                <w:sz w:val="18"/>
                <w:szCs w:val="18"/>
                <w:color w:val="auto"/>
                <w:w w:val="96"/>
              </w:rPr>
              <w:t>Accrued personnel</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jc w:val="right"/>
              <w:spacing w:after="0"/>
              <w:rPr>
                <w:sz w:val="20"/>
                <w:szCs w:val="20"/>
                <w:color w:val="auto"/>
              </w:rPr>
            </w:pPr>
            <w:r>
              <w:rPr>
                <w:rFonts w:ascii="Courier New" w:cs="Courier New" w:eastAsia="Courier New" w:hAnsi="Courier New"/>
                <w:sz w:val="14"/>
                <w:szCs w:val="14"/>
                <w:color w:val="auto"/>
                <w:w w:val="73"/>
              </w:rPr>
              <w:t>costs...................................</w:t>
            </w:r>
          </w:p>
        </w:tc>
        <w:tc>
          <w:tcPr>
            <w:tcW w:w="3640" w:type="dxa"/>
            <w:vAlign w:val="bottom"/>
            <w:gridSpan w:val="2"/>
          </w:tcPr>
          <w:p>
            <w:pPr>
              <w:jc w:val="right"/>
              <w:ind w:right="912"/>
              <w:spacing w:after="0" w:line="203" w:lineRule="exact"/>
              <w:rPr>
                <w:sz w:val="20"/>
                <w:szCs w:val="20"/>
                <w:color w:val="auto"/>
              </w:rPr>
            </w:pPr>
            <w:r>
              <w:rPr>
                <w:rFonts w:ascii="Courier New" w:cs="Courier New" w:eastAsia="Courier New" w:hAnsi="Courier New"/>
                <w:sz w:val="18"/>
                <w:szCs w:val="18"/>
                <w:color w:val="auto"/>
              </w:rPr>
              <w:t>106,857</w:t>
            </w:r>
          </w:p>
        </w:tc>
        <w:tc>
          <w:tcPr>
            <w:tcW w:w="0" w:type="dxa"/>
            <w:vAlign w:val="bottom"/>
          </w:tcPr>
          <w:p>
            <w:pPr>
              <w:spacing w:after="0"/>
              <w:rPr>
                <w:sz w:val="1"/>
                <w:szCs w:val="1"/>
                <w:color w:val="auto"/>
              </w:rPr>
            </w:pPr>
          </w:p>
        </w:tc>
      </w:tr>
      <w:tr>
        <w:trPr>
          <w:trHeight w:val="203"/>
        </w:trPr>
        <w:tc>
          <w:tcPr>
            <w:tcW w:w="5020" w:type="dxa"/>
            <w:vAlign w:val="bottom"/>
            <w:gridSpan w:val="2"/>
          </w:tcPr>
          <w:p>
            <w:pPr>
              <w:jc w:val="center"/>
              <w:ind w:left="75"/>
              <w:spacing w:after="0" w:line="203" w:lineRule="exact"/>
              <w:rPr>
                <w:sz w:val="20"/>
                <w:szCs w:val="20"/>
                <w:color w:val="auto"/>
              </w:rPr>
            </w:pPr>
            <w:r>
              <w:rPr>
                <w:rFonts w:ascii="Courier New" w:cs="Courier New" w:eastAsia="Courier New" w:hAnsi="Courier New"/>
                <w:sz w:val="18"/>
                <w:szCs w:val="18"/>
                <w:color w:val="auto"/>
                <w:w w:val="97"/>
              </w:rPr>
              <w:t>86,942 Convertible</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gridSpan w:val="2"/>
          </w:tcPr>
          <w:p>
            <w:pPr>
              <w:jc w:val="center"/>
              <w:ind w:left="75"/>
              <w:spacing w:after="0" w:line="203" w:lineRule="exact"/>
              <w:rPr>
                <w:sz w:val="20"/>
                <w:szCs w:val="20"/>
                <w:color w:val="auto"/>
              </w:rPr>
            </w:pPr>
            <w:r>
              <w:rPr>
                <w:rFonts w:ascii="Courier New" w:cs="Courier New" w:eastAsia="Courier New" w:hAnsi="Courier New"/>
                <w:sz w:val="18"/>
                <w:szCs w:val="18"/>
                <w:color w:val="auto"/>
                <w:w w:val="97"/>
              </w:rPr>
              <w:t>notes.........................................</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gridSpan w:val="2"/>
          </w:tcPr>
          <w:p>
            <w:pPr>
              <w:jc w:val="center"/>
              <w:ind w:left="75"/>
              <w:spacing w:after="0" w:line="203" w:lineRule="exact"/>
              <w:rPr>
                <w:sz w:val="20"/>
                <w:szCs w:val="20"/>
                <w:color w:val="auto"/>
              </w:rPr>
            </w:pPr>
            <w:r>
              <w:rPr>
                <w:rFonts w:ascii="Courier New" w:cs="Courier New" w:eastAsia="Courier New" w:hAnsi="Courier New"/>
                <w:sz w:val="18"/>
                <w:szCs w:val="18"/>
                <w:color w:val="auto"/>
                <w:w w:val="97"/>
              </w:rPr>
              <w:t>400,454 -- Short-term portion of financing</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7"/>
              </w:rPr>
              <w:t>arrangement...............</w:t>
            </w:r>
          </w:p>
        </w:tc>
        <w:tc>
          <w:tcPr>
            <w:tcW w:w="25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2,179 -- Deferred</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4"/>
              </w:rPr>
              <w:t>revenue..........................................</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gridSpan w:val="2"/>
          </w:tcPr>
          <w:p>
            <w:pPr>
              <w:jc w:val="center"/>
              <w:ind w:left="75"/>
              <w:spacing w:after="0" w:line="203" w:lineRule="exact"/>
              <w:rPr>
                <w:sz w:val="20"/>
                <w:szCs w:val="20"/>
                <w:color w:val="auto"/>
              </w:rPr>
            </w:pPr>
            <w:r>
              <w:rPr>
                <w:rFonts w:ascii="Courier New" w:cs="Courier New" w:eastAsia="Courier New" w:hAnsi="Courier New"/>
                <w:sz w:val="18"/>
                <w:szCs w:val="18"/>
                <w:color w:val="auto"/>
                <w:w w:val="97"/>
              </w:rPr>
              <w:t>174,616 149,590 Short-term portion of capital</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1"/>
              </w:rPr>
              <w:t>lease obligations...........</w:t>
            </w:r>
          </w:p>
        </w:tc>
        <w:tc>
          <w:tcPr>
            <w:tcW w:w="2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27,140 10,347</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gridSpan w:val="2"/>
          </w:tcPr>
          <w:p>
            <w:pPr>
              <w:jc w:val="center"/>
              <w:ind w:left="75"/>
              <w:spacing w:after="0" w:line="203" w:lineRule="exact"/>
              <w:rPr>
                <w:sz w:val="20"/>
                <w:szCs w:val="20"/>
                <w:color w:val="auto"/>
              </w:rPr>
            </w:pPr>
            <w:r>
              <w:rPr>
                <w:rFonts w:ascii="Courier New" w:cs="Courier New" w:eastAsia="Courier New" w:hAnsi="Courier New"/>
                <w:sz w:val="18"/>
                <w:szCs w:val="18"/>
                <w:color w:val="auto"/>
                <w:w w:val="97"/>
              </w:rPr>
              <w:t>Deferred income taxes and taxes</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7"/>
              </w:rPr>
              <w:t>payable...................</w:t>
            </w:r>
          </w:p>
        </w:tc>
        <w:tc>
          <w:tcPr>
            <w:tcW w:w="3640" w:type="dxa"/>
            <w:vAlign w:val="bottom"/>
            <w:gridSpan w:val="2"/>
          </w:tcPr>
          <w:p>
            <w:pPr>
              <w:jc w:val="right"/>
              <w:ind w:right="912"/>
              <w:spacing w:after="0" w:line="203" w:lineRule="exact"/>
              <w:rPr>
                <w:sz w:val="20"/>
                <w:szCs w:val="20"/>
                <w:color w:val="auto"/>
              </w:rPr>
            </w:pPr>
            <w:r>
              <w:rPr>
                <w:rFonts w:ascii="Courier New" w:cs="Courier New" w:eastAsia="Courier New" w:hAnsi="Courier New"/>
                <w:sz w:val="18"/>
                <w:szCs w:val="18"/>
                <w:color w:val="auto"/>
              </w:rPr>
              <w:t>133,002 103,315 -----</w:t>
            </w:r>
          </w:p>
        </w:tc>
        <w:tc>
          <w:tcPr>
            <w:tcW w:w="0" w:type="dxa"/>
            <w:vAlign w:val="bottom"/>
          </w:tcPr>
          <w:p>
            <w:pPr>
              <w:spacing w:after="0"/>
              <w:rPr>
                <w:sz w:val="1"/>
                <w:szCs w:val="1"/>
                <w:color w:val="auto"/>
              </w:rPr>
            </w:pPr>
          </w:p>
        </w:tc>
      </w:tr>
      <w:tr>
        <w:trPr>
          <w:trHeight w:val="203"/>
        </w:trPr>
        <w:tc>
          <w:tcPr>
            <w:tcW w:w="5020" w:type="dxa"/>
            <w:vAlign w:val="bottom"/>
            <w:gridSpan w:val="2"/>
          </w:tcPr>
          <w:p>
            <w:pPr>
              <w:jc w:val="center"/>
              <w:ind w:left="55"/>
              <w:spacing w:after="0" w:line="203" w:lineRule="exact"/>
              <w:rPr>
                <w:sz w:val="20"/>
                <w:szCs w:val="20"/>
                <w:color w:val="auto"/>
              </w:rPr>
            </w:pPr>
            <w:r>
              <w:rPr>
                <w:rFonts w:ascii="Courier New" w:cs="Courier New" w:eastAsia="Courier New" w:hAnsi="Courier New"/>
                <w:sz w:val="18"/>
                <w:szCs w:val="18"/>
                <w:color w:val="auto"/>
                <w:w w:val="97"/>
              </w:rPr>
              <w:t>----- ---------- TOTAL CURRENT</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jc w:val="right"/>
              <w:spacing w:after="0"/>
              <w:rPr>
                <w:sz w:val="20"/>
                <w:szCs w:val="20"/>
                <w:color w:val="auto"/>
              </w:rPr>
            </w:pPr>
            <w:r>
              <w:rPr>
                <w:rFonts w:ascii="Courier New" w:cs="Courier New" w:eastAsia="Courier New" w:hAnsi="Courier New"/>
                <w:sz w:val="16"/>
                <w:szCs w:val="16"/>
                <w:color w:val="auto"/>
                <w:w w:val="71"/>
              </w:rPr>
              <w:t>LIABILITIES.........................</w:t>
            </w:r>
          </w:p>
        </w:tc>
        <w:tc>
          <w:tcPr>
            <w:tcW w:w="2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1,068,587</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gridSpan w:val="2"/>
          </w:tcPr>
          <w:p>
            <w:pPr>
              <w:jc w:val="center"/>
              <w:ind w:left="55"/>
              <w:spacing w:after="0" w:line="203" w:lineRule="exact"/>
              <w:rPr>
                <w:sz w:val="20"/>
                <w:szCs w:val="20"/>
                <w:color w:val="auto"/>
              </w:rPr>
            </w:pPr>
            <w:r>
              <w:rPr>
                <w:rFonts w:ascii="Courier New" w:cs="Courier New" w:eastAsia="Courier New" w:hAnsi="Courier New"/>
                <w:sz w:val="18"/>
                <w:szCs w:val="18"/>
                <w:color w:val="auto"/>
                <w:w w:val="97"/>
              </w:rPr>
              <w:t>542,323 Convertible</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5"/>
              </w:rPr>
              <w:t>notes...........................................</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gridSpan w:val="2"/>
          </w:tcPr>
          <w:p>
            <w:pPr>
              <w:jc w:val="center"/>
              <w:ind w:left="75"/>
              <w:spacing w:after="0" w:line="203" w:lineRule="exact"/>
              <w:rPr>
                <w:sz w:val="20"/>
                <w:szCs w:val="20"/>
                <w:color w:val="auto"/>
              </w:rPr>
            </w:pPr>
            <w:r>
              <w:rPr>
                <w:rFonts w:ascii="Courier New" w:cs="Courier New" w:eastAsia="Courier New" w:hAnsi="Courier New"/>
                <w:sz w:val="18"/>
                <w:szCs w:val="18"/>
                <w:color w:val="auto"/>
                <w:w w:val="97"/>
              </w:rPr>
              <w:t>-- 445,054 Deferred income</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gridSpan w:val="2"/>
          </w:tcPr>
          <w:p>
            <w:pPr>
              <w:jc w:val="center"/>
              <w:ind w:left="55"/>
              <w:spacing w:after="0" w:line="203" w:lineRule="exact"/>
              <w:rPr>
                <w:sz w:val="20"/>
                <w:szCs w:val="20"/>
                <w:color w:val="auto"/>
              </w:rPr>
            </w:pPr>
            <w:r>
              <w:rPr>
                <w:rFonts w:ascii="Courier New" w:cs="Courier New" w:eastAsia="Courier New" w:hAnsi="Courier New"/>
                <w:sz w:val="18"/>
                <w:szCs w:val="18"/>
                <w:color w:val="auto"/>
                <w:w w:val="97"/>
              </w:rPr>
              <w:t>taxes.......................................</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gridSpan w:val="2"/>
          </w:tcPr>
          <w:p>
            <w:pPr>
              <w:jc w:val="center"/>
              <w:ind w:left="75"/>
              <w:spacing w:after="0" w:line="203" w:lineRule="exact"/>
              <w:rPr>
                <w:sz w:val="20"/>
                <w:szCs w:val="20"/>
                <w:color w:val="auto"/>
              </w:rPr>
            </w:pPr>
            <w:r>
              <w:rPr>
                <w:rFonts w:ascii="Courier New" w:cs="Courier New" w:eastAsia="Courier New" w:hAnsi="Courier New"/>
                <w:sz w:val="18"/>
                <w:szCs w:val="18"/>
                <w:color w:val="auto"/>
                <w:w w:val="97"/>
              </w:rPr>
              <w:t>44,835 12,363 Noncurrent liabilities and</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jc w:val="right"/>
              <w:spacing w:after="0"/>
              <w:rPr>
                <w:sz w:val="20"/>
                <w:szCs w:val="20"/>
                <w:color w:val="auto"/>
              </w:rPr>
            </w:pPr>
            <w:r>
              <w:rPr>
                <w:rFonts w:ascii="Courier New" w:cs="Courier New" w:eastAsia="Courier New" w:hAnsi="Courier New"/>
                <w:sz w:val="16"/>
                <w:szCs w:val="16"/>
                <w:color w:val="auto"/>
                <w:w w:val="77"/>
              </w:rPr>
              <w:t>other............................</w:t>
            </w:r>
          </w:p>
        </w:tc>
        <w:tc>
          <w:tcPr>
            <w:tcW w:w="2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172,495</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124,079 ----------</w:t>
            </w:r>
          </w:p>
        </w:tc>
        <w:tc>
          <w:tcPr>
            <w:tcW w:w="25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 TOTAL</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jc w:val="right"/>
              <w:spacing w:after="0"/>
              <w:rPr>
                <w:sz w:val="20"/>
                <w:szCs w:val="20"/>
                <w:color w:val="auto"/>
              </w:rPr>
            </w:pPr>
            <w:r>
              <w:rPr>
                <w:rFonts w:ascii="Courier New" w:cs="Courier New" w:eastAsia="Courier New" w:hAnsi="Courier New"/>
                <w:sz w:val="13"/>
                <w:szCs w:val="13"/>
                <w:color w:val="auto"/>
                <w:w w:val="71"/>
              </w:rPr>
              <w:t>LIABILITIES.................................</w:t>
            </w:r>
          </w:p>
        </w:tc>
        <w:tc>
          <w:tcPr>
            <w:tcW w:w="2540" w:type="dxa"/>
            <w:vAlign w:val="bottom"/>
            <w:vMerge w:val="restart"/>
          </w:tcPr>
          <w:p>
            <w:pPr>
              <w:jc w:val="right"/>
              <w:ind w:right="192"/>
              <w:spacing w:after="0"/>
              <w:rPr>
                <w:sz w:val="20"/>
                <w:szCs w:val="20"/>
                <w:color w:val="auto"/>
              </w:rPr>
            </w:pPr>
            <w:r>
              <w:rPr>
                <w:rFonts w:ascii="Courier New" w:cs="Courier New" w:eastAsia="Courier New" w:hAnsi="Courier New"/>
                <w:sz w:val="18"/>
                <w:szCs w:val="18"/>
                <w:color w:val="auto"/>
                <w:w w:val="98"/>
              </w:rPr>
              <w:t>---------- ----------</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1,285,917 1,123,819</w:t>
            </w:r>
          </w:p>
        </w:tc>
        <w:tc>
          <w:tcPr>
            <w:tcW w:w="2540" w:type="dxa"/>
            <w:vAlign w:val="bottom"/>
            <w:vMerge w:val="continue"/>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gridSpan w:val="2"/>
          </w:tcPr>
          <w:p>
            <w:pPr>
              <w:jc w:val="center"/>
              <w:ind w:left="55"/>
              <w:spacing w:after="0" w:line="203" w:lineRule="exact"/>
              <w:rPr>
                <w:sz w:val="20"/>
                <w:szCs w:val="20"/>
                <w:color w:val="auto"/>
              </w:rPr>
            </w:pPr>
            <w:r>
              <w:rPr>
                <w:rFonts w:ascii="Courier New" w:cs="Courier New" w:eastAsia="Courier New" w:hAnsi="Courier New"/>
                <w:sz w:val="18"/>
                <w:szCs w:val="18"/>
                <w:color w:val="auto"/>
                <w:w w:val="97"/>
              </w:rPr>
              <w:t>SHAREHOLDERS' EQUITY: Preferred Shares --</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gridSpan w:val="2"/>
          </w:tcPr>
          <w:p>
            <w:pPr>
              <w:jc w:val="center"/>
              <w:ind w:left="55"/>
              <w:spacing w:after="0" w:line="203" w:lineRule="exact"/>
              <w:rPr>
                <w:sz w:val="20"/>
                <w:szCs w:val="20"/>
                <w:color w:val="auto"/>
              </w:rPr>
            </w:pPr>
            <w:r>
              <w:rPr>
                <w:rFonts w:ascii="Courier New" w:cs="Courier New" w:eastAsia="Courier New" w:hAnsi="Courier New"/>
                <w:sz w:val="18"/>
                <w:szCs w:val="18"/>
                <w:color w:val="auto"/>
                <w:w w:val="97"/>
              </w:rPr>
              <w:t>Authorized 25,000 shares; L0.01 par value; 0</w:t>
            </w:r>
          </w:p>
        </w:tc>
        <w:tc>
          <w:tcPr>
            <w:tcW w:w="1100" w:type="dxa"/>
            <w:vAlign w:val="bottom"/>
            <w:vMerge w:val="restart"/>
          </w:tcPr>
          <w:p>
            <w:pPr>
              <w:jc w:val="right"/>
              <w:ind w:right="912"/>
              <w:spacing w:after="0"/>
              <w:rPr>
                <w:sz w:val="20"/>
                <w:szCs w:val="20"/>
                <w:color w:val="auto"/>
              </w:rPr>
            </w:pPr>
            <w:r>
              <w:rPr>
                <w:rFonts w:ascii="Courier New" w:cs="Courier New" w:eastAsia="Courier New" w:hAnsi="Courier New"/>
                <w:sz w:val="18"/>
                <w:szCs w:val="18"/>
                <w:color w:val="auto"/>
                <w:w w:val="73"/>
              </w:rPr>
              <w:t>-</w:t>
            </w:r>
          </w:p>
        </w:tc>
        <w:tc>
          <w:tcPr>
            <w:tcW w:w="0" w:type="dxa"/>
            <w:vAlign w:val="bottom"/>
          </w:tcPr>
          <w:p>
            <w:pPr>
              <w:spacing w:after="0"/>
              <w:rPr>
                <w:sz w:val="1"/>
                <w:szCs w:val="1"/>
                <w:color w:val="auto"/>
              </w:rPr>
            </w:pPr>
          </w:p>
        </w:tc>
      </w:tr>
      <w:tr>
        <w:trPr>
          <w:trHeight w:val="235"/>
        </w:trPr>
        <w:tc>
          <w:tcPr>
            <w:tcW w:w="502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9"/>
              </w:rPr>
              <w:t>shares issued and outstanding.................</w:t>
            </w:r>
          </w:p>
        </w:tc>
        <w:tc>
          <w:tcPr>
            <w:tcW w:w="1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ind w:left="260" w:right="5319" w:firstLine="115"/>
        <w:spacing w:after="0" w:line="268" w:lineRule="auto"/>
        <w:tabs>
          <w:tab w:leader="none" w:pos="576"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Ordinary Shares -- Authorized 550,000 shares; L0.01 par value; 223,790 and 223,315</w:t>
      </w:r>
    </w:p>
    <w:p>
      <w:pPr>
        <w:ind w:left="160"/>
        <w:spacing w:after="0"/>
        <w:rPr>
          <w:sz w:val="20"/>
          <w:szCs w:val="20"/>
          <w:color w:val="auto"/>
        </w:rPr>
      </w:pPr>
      <w:r>
        <w:rPr>
          <w:rFonts w:ascii="Courier New" w:cs="Courier New" w:eastAsia="Courier New" w:hAnsi="Courier New"/>
          <w:sz w:val="18"/>
          <w:szCs w:val="18"/>
          <w:color w:val="auto"/>
        </w:rPr>
        <w:t>issued and 216,058 and 215,583 outstanding, in</w:t>
      </w:r>
    </w:p>
    <w:tbl>
      <w:tblPr>
        <w:tblLayout w:type="fixed"/>
        <w:tblInd w:w="320" w:type="dxa"/>
        <w:tblCellMar>
          <w:top w:w="0" w:type="dxa"/>
          <w:left w:w="0" w:type="dxa"/>
          <w:bottom w:w="0" w:type="dxa"/>
          <w:right w:w="0" w:type="dxa"/>
        </w:tblCellMar>
      </w:tblPr>
      <w:tr>
        <w:trPr>
          <w:trHeight w:val="171"/>
        </w:trPr>
        <w:tc>
          <w:tcPr>
            <w:tcW w:w="3320" w:type="dxa"/>
            <w:vAlign w:val="bottom"/>
          </w:tcPr>
          <w:p>
            <w:pPr>
              <w:spacing w:after="0" w:line="170" w:lineRule="exact"/>
              <w:rPr>
                <w:sz w:val="20"/>
                <w:szCs w:val="20"/>
                <w:color w:val="auto"/>
              </w:rPr>
            </w:pPr>
            <w:r>
              <w:rPr>
                <w:rFonts w:ascii="Courier New" w:cs="Courier New" w:eastAsia="Courier New" w:hAnsi="Courier New"/>
                <w:sz w:val="18"/>
                <w:szCs w:val="18"/>
                <w:color w:val="auto"/>
                <w:w w:val="98"/>
              </w:rPr>
              <w:t>2003 and 2002, respectively....</w:t>
            </w:r>
          </w:p>
        </w:tc>
        <w:tc>
          <w:tcPr>
            <w:tcW w:w="1220" w:type="dxa"/>
            <w:vAlign w:val="bottom"/>
          </w:tcPr>
          <w:p>
            <w:pPr>
              <w:jc w:val="right"/>
              <w:spacing w:after="0" w:line="170" w:lineRule="exact"/>
              <w:rPr>
                <w:sz w:val="20"/>
                <w:szCs w:val="20"/>
                <w:color w:val="auto"/>
              </w:rPr>
            </w:pPr>
            <w:r>
              <w:rPr>
                <w:rFonts w:ascii="Courier New" w:cs="Courier New" w:eastAsia="Courier New" w:hAnsi="Courier New"/>
                <w:sz w:val="18"/>
                <w:szCs w:val="18"/>
                <w:color w:val="auto"/>
              </w:rPr>
              <w:t>3,580 3,572</w:t>
            </w:r>
          </w:p>
        </w:tc>
      </w:tr>
      <w:tr>
        <w:trPr>
          <w:trHeight w:val="235"/>
        </w:trPr>
        <w:tc>
          <w:tcPr>
            <w:tcW w:w="3320" w:type="dxa"/>
            <w:vAlign w:val="bottom"/>
          </w:tcPr>
          <w:p>
            <w:pPr>
              <w:ind w:left="1320"/>
              <w:spacing w:after="0"/>
              <w:rPr>
                <w:sz w:val="20"/>
                <w:szCs w:val="20"/>
                <w:color w:val="auto"/>
              </w:rPr>
            </w:pPr>
            <w:r>
              <w:rPr>
                <w:rFonts w:ascii="Courier New" w:cs="Courier New" w:eastAsia="Courier New" w:hAnsi="Courier New"/>
                <w:sz w:val="18"/>
                <w:szCs w:val="18"/>
                <w:color w:val="auto"/>
              </w:rPr>
              <w:t>Additional paid-in</w:t>
            </w:r>
          </w:p>
        </w:tc>
        <w:tc>
          <w:tcPr>
            <w:tcW w:w="1220" w:type="dxa"/>
            <w:vAlign w:val="bottom"/>
          </w:tcPr>
          <w:p>
            <w:pPr>
              <w:spacing w:after="0"/>
              <w:rPr>
                <w:sz w:val="20"/>
                <w:szCs w:val="20"/>
                <w:color w:val="auto"/>
              </w:rPr>
            </w:pPr>
          </w:p>
        </w:tc>
      </w:tr>
    </w:tbl>
    <w:p>
      <w:pPr>
        <w:ind w:left="540"/>
        <w:spacing w:after="0" w:line="238" w:lineRule="auto"/>
        <w:rPr>
          <w:sz w:val="20"/>
          <w:szCs w:val="20"/>
          <w:color w:val="auto"/>
        </w:rPr>
      </w:pPr>
      <w:r>
        <w:rPr>
          <w:rFonts w:ascii="Courier New" w:cs="Courier New" w:eastAsia="Courier New" w:hAnsi="Courier New"/>
          <w:sz w:val="18"/>
          <w:szCs w:val="18"/>
          <w:color w:val="auto"/>
        </w:rPr>
        <w:t>capital................................</w:t>
      </w:r>
    </w:p>
    <w:p>
      <w:pPr>
        <w:ind w:left="160"/>
        <w:spacing w:after="0"/>
        <w:rPr>
          <w:sz w:val="20"/>
          <w:szCs w:val="20"/>
          <w:color w:val="auto"/>
        </w:rPr>
      </w:pPr>
      <w:r>
        <w:rPr>
          <w:rFonts w:ascii="Courier New" w:cs="Courier New" w:eastAsia="Courier New" w:hAnsi="Courier New"/>
          <w:sz w:val="18"/>
          <w:szCs w:val="18"/>
          <w:color w:val="auto"/>
        </w:rPr>
        <w:t>1,820,956 1,818,345 Treasury stock, at cost --</w:t>
      </w:r>
    </w:p>
    <w:tbl>
      <w:tblPr>
        <w:tblLayout w:type="fixed"/>
        <w:tblInd w:w="420" w:type="dxa"/>
        <w:tblCellMar>
          <w:top w:w="0" w:type="dxa"/>
          <w:left w:w="0" w:type="dxa"/>
          <w:bottom w:w="0" w:type="dxa"/>
          <w:right w:w="0" w:type="dxa"/>
        </w:tblCellMar>
      </w:tblP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7,732 Ordinary Shares..........</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(109,281)</w:t>
            </w:r>
          </w:p>
        </w:tc>
      </w:tr>
    </w:tbl>
    <w:p>
      <w:pPr>
        <w:ind w:left="60"/>
        <w:spacing w:after="0" w:line="238" w:lineRule="auto"/>
        <w:rPr>
          <w:sz w:val="20"/>
          <w:szCs w:val="20"/>
          <w:color w:val="auto"/>
        </w:rPr>
      </w:pPr>
      <w:r>
        <w:rPr>
          <w:rFonts w:ascii="Courier New" w:cs="Courier New" w:eastAsia="Courier New" w:hAnsi="Courier New"/>
          <w:sz w:val="18"/>
          <w:szCs w:val="18"/>
          <w:color w:val="auto"/>
        </w:rPr>
        <w:t>(109,281) Accumulated other comprehensive income</w:t>
      </w:r>
    </w:p>
    <w:tbl>
      <w:tblPr>
        <w:tblLayout w:type="fixed"/>
        <w:tblInd w:w="120" w:type="dxa"/>
        <w:tblCellMar>
          <w:top w:w="0" w:type="dxa"/>
          <w:left w:w="0" w:type="dxa"/>
          <w:bottom w:w="0" w:type="dxa"/>
          <w:right w:w="0" w:type="dxa"/>
        </w:tblCellMar>
      </w:tblPr>
      <w:tr>
        <w:trPr>
          <w:trHeight w:val="171"/>
        </w:trPr>
        <w:tc>
          <w:tcPr>
            <w:tcW w:w="2300" w:type="dxa"/>
            <w:vAlign w:val="bottom"/>
            <w:gridSpan w:val="2"/>
          </w:tcPr>
          <w:p>
            <w:pPr>
              <w:jc w:val="center"/>
              <w:ind w:left="32"/>
              <w:spacing w:after="0" w:line="171" w:lineRule="exact"/>
              <w:rPr>
                <w:sz w:val="20"/>
                <w:szCs w:val="20"/>
                <w:color w:val="auto"/>
              </w:rPr>
            </w:pPr>
            <w:r>
              <w:rPr>
                <w:rFonts w:ascii="Courier New" w:cs="Courier New" w:eastAsia="Courier New" w:hAnsi="Courier New"/>
                <w:sz w:val="18"/>
                <w:szCs w:val="18"/>
                <w:color w:val="auto"/>
                <w:w w:val="97"/>
              </w:rPr>
              <w:t>(loss).............</w:t>
            </w:r>
          </w:p>
        </w:tc>
        <w:tc>
          <w:tcPr>
            <w:tcW w:w="2640" w:type="dxa"/>
            <w:vAlign w:val="bottom"/>
            <w:gridSpan w:val="2"/>
          </w:tcPr>
          <w:p>
            <w:pPr>
              <w:spacing w:after="0" w:line="171" w:lineRule="exact"/>
              <w:rPr>
                <w:sz w:val="20"/>
                <w:szCs w:val="20"/>
                <w:color w:val="auto"/>
              </w:rPr>
            </w:pPr>
            <w:r>
              <w:rPr>
                <w:rFonts w:ascii="Courier New" w:cs="Courier New" w:eastAsia="Courier New" w:hAnsi="Courier New"/>
                <w:sz w:val="18"/>
                <w:szCs w:val="18"/>
                <w:color w:val="auto"/>
              </w:rPr>
              <w:t>3,715 (108) Accumulated</w:t>
            </w:r>
          </w:p>
        </w:tc>
        <w:tc>
          <w:tcPr>
            <w:tcW w:w="0" w:type="dxa"/>
            <w:vAlign w:val="bottom"/>
          </w:tcPr>
          <w:p>
            <w:pPr>
              <w:spacing w:after="0"/>
              <w:rPr>
                <w:sz w:val="1"/>
                <w:szCs w:val="1"/>
                <w:color w:val="auto"/>
              </w:rPr>
            </w:pPr>
          </w:p>
        </w:tc>
      </w:tr>
      <w:tr>
        <w:trPr>
          <w:trHeight w:val="203"/>
        </w:trPr>
        <w:tc>
          <w:tcPr>
            <w:tcW w:w="1040" w:type="dxa"/>
            <w:vAlign w:val="bottom"/>
          </w:tcPr>
          <w:p>
            <w:pPr>
              <w:jc w:val="right"/>
              <w:spacing w:after="0"/>
              <w:rPr>
                <w:sz w:val="20"/>
                <w:szCs w:val="20"/>
                <w:color w:val="auto"/>
              </w:rPr>
            </w:pPr>
            <w:r>
              <w:rPr>
                <w:rFonts w:ascii="Courier New" w:cs="Courier New" w:eastAsia="Courier New" w:hAnsi="Courier New"/>
                <w:sz w:val="5"/>
                <w:szCs w:val="5"/>
                <w:color w:val="auto"/>
                <w:w w:val="73"/>
              </w:rPr>
              <w:t>deficit.......................................</w:t>
            </w:r>
          </w:p>
        </w:tc>
        <w:tc>
          <w:tcPr>
            <w:tcW w:w="1260" w:type="dxa"/>
            <w:vAlign w:val="bottom"/>
            <w:vMerge w:val="restart"/>
          </w:tcPr>
          <w:p>
            <w:pPr>
              <w:spacing w:after="0"/>
              <w:rPr>
                <w:sz w:val="20"/>
                <w:szCs w:val="20"/>
                <w:color w:val="auto"/>
              </w:rPr>
            </w:pPr>
            <w:r>
              <w:rPr>
                <w:rFonts w:ascii="Courier New" w:cs="Courier New" w:eastAsia="Courier New" w:hAnsi="Courier New"/>
                <w:sz w:val="14"/>
                <w:szCs w:val="14"/>
                <w:color w:val="auto"/>
                <w:w w:val="73"/>
              </w:rPr>
              <w:t>(296,253) ----------</w:t>
            </w:r>
          </w:p>
        </w:tc>
        <w:tc>
          <w:tcPr>
            <w:tcW w:w="20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580" w:type="dxa"/>
            <w:vAlign w:val="bottom"/>
            <w:vMerge w:val="restart"/>
          </w:tcPr>
          <w:p>
            <w:pPr>
              <w:ind w:left="60"/>
              <w:spacing w:after="0"/>
              <w:rPr>
                <w:sz w:val="20"/>
                <w:szCs w:val="20"/>
                <w:color w:val="auto"/>
              </w:rPr>
            </w:pPr>
            <w:r>
              <w:rPr>
                <w:rFonts w:ascii="Courier New" w:cs="Courier New" w:eastAsia="Courier New" w:hAnsi="Courier New"/>
                <w:sz w:val="18"/>
                <w:szCs w:val="18"/>
                <w:color w:val="auto"/>
                <w:w w:val="92"/>
              </w:rPr>
              <w:t>TOTAL</w:t>
            </w:r>
          </w:p>
        </w:tc>
        <w:tc>
          <w:tcPr>
            <w:tcW w:w="0" w:type="dxa"/>
            <w:vAlign w:val="bottom"/>
          </w:tcPr>
          <w:p>
            <w:pPr>
              <w:spacing w:after="0"/>
              <w:rPr>
                <w:sz w:val="1"/>
                <w:szCs w:val="1"/>
                <w:color w:val="auto"/>
              </w:rPr>
            </w:pPr>
          </w:p>
        </w:tc>
      </w:tr>
      <w:tr>
        <w:trPr>
          <w:trHeight w:val="203"/>
        </w:trPr>
        <w:tc>
          <w:tcPr>
            <w:tcW w:w="10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(127,370)</w:t>
            </w:r>
          </w:p>
        </w:tc>
        <w:tc>
          <w:tcPr>
            <w:tcW w:w="1260" w:type="dxa"/>
            <w:vAlign w:val="bottom"/>
            <w:vMerge w:val="continue"/>
          </w:tcPr>
          <w:p>
            <w:pPr>
              <w:spacing w:after="0"/>
              <w:rPr>
                <w:sz w:val="17"/>
                <w:szCs w:val="17"/>
                <w:color w:val="auto"/>
              </w:rPr>
            </w:pPr>
          </w:p>
        </w:tc>
        <w:tc>
          <w:tcPr>
            <w:tcW w:w="206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00" w:type="dxa"/>
            <w:vAlign w:val="bottom"/>
            <w:gridSpan w:val="2"/>
          </w:tcPr>
          <w:p>
            <w:pPr>
              <w:jc w:val="center"/>
              <w:ind w:left="72"/>
              <w:spacing w:after="0"/>
              <w:rPr>
                <w:sz w:val="20"/>
                <w:szCs w:val="20"/>
                <w:color w:val="auto"/>
              </w:rPr>
            </w:pPr>
            <w:r>
              <w:rPr>
                <w:rFonts w:ascii="Courier New" w:cs="Courier New" w:eastAsia="Courier New" w:hAnsi="Courier New"/>
                <w:sz w:val="9"/>
                <w:szCs w:val="9"/>
                <w:color w:val="auto"/>
                <w:w w:val="75"/>
              </w:rPr>
              <w:t>SHAREHOLDERS' EQUITY</w:t>
            </w:r>
            <w:r>
              <w:rPr>
                <w:rFonts w:ascii="Courier New" w:cs="Courier New" w:eastAsia="Courier New" w:hAnsi="Courier New"/>
                <w:sz w:val="12"/>
                <w:szCs w:val="12"/>
                <w:color w:val="auto"/>
                <w:w w:val="75"/>
                <w:vertAlign w:val="subscript"/>
              </w:rPr>
              <w:t>----------</w:t>
            </w:r>
            <w:r>
              <w:rPr>
                <w:rFonts w:ascii="Courier New" w:cs="Courier New" w:eastAsia="Courier New" w:hAnsi="Courier New"/>
                <w:sz w:val="9"/>
                <w:szCs w:val="9"/>
                <w:color w:val="auto"/>
                <w:w w:val="75"/>
              </w:rPr>
              <w:t>........................</w:t>
            </w:r>
          </w:p>
        </w:tc>
        <w:tc>
          <w:tcPr>
            <w:tcW w:w="20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580" w:type="dxa"/>
            <w:vAlign w:val="bottom"/>
            <w:vMerge w:val="restart"/>
          </w:tcPr>
          <w:p>
            <w:pPr>
              <w:ind w:left="60"/>
              <w:spacing w:after="0"/>
              <w:rPr>
                <w:sz w:val="20"/>
                <w:szCs w:val="20"/>
                <w:color w:val="auto"/>
              </w:rPr>
            </w:pPr>
            <w:r>
              <w:rPr>
                <w:rFonts w:ascii="Courier New" w:cs="Courier New" w:eastAsia="Courier New" w:hAnsi="Courier New"/>
                <w:sz w:val="18"/>
                <w:szCs w:val="18"/>
                <w:color w:val="auto"/>
                <w:w w:val="92"/>
              </w:rPr>
              <w:t>TOTAL</w:t>
            </w:r>
          </w:p>
        </w:tc>
        <w:tc>
          <w:tcPr>
            <w:tcW w:w="0" w:type="dxa"/>
            <w:vAlign w:val="bottom"/>
          </w:tcPr>
          <w:p>
            <w:pPr>
              <w:spacing w:after="0"/>
              <w:rPr>
                <w:sz w:val="1"/>
                <w:szCs w:val="1"/>
                <w:color w:val="auto"/>
              </w:rPr>
            </w:pPr>
          </w:p>
        </w:tc>
      </w:tr>
      <w:tr>
        <w:trPr>
          <w:trHeight w:val="235"/>
        </w:trPr>
        <w:tc>
          <w:tcPr>
            <w:tcW w:w="104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4"/>
              </w:rPr>
              <w:t>1,591,600</w:t>
            </w:r>
          </w:p>
        </w:tc>
        <w:tc>
          <w:tcPr>
            <w:tcW w:w="1260" w:type="dxa"/>
            <w:vAlign w:val="bottom"/>
          </w:tcPr>
          <w:p>
            <w:pPr>
              <w:spacing w:after="0"/>
              <w:rPr>
                <w:sz w:val="20"/>
                <w:szCs w:val="20"/>
                <w:color w:val="auto"/>
              </w:rPr>
            </w:pPr>
            <w:r>
              <w:rPr>
                <w:rFonts w:ascii="Courier New" w:cs="Courier New" w:eastAsia="Courier New" w:hAnsi="Courier New"/>
                <w:sz w:val="18"/>
                <w:szCs w:val="18"/>
                <w:color w:val="auto"/>
              </w:rPr>
              <w:t>1,416,275</w:t>
            </w:r>
          </w:p>
        </w:tc>
        <w:tc>
          <w:tcPr>
            <w:tcW w:w="2060" w:type="dxa"/>
            <w:vAlign w:val="bottom"/>
            <w:vMerge w:val="continue"/>
          </w:tcPr>
          <w:p>
            <w:pPr>
              <w:spacing w:after="0"/>
              <w:rPr>
                <w:sz w:val="20"/>
                <w:szCs w:val="20"/>
                <w:color w:val="auto"/>
              </w:rPr>
            </w:pPr>
          </w:p>
        </w:tc>
        <w:tc>
          <w:tcPr>
            <w:tcW w:w="5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ind w:left="260"/>
        <w:spacing w:after="0" w:line="238" w:lineRule="auto"/>
        <w:rPr>
          <w:sz w:val="20"/>
          <w:szCs w:val="20"/>
          <w:color w:val="auto"/>
        </w:rPr>
      </w:pPr>
      <w:r>
        <w:rPr>
          <w:rFonts w:ascii="Courier New" w:cs="Courier New" w:eastAsia="Courier New" w:hAnsi="Courier New"/>
          <w:sz w:val="18"/>
          <w:szCs w:val="18"/>
          <w:color w:val="auto"/>
        </w:rPr>
        <w:t>LIABILITIES AND SHAREHOLDERS' EQUITY........</w:t>
      </w:r>
    </w:p>
    <w:p>
      <w:pPr>
        <w:ind w:left="320"/>
        <w:spacing w:after="0"/>
        <w:rPr>
          <w:sz w:val="20"/>
          <w:szCs w:val="20"/>
          <w:color w:val="auto"/>
        </w:rPr>
      </w:pPr>
      <w:r>
        <w:rPr>
          <w:rFonts w:ascii="Courier New" w:cs="Courier New" w:eastAsia="Courier New" w:hAnsi="Courier New"/>
          <w:sz w:val="18"/>
          <w:szCs w:val="18"/>
          <w:color w:val="auto"/>
        </w:rPr>
        <w:t>$2,877,517 $2,540,094 ========== ==========</w:t>
      </w:r>
    </w:p>
    <w:p>
      <w:pPr>
        <w:sectPr>
          <w:pgSz w:w="11900" w:h="16838" w:orient="portrait"/>
          <w:cols w:equalWidth="0" w:num="1">
            <w:col w:w="10219"/>
          </w:cols>
          <w:pgMar w:left="240" w:top="690" w:right="1440" w:bottom="154" w:gutter="0" w:footer="0" w:header="0"/>
        </w:sectPr>
      </w:pPr>
    </w:p>
    <w:bookmarkStart w:id="78" w:name="page79"/>
    <w:bookmarkEnd w:id="78"/>
    <w:p>
      <w:pPr>
        <w:ind w:left="220" w:hanging="212"/>
        <w:spacing w:after="0"/>
        <w:tabs>
          <w:tab w:leader="none" w:pos="22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See Note 4.</w:t>
      </w:r>
    </w:p>
    <w:p>
      <w:pPr>
        <w:ind w:left="2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The accompanying notes are an integral part of these consolidated financial</w:t>
      </w:r>
    </w:p>
    <w:p>
      <w:pPr>
        <w:spacing w:after="0" w:line="2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statements.</w:t>
      </w:r>
    </w:p>
    <w:p>
      <w:pPr>
        <w:spacing w:after="0" w:line="16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F-3</w:t>
      </w:r>
    </w:p>
    <w:p>
      <w:pPr>
        <w:sectPr>
          <w:pgSz w:w="11900" w:h="16838" w:orient="portrait"/>
          <w:cols w:equalWidth="0" w:num="1">
            <w:col w:w="10219"/>
          </w:cols>
          <w:pgMar w:left="240" w:top="110" w:right="1440" w:bottom="1440" w:gutter="0" w:footer="0" w:header="0"/>
        </w:sectPr>
      </w:pPr>
    </w:p>
    <w:bookmarkStart w:id="79" w:name="page80"/>
    <w:bookmarkEnd w:id="79"/>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CONSOLIDATED STATEMENTS OF OPERATIONS</w:t>
      </w:r>
    </w:p>
    <w:p>
      <w:pPr>
        <w:spacing w:after="0" w:line="3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(IN THOUSANDS, EXCEPT PER SHARE DATA)</w:t>
      </w:r>
    </w:p>
    <w:p>
      <w:pPr>
        <w:spacing w:after="0" w:line="169"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YEAR ENDED SEPTEMBER 30, -----------------------------</w:t>
      </w:r>
    </w:p>
    <w:tbl>
      <w:tblPr>
        <w:tblLayout w:type="fixed"/>
        <w:tblInd w:w="0" w:type="dxa"/>
        <w:tblCellMar>
          <w:top w:w="0" w:type="dxa"/>
          <w:left w:w="0" w:type="dxa"/>
          <w:bottom w:w="0" w:type="dxa"/>
          <w:right w:w="0" w:type="dxa"/>
        </w:tblCellMar>
      </w:tblPr>
      <w:tr>
        <w:trPr>
          <w:trHeight w:val="201"/>
        </w:trPr>
        <w:tc>
          <w:tcPr>
            <w:tcW w:w="3440" w:type="dxa"/>
            <w:vAlign w:val="bottom"/>
          </w:tcPr>
          <w:p>
            <w:pPr>
              <w:ind w:left="60"/>
              <w:spacing w:after="0" w:line="201" w:lineRule="exact"/>
              <w:rPr>
                <w:sz w:val="20"/>
                <w:szCs w:val="20"/>
                <w:color w:val="auto"/>
              </w:rPr>
            </w:pPr>
            <w:r>
              <w:rPr>
                <w:rFonts w:ascii="Courier New" w:cs="Courier New" w:eastAsia="Courier New" w:hAnsi="Courier New"/>
                <w:sz w:val="18"/>
                <w:szCs w:val="18"/>
                <w:color w:val="auto"/>
                <w:w w:val="94"/>
              </w:rPr>
              <w:t>------- 2003 2002 2001 ----------</w:t>
            </w:r>
          </w:p>
        </w:tc>
        <w:tc>
          <w:tcPr>
            <w:tcW w:w="2300" w:type="dxa"/>
            <w:vAlign w:val="bottom"/>
            <w:gridSpan w:val="2"/>
          </w:tcPr>
          <w:p>
            <w:pPr>
              <w:jc w:val="right"/>
              <w:spacing w:after="0" w:line="201" w:lineRule="exact"/>
              <w:rPr>
                <w:sz w:val="20"/>
                <w:szCs w:val="20"/>
                <w:color w:val="auto"/>
              </w:rPr>
            </w:pPr>
            <w:r>
              <w:rPr>
                <w:rFonts w:ascii="Courier New" w:cs="Courier New" w:eastAsia="Courier New" w:hAnsi="Courier New"/>
                <w:sz w:val="18"/>
                <w:szCs w:val="18"/>
                <w:color w:val="auto"/>
              </w:rPr>
              <w:t>---------- ---------</w:t>
            </w:r>
          </w:p>
        </w:tc>
        <w:tc>
          <w:tcPr>
            <w:tcW w:w="0" w:type="dxa"/>
            <w:vAlign w:val="bottom"/>
          </w:tcPr>
          <w:p>
            <w:pPr>
              <w:spacing w:after="0"/>
              <w:rPr>
                <w:sz w:val="1"/>
                <w:szCs w:val="1"/>
                <w:color w:val="auto"/>
              </w:rPr>
            </w:pPr>
          </w:p>
        </w:tc>
      </w:tr>
      <w:tr>
        <w:trPr>
          <w:trHeight w:val="203"/>
        </w:trPr>
        <w:tc>
          <w:tcPr>
            <w:tcW w:w="3440" w:type="dxa"/>
            <w:vAlign w:val="bottom"/>
          </w:tcPr>
          <w:p>
            <w:pPr>
              <w:jc w:val="center"/>
              <w:ind w:left="2296"/>
              <w:spacing w:after="0" w:line="203" w:lineRule="exact"/>
              <w:rPr>
                <w:sz w:val="20"/>
                <w:szCs w:val="20"/>
                <w:color w:val="auto"/>
              </w:rPr>
            </w:pPr>
            <w:r>
              <w:rPr>
                <w:rFonts w:ascii="Courier New" w:cs="Courier New" w:eastAsia="Courier New" w:hAnsi="Courier New"/>
                <w:sz w:val="18"/>
                <w:szCs w:val="18"/>
                <w:color w:val="auto"/>
                <w:w w:val="98"/>
              </w:rPr>
              <w:t>- REVENUE:</w:t>
            </w: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40" w:type="dxa"/>
            <w:vAlign w:val="bottom"/>
          </w:tcPr>
          <w:p>
            <w:pPr>
              <w:spacing w:after="0"/>
              <w:rPr>
                <w:sz w:val="20"/>
                <w:szCs w:val="20"/>
                <w:color w:val="auto"/>
              </w:rPr>
            </w:pPr>
            <w:r>
              <w:rPr>
                <w:rFonts w:ascii="Courier New" w:cs="Courier New" w:eastAsia="Courier New" w:hAnsi="Courier New"/>
                <w:sz w:val="14"/>
                <w:szCs w:val="14"/>
                <w:color w:val="auto"/>
                <w:w w:val="74"/>
              </w:rPr>
              <w:t>License(*).............................................</w:t>
            </w:r>
          </w:p>
        </w:tc>
        <w:tc>
          <w:tcPr>
            <w:tcW w:w="9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4"/>
              </w:rPr>
              <w:t>$ 171,430</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40" w:type="dxa"/>
            <w:vAlign w:val="bottom"/>
          </w:tcPr>
          <w:p>
            <w:pPr>
              <w:ind w:left="1440"/>
              <w:spacing w:after="0" w:line="203" w:lineRule="exact"/>
              <w:rPr>
                <w:sz w:val="20"/>
                <w:szCs w:val="20"/>
                <w:color w:val="auto"/>
              </w:rPr>
            </w:pPr>
            <w:r>
              <w:rPr>
                <w:rFonts w:ascii="Courier New" w:cs="Courier New" w:eastAsia="Courier New" w:hAnsi="Courier New"/>
                <w:sz w:val="18"/>
                <w:szCs w:val="18"/>
                <w:color w:val="auto"/>
              </w:rPr>
              <w:t>$ 65,582 $ 153,664</w:t>
            </w:r>
          </w:p>
        </w:tc>
        <w:tc>
          <w:tcPr>
            <w:tcW w:w="940" w:type="dxa"/>
            <w:vAlign w:val="bottom"/>
            <w:vMerge w:val="continue"/>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3"/>
              </w:rPr>
              <w:t>Service(*).............................................</w:t>
            </w:r>
          </w:p>
        </w:tc>
        <w:tc>
          <w:tcPr>
            <w:tcW w:w="13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5"/>
              </w:rPr>
              <w:t>---------- --</w:t>
            </w:r>
          </w:p>
        </w:tc>
        <w:tc>
          <w:tcPr>
            <w:tcW w:w="0" w:type="dxa"/>
            <w:vAlign w:val="bottom"/>
          </w:tcPr>
          <w:p>
            <w:pPr>
              <w:spacing w:after="0"/>
              <w:rPr>
                <w:sz w:val="1"/>
                <w:szCs w:val="1"/>
                <w:color w:val="auto"/>
              </w:rPr>
            </w:pPr>
          </w:p>
        </w:tc>
      </w:tr>
      <w:tr>
        <w:trPr>
          <w:trHeight w:val="203"/>
        </w:trPr>
        <w:tc>
          <w:tcPr>
            <w:tcW w:w="43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1,417,745 1,459,901 1,362,480 ----------</w:t>
            </w:r>
          </w:p>
        </w:tc>
        <w:tc>
          <w:tcPr>
            <w:tcW w:w="1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81"/>
              </w:rPr>
              <w:t>-------- 1,483,327 1,613,565 1,533,910 ----------</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74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 ---------- OPERATING EXPENSES: Cost of</w:t>
            </w:r>
          </w:p>
        </w:tc>
        <w:tc>
          <w:tcPr>
            <w:tcW w:w="0" w:type="dxa"/>
            <w:vAlign w:val="bottom"/>
          </w:tcPr>
          <w:p>
            <w:pPr>
              <w:spacing w:after="0"/>
              <w:rPr>
                <w:sz w:val="1"/>
                <w:szCs w:val="1"/>
                <w:color w:val="auto"/>
              </w:rPr>
            </w:pPr>
          </w:p>
        </w:tc>
      </w:tr>
      <w:tr>
        <w:trPr>
          <w:trHeight w:val="203"/>
        </w:trPr>
        <w:tc>
          <w:tcPr>
            <w:tcW w:w="4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1"/>
              </w:rPr>
              <w:t>license.....................................</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5,752</w:t>
            </w:r>
          </w:p>
        </w:tc>
        <w:tc>
          <w:tcPr>
            <w:tcW w:w="0" w:type="dxa"/>
            <w:vAlign w:val="bottom"/>
          </w:tcPr>
          <w:p>
            <w:pPr>
              <w:spacing w:after="0"/>
              <w:rPr>
                <w:sz w:val="1"/>
                <w:szCs w:val="1"/>
                <w:color w:val="auto"/>
              </w:rPr>
            </w:pPr>
          </w:p>
        </w:tc>
      </w:tr>
      <w:tr>
        <w:trPr>
          <w:trHeight w:val="203"/>
        </w:trPr>
        <w:tc>
          <w:tcPr>
            <w:tcW w:w="4380" w:type="dxa"/>
            <w:vAlign w:val="bottom"/>
            <w:gridSpan w:val="2"/>
          </w:tcPr>
          <w:p>
            <w:pPr>
              <w:jc w:val="right"/>
              <w:spacing w:after="0" w:line="202" w:lineRule="exact"/>
              <w:rPr>
                <w:sz w:val="20"/>
                <w:szCs w:val="20"/>
                <w:color w:val="auto"/>
              </w:rPr>
            </w:pPr>
            <w:r>
              <w:rPr>
                <w:rFonts w:ascii="Courier New" w:cs="Courier New" w:eastAsia="Courier New" w:hAnsi="Courier New"/>
                <w:sz w:val="13"/>
                <w:szCs w:val="13"/>
                <w:color w:val="auto"/>
              </w:rPr>
              <w:t>..................................</w:t>
            </w:r>
            <w:r>
              <w:rPr>
                <w:rFonts w:ascii="Courier New" w:cs="Courier New" w:eastAsia="Courier New" w:hAnsi="Courier New"/>
                <w:sz w:val="23"/>
                <w:szCs w:val="23"/>
                <w:color w:val="auto"/>
                <w:vertAlign w:val="superscript"/>
              </w:rPr>
              <w:t>5,9845,651Costof</w:t>
            </w:r>
          </w:p>
        </w:tc>
        <w:tc>
          <w:tcPr>
            <w:tcW w:w="13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907,607</w:t>
            </w:r>
          </w:p>
        </w:tc>
        <w:tc>
          <w:tcPr>
            <w:tcW w:w="0" w:type="dxa"/>
            <w:vAlign w:val="bottom"/>
          </w:tcPr>
          <w:p>
            <w:pPr>
              <w:spacing w:after="0"/>
              <w:rPr>
                <w:sz w:val="1"/>
                <w:szCs w:val="1"/>
                <w:color w:val="auto"/>
              </w:rPr>
            </w:pPr>
          </w:p>
        </w:tc>
      </w:tr>
      <w:tr>
        <w:trPr>
          <w:trHeight w:val="203"/>
        </w:trPr>
        <w:tc>
          <w:tcPr>
            <w:tcW w:w="34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service(*)</w:t>
            </w:r>
          </w:p>
        </w:tc>
        <w:tc>
          <w:tcPr>
            <w:tcW w:w="94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80" w:type="dxa"/>
            <w:vAlign w:val="bottom"/>
            <w:gridSpan w:val="2"/>
          </w:tcPr>
          <w:p>
            <w:pPr>
              <w:jc w:val="center"/>
              <w:ind w:left="1336"/>
              <w:spacing w:after="0" w:line="203" w:lineRule="exact"/>
              <w:rPr>
                <w:sz w:val="20"/>
                <w:szCs w:val="20"/>
                <w:color w:val="auto"/>
              </w:rPr>
            </w:pPr>
            <w:r>
              <w:rPr>
                <w:rFonts w:ascii="Courier New" w:cs="Courier New" w:eastAsia="Courier New" w:hAnsi="Courier New"/>
                <w:sz w:val="20"/>
                <w:szCs w:val="20"/>
                <w:color w:val="auto"/>
                <w:w w:val="73"/>
                <w:vertAlign w:val="superscript"/>
              </w:rPr>
              <w:t>927,353</w:t>
            </w:r>
            <w:r>
              <w:rPr>
                <w:rFonts w:ascii="Courier New" w:cs="Courier New" w:eastAsia="Courier New" w:hAnsi="Courier New"/>
                <w:sz w:val="12"/>
                <w:szCs w:val="12"/>
                <w:color w:val="auto"/>
                <w:w w:val="73"/>
              </w:rPr>
              <w:t>............................</w:t>
            </w:r>
            <w:r>
              <w:rPr>
                <w:rFonts w:ascii="Courier New" w:cs="Courier New" w:eastAsia="Courier New" w:hAnsi="Courier New"/>
                <w:sz w:val="20"/>
                <w:szCs w:val="20"/>
                <w:color w:val="auto"/>
                <w:w w:val="73"/>
                <w:vertAlign w:val="superscript"/>
              </w:rPr>
              <w:t>847,591Researchand</w:t>
            </w:r>
          </w:p>
        </w:tc>
        <w:tc>
          <w:tcPr>
            <w:tcW w:w="1360" w:type="dxa"/>
            <w:vAlign w:val="bottom"/>
            <w:vMerge w:val="restart"/>
          </w:tcPr>
          <w:p>
            <w:pPr>
              <w:jc w:val="right"/>
              <w:ind w:right="272"/>
              <w:spacing w:after="0"/>
              <w:rPr>
                <w:sz w:val="20"/>
                <w:szCs w:val="20"/>
                <w:color w:val="auto"/>
              </w:rPr>
            </w:pPr>
            <w:r>
              <w:rPr>
                <w:rFonts w:ascii="Courier New" w:cs="Courier New" w:eastAsia="Courier New" w:hAnsi="Courier New"/>
                <w:sz w:val="18"/>
                <w:szCs w:val="18"/>
                <w:color w:val="auto"/>
              </w:rPr>
              <w:t>119,256</w:t>
            </w:r>
          </w:p>
        </w:tc>
        <w:tc>
          <w:tcPr>
            <w:tcW w:w="0" w:type="dxa"/>
            <w:vAlign w:val="bottom"/>
          </w:tcPr>
          <w:p>
            <w:pPr>
              <w:spacing w:after="0"/>
              <w:rPr>
                <w:sz w:val="1"/>
                <w:szCs w:val="1"/>
                <w:color w:val="auto"/>
              </w:rPr>
            </w:pPr>
          </w:p>
        </w:tc>
      </w:tr>
      <w:tr>
        <w:trPr>
          <w:trHeight w:val="203"/>
        </w:trPr>
        <w:tc>
          <w:tcPr>
            <w:tcW w:w="34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development</w:t>
            </w:r>
          </w:p>
        </w:tc>
        <w:tc>
          <w:tcPr>
            <w:tcW w:w="94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124,082 105,807 Selling, general and</w:t>
            </w:r>
          </w:p>
        </w:tc>
        <w:tc>
          <w:tcPr>
            <w:tcW w:w="0" w:type="dxa"/>
            <w:vAlign w:val="bottom"/>
          </w:tcPr>
          <w:p>
            <w:pPr>
              <w:spacing w:after="0"/>
              <w:rPr>
                <w:sz w:val="1"/>
                <w:szCs w:val="1"/>
                <w:color w:val="auto"/>
              </w:rPr>
            </w:pPr>
          </w:p>
        </w:tc>
      </w:tr>
      <w:tr>
        <w:trPr>
          <w:trHeight w:val="203"/>
        </w:trPr>
        <w:tc>
          <w:tcPr>
            <w:tcW w:w="34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89"/>
              </w:rPr>
              <w:t>administrative(*)..............</w:t>
            </w:r>
          </w:p>
        </w:tc>
        <w:tc>
          <w:tcPr>
            <w:tcW w:w="230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206,265 223,551</w:t>
            </w:r>
          </w:p>
        </w:tc>
        <w:tc>
          <w:tcPr>
            <w:tcW w:w="0" w:type="dxa"/>
            <w:vAlign w:val="bottom"/>
          </w:tcPr>
          <w:p>
            <w:pPr>
              <w:spacing w:after="0"/>
              <w:rPr>
                <w:sz w:val="1"/>
                <w:szCs w:val="1"/>
                <w:color w:val="auto"/>
              </w:rPr>
            </w:pPr>
          </w:p>
        </w:tc>
      </w:tr>
      <w:tr>
        <w:trPr>
          <w:trHeight w:val="203"/>
        </w:trPr>
        <w:tc>
          <w:tcPr>
            <w:tcW w:w="574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195,592 Amortization of goodwill and purchased</w:t>
            </w:r>
          </w:p>
        </w:tc>
        <w:tc>
          <w:tcPr>
            <w:tcW w:w="0" w:type="dxa"/>
            <w:vAlign w:val="bottom"/>
          </w:tcPr>
          <w:p>
            <w:pPr>
              <w:spacing w:after="0"/>
              <w:rPr>
                <w:sz w:val="1"/>
                <w:szCs w:val="1"/>
                <w:color w:val="auto"/>
              </w:rPr>
            </w:pPr>
          </w:p>
        </w:tc>
      </w:tr>
      <w:tr>
        <w:trPr>
          <w:trHeight w:val="235"/>
        </w:trPr>
        <w:tc>
          <w:tcPr>
            <w:tcW w:w="3440" w:type="dxa"/>
            <w:vAlign w:val="bottom"/>
          </w:tcPr>
          <w:p>
            <w:pPr>
              <w:jc w:val="center"/>
              <w:ind w:left="2296"/>
              <w:spacing w:after="0"/>
              <w:rPr>
                <w:sz w:val="20"/>
                <w:szCs w:val="20"/>
                <w:color w:val="auto"/>
              </w:rPr>
            </w:pPr>
            <w:r>
              <w:rPr>
                <w:rFonts w:ascii="Courier New" w:cs="Courier New" w:eastAsia="Courier New" w:hAnsi="Courier New"/>
                <w:sz w:val="18"/>
                <w:szCs w:val="18"/>
                <w:color w:val="auto"/>
                <w:w w:val="98"/>
              </w:rPr>
              <w:t>intangible</w:t>
            </w:r>
          </w:p>
        </w:tc>
        <w:tc>
          <w:tcPr>
            <w:tcW w:w="9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280"/>
        <w:spacing w:after="0" w:line="238" w:lineRule="auto"/>
        <w:rPr>
          <w:sz w:val="20"/>
          <w:szCs w:val="20"/>
          <w:color w:val="auto"/>
        </w:rPr>
      </w:pPr>
      <w:r>
        <w:rPr>
          <w:rFonts w:ascii="Courier New" w:cs="Courier New" w:eastAsia="Courier New" w:hAnsi="Courier New"/>
          <w:sz w:val="18"/>
          <w:szCs w:val="18"/>
          <w:color w:val="auto"/>
        </w:rPr>
        <w:t>assets............................................</w:t>
      </w:r>
    </w:p>
    <w:p>
      <w:pPr>
        <w:ind w:left="1000" w:right="4739" w:hanging="684"/>
        <w:spacing w:after="0" w:line="238" w:lineRule="auto"/>
        <w:rPr>
          <w:sz w:val="20"/>
          <w:szCs w:val="20"/>
          <w:color w:val="auto"/>
        </w:rPr>
      </w:pPr>
      <w:r>
        <w:rPr>
          <w:rFonts w:ascii="Courier New" w:cs="Courier New" w:eastAsia="Courier New" w:hAnsi="Courier New"/>
          <w:sz w:val="18"/>
          <w:szCs w:val="18"/>
          <w:color w:val="auto"/>
        </w:rPr>
        <w:t>19,940 231,804 219,988 Restructuring charges, in-process research and development and</w:t>
      </w:r>
    </w:p>
    <w:tbl>
      <w:tblPr>
        <w:tblLayout w:type="fixed"/>
        <w:tblInd w:w="60" w:type="dxa"/>
        <w:tblCellMar>
          <w:top w:w="0" w:type="dxa"/>
          <w:left w:w="0" w:type="dxa"/>
          <w:bottom w:w="0" w:type="dxa"/>
          <w:right w:w="0" w:type="dxa"/>
        </w:tblCellMar>
      </w:tblPr>
      <w:tr>
        <w:trPr>
          <w:trHeight w:val="171"/>
        </w:trPr>
        <w:tc>
          <w:tcPr>
            <w:tcW w:w="2220" w:type="dxa"/>
            <w:vAlign w:val="bottom"/>
          </w:tcPr>
          <w:p>
            <w:pPr>
              <w:jc w:val="right"/>
              <w:spacing w:after="0"/>
              <w:rPr>
                <w:sz w:val="20"/>
                <w:szCs w:val="20"/>
                <w:color w:val="auto"/>
              </w:rPr>
            </w:pPr>
            <w:r>
              <w:rPr>
                <w:rFonts w:ascii="Courier New" w:cs="Courier New" w:eastAsia="Courier New" w:hAnsi="Courier New"/>
                <w:sz w:val="15"/>
                <w:szCs w:val="15"/>
                <w:color w:val="auto"/>
                <w:w w:val="71"/>
              </w:rPr>
              <w:t>other.............................</w:t>
            </w:r>
          </w:p>
        </w:tc>
        <w:tc>
          <w:tcPr>
            <w:tcW w:w="3460" w:type="dxa"/>
            <w:vAlign w:val="bottom"/>
          </w:tcPr>
          <w:p>
            <w:pPr>
              <w:jc w:val="right"/>
              <w:spacing w:after="0" w:line="171" w:lineRule="exact"/>
              <w:rPr>
                <w:sz w:val="20"/>
                <w:szCs w:val="20"/>
                <w:color w:val="auto"/>
              </w:rPr>
            </w:pPr>
            <w:r>
              <w:rPr>
                <w:rFonts w:ascii="Courier New" w:cs="Courier New" w:eastAsia="Courier New" w:hAnsi="Courier New"/>
                <w:sz w:val="18"/>
                <w:szCs w:val="18"/>
                <w:color w:val="auto"/>
              </w:rPr>
              <w:t>14,089 51,630 -- --</w:t>
            </w:r>
          </w:p>
        </w:tc>
        <w:tc>
          <w:tcPr>
            <w:tcW w:w="0" w:type="dxa"/>
            <w:vAlign w:val="bottom"/>
          </w:tcPr>
          <w:p>
            <w:pPr>
              <w:spacing w:after="0"/>
              <w:rPr>
                <w:sz w:val="1"/>
                <w:szCs w:val="1"/>
                <w:color w:val="auto"/>
              </w:rPr>
            </w:pPr>
          </w:p>
        </w:tc>
      </w:tr>
      <w:tr>
        <w:trPr>
          <w:trHeight w:val="203"/>
        </w:trPr>
        <w:tc>
          <w:tcPr>
            <w:tcW w:w="56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 ---------- ---------- 1,272,909 1,564,404</w:t>
            </w:r>
          </w:p>
        </w:tc>
        <w:tc>
          <w:tcPr>
            <w:tcW w:w="0" w:type="dxa"/>
            <w:vAlign w:val="bottom"/>
          </w:tcPr>
          <w:p>
            <w:pPr>
              <w:spacing w:after="0"/>
              <w:rPr>
                <w:sz w:val="1"/>
                <w:szCs w:val="1"/>
                <w:color w:val="auto"/>
              </w:rPr>
            </w:pPr>
          </w:p>
        </w:tc>
      </w:tr>
      <w:tr>
        <w:trPr>
          <w:trHeight w:val="203"/>
        </w:trPr>
        <w:tc>
          <w:tcPr>
            <w:tcW w:w="2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1,374,629 ----------</w:t>
            </w:r>
          </w:p>
        </w:tc>
        <w:tc>
          <w:tcPr>
            <w:tcW w:w="3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 ---------- Operating</w:t>
            </w:r>
          </w:p>
        </w:tc>
        <w:tc>
          <w:tcPr>
            <w:tcW w:w="0" w:type="dxa"/>
            <w:vAlign w:val="bottom"/>
          </w:tcPr>
          <w:p>
            <w:pPr>
              <w:spacing w:after="0"/>
              <w:rPr>
                <w:sz w:val="1"/>
                <w:szCs w:val="1"/>
                <w:color w:val="auto"/>
              </w:rPr>
            </w:pPr>
          </w:p>
        </w:tc>
      </w:tr>
      <w:tr>
        <w:trPr>
          <w:trHeight w:val="203"/>
        </w:trPr>
        <w:tc>
          <w:tcPr>
            <w:tcW w:w="56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income.........................................</w:t>
            </w:r>
          </w:p>
        </w:tc>
        <w:tc>
          <w:tcPr>
            <w:tcW w:w="0" w:type="dxa"/>
            <w:vAlign w:val="bottom"/>
          </w:tcPr>
          <w:p>
            <w:pPr>
              <w:spacing w:after="0"/>
              <w:rPr>
                <w:sz w:val="1"/>
                <w:szCs w:val="1"/>
                <w:color w:val="auto"/>
              </w:rPr>
            </w:pPr>
          </w:p>
        </w:tc>
      </w:tr>
      <w:tr>
        <w:trPr>
          <w:trHeight w:val="203"/>
        </w:trPr>
        <w:tc>
          <w:tcPr>
            <w:tcW w:w="56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210,418 49,161 159,281 Interest income and other,</w:t>
            </w:r>
          </w:p>
        </w:tc>
        <w:tc>
          <w:tcPr>
            <w:tcW w:w="0" w:type="dxa"/>
            <w:vAlign w:val="bottom"/>
          </w:tcPr>
          <w:p>
            <w:pPr>
              <w:spacing w:after="0"/>
              <w:rPr>
                <w:sz w:val="1"/>
                <w:szCs w:val="1"/>
                <w:color w:val="auto"/>
              </w:rPr>
            </w:pPr>
          </w:p>
        </w:tc>
      </w:tr>
      <w:tr>
        <w:trPr>
          <w:trHeight w:val="203"/>
        </w:trPr>
        <w:tc>
          <w:tcPr>
            <w:tcW w:w="2220" w:type="dxa"/>
            <w:vAlign w:val="bottom"/>
          </w:tcPr>
          <w:p>
            <w:pPr>
              <w:jc w:val="right"/>
              <w:spacing w:after="0"/>
              <w:rPr>
                <w:sz w:val="20"/>
                <w:szCs w:val="20"/>
                <w:color w:val="auto"/>
              </w:rPr>
            </w:pPr>
            <w:r>
              <w:rPr>
                <w:rFonts w:ascii="Courier New" w:cs="Courier New" w:eastAsia="Courier New" w:hAnsi="Courier New"/>
                <w:sz w:val="16"/>
                <w:szCs w:val="16"/>
                <w:color w:val="auto"/>
                <w:w w:val="76"/>
              </w:rPr>
              <w:t>net(*)........................</w:t>
            </w:r>
          </w:p>
        </w:tc>
        <w:tc>
          <w:tcPr>
            <w:tcW w:w="3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14,759 19,298 22,286 --</w:t>
            </w:r>
          </w:p>
        </w:tc>
        <w:tc>
          <w:tcPr>
            <w:tcW w:w="0" w:type="dxa"/>
            <w:vAlign w:val="bottom"/>
          </w:tcPr>
          <w:p>
            <w:pPr>
              <w:spacing w:after="0"/>
              <w:rPr>
                <w:sz w:val="1"/>
                <w:szCs w:val="1"/>
                <w:color w:val="auto"/>
              </w:rPr>
            </w:pPr>
          </w:p>
        </w:tc>
      </w:tr>
      <w:tr>
        <w:trPr>
          <w:trHeight w:val="203"/>
        </w:trPr>
        <w:tc>
          <w:tcPr>
            <w:tcW w:w="56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 ---------- ---------- Income before income</w:t>
            </w:r>
          </w:p>
        </w:tc>
        <w:tc>
          <w:tcPr>
            <w:tcW w:w="0" w:type="dxa"/>
            <w:vAlign w:val="bottom"/>
          </w:tcPr>
          <w:p>
            <w:pPr>
              <w:spacing w:after="0"/>
              <w:rPr>
                <w:sz w:val="1"/>
                <w:szCs w:val="1"/>
                <w:color w:val="auto"/>
              </w:rPr>
            </w:pPr>
          </w:p>
        </w:tc>
      </w:tr>
      <w:tr>
        <w:trPr>
          <w:trHeight w:val="203"/>
        </w:trPr>
        <w:tc>
          <w:tcPr>
            <w:tcW w:w="2220" w:type="dxa"/>
            <w:vAlign w:val="bottom"/>
          </w:tcPr>
          <w:p>
            <w:pPr>
              <w:jc w:val="right"/>
              <w:spacing w:after="0"/>
              <w:rPr>
                <w:sz w:val="20"/>
                <w:szCs w:val="20"/>
                <w:color w:val="auto"/>
              </w:rPr>
            </w:pPr>
            <w:r>
              <w:rPr>
                <w:rFonts w:ascii="Courier New" w:cs="Courier New" w:eastAsia="Courier New" w:hAnsi="Courier New"/>
                <w:sz w:val="14"/>
                <w:szCs w:val="14"/>
                <w:color w:val="auto"/>
                <w:w w:val="72"/>
              </w:rPr>
              <w:t>taxes...............................</w:t>
            </w:r>
          </w:p>
        </w:tc>
        <w:tc>
          <w:tcPr>
            <w:tcW w:w="3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225,177 68,459</w:t>
            </w:r>
          </w:p>
        </w:tc>
        <w:tc>
          <w:tcPr>
            <w:tcW w:w="0" w:type="dxa"/>
            <w:vAlign w:val="bottom"/>
          </w:tcPr>
          <w:p>
            <w:pPr>
              <w:spacing w:after="0"/>
              <w:rPr>
                <w:sz w:val="1"/>
                <w:szCs w:val="1"/>
                <w:color w:val="auto"/>
              </w:rPr>
            </w:pPr>
          </w:p>
        </w:tc>
      </w:tr>
      <w:tr>
        <w:trPr>
          <w:trHeight w:val="203"/>
        </w:trPr>
        <w:tc>
          <w:tcPr>
            <w:tcW w:w="56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181,567 Income</w:t>
            </w:r>
          </w:p>
        </w:tc>
        <w:tc>
          <w:tcPr>
            <w:tcW w:w="0" w:type="dxa"/>
            <w:vAlign w:val="bottom"/>
          </w:tcPr>
          <w:p>
            <w:pPr>
              <w:spacing w:after="0"/>
              <w:rPr>
                <w:sz w:val="1"/>
                <w:szCs w:val="1"/>
                <w:color w:val="auto"/>
              </w:rPr>
            </w:pPr>
          </w:p>
        </w:tc>
      </w:tr>
      <w:tr>
        <w:trPr>
          <w:trHeight w:val="203"/>
        </w:trPr>
        <w:tc>
          <w:tcPr>
            <w:tcW w:w="2220" w:type="dxa"/>
            <w:vAlign w:val="bottom"/>
          </w:tcPr>
          <w:p>
            <w:pPr>
              <w:jc w:val="right"/>
              <w:spacing w:after="0"/>
              <w:rPr>
                <w:sz w:val="20"/>
                <w:szCs w:val="20"/>
                <w:color w:val="auto"/>
              </w:rPr>
            </w:pPr>
            <w:r>
              <w:rPr>
                <w:rFonts w:ascii="Courier New" w:cs="Courier New" w:eastAsia="Courier New" w:hAnsi="Courier New"/>
                <w:sz w:val="10"/>
                <w:szCs w:val="10"/>
                <w:color w:val="auto"/>
                <w:w w:val="73"/>
              </w:rPr>
              <w:t>taxes.............................................</w:t>
            </w:r>
          </w:p>
        </w:tc>
        <w:tc>
          <w:tcPr>
            <w:tcW w:w="34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9"/>
              </w:rPr>
              <w:t>---------- ---------- ----------</w:t>
            </w:r>
          </w:p>
        </w:tc>
        <w:tc>
          <w:tcPr>
            <w:tcW w:w="0" w:type="dxa"/>
            <w:vAlign w:val="bottom"/>
          </w:tcPr>
          <w:p>
            <w:pPr>
              <w:spacing w:after="0"/>
              <w:rPr>
                <w:sz w:val="1"/>
                <w:szCs w:val="1"/>
                <w:color w:val="auto"/>
              </w:rPr>
            </w:pPr>
          </w:p>
        </w:tc>
      </w:tr>
      <w:tr>
        <w:trPr>
          <w:trHeight w:val="203"/>
        </w:trPr>
        <w:tc>
          <w:tcPr>
            <w:tcW w:w="2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56,294 73,520 115,181</w:t>
            </w:r>
          </w:p>
        </w:tc>
        <w:tc>
          <w:tcPr>
            <w:tcW w:w="3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20" w:type="dxa"/>
            <w:vAlign w:val="bottom"/>
            <w:vMerge w:val="restart"/>
          </w:tcPr>
          <w:p>
            <w:pPr>
              <w:jc w:val="right"/>
              <w:spacing w:after="0"/>
              <w:rPr>
                <w:sz w:val="20"/>
                <w:szCs w:val="20"/>
                <w:color w:val="auto"/>
              </w:rPr>
            </w:pPr>
            <w:r>
              <w:rPr>
                <w:rFonts w:ascii="Courier New" w:cs="Courier New" w:eastAsia="Courier New" w:hAnsi="Courier New"/>
                <w:sz w:val="11"/>
                <w:szCs w:val="11"/>
                <w:color w:val="auto"/>
                <w:w w:val="72"/>
              </w:rPr>
              <w:t>(LOSS)........................................</w:t>
            </w:r>
          </w:p>
        </w:tc>
        <w:tc>
          <w:tcPr>
            <w:tcW w:w="3460" w:type="dxa"/>
            <w:vAlign w:val="bottom"/>
          </w:tcPr>
          <w:p>
            <w:pPr>
              <w:jc w:val="center"/>
              <w:ind w:right="2112"/>
              <w:spacing w:after="0" w:line="203" w:lineRule="exact"/>
              <w:rPr>
                <w:sz w:val="20"/>
                <w:szCs w:val="20"/>
                <w:color w:val="auto"/>
              </w:rPr>
            </w:pPr>
            <w:r>
              <w:rPr>
                <w:rFonts w:ascii="Courier New" w:cs="Courier New" w:eastAsia="Courier New" w:hAnsi="Courier New"/>
                <w:sz w:val="18"/>
                <w:szCs w:val="18"/>
                <w:color w:val="auto"/>
                <w:w w:val="98"/>
              </w:rPr>
              <w:t>NET INCOME</w:t>
            </w:r>
          </w:p>
        </w:tc>
        <w:tc>
          <w:tcPr>
            <w:tcW w:w="0" w:type="dxa"/>
            <w:vAlign w:val="bottom"/>
          </w:tcPr>
          <w:p>
            <w:pPr>
              <w:spacing w:after="0"/>
              <w:rPr>
                <w:sz w:val="1"/>
                <w:szCs w:val="1"/>
                <w:color w:val="auto"/>
              </w:rPr>
            </w:pPr>
          </w:p>
        </w:tc>
      </w:tr>
      <w:tr>
        <w:trPr>
          <w:trHeight w:val="203"/>
        </w:trPr>
        <w:tc>
          <w:tcPr>
            <w:tcW w:w="2220" w:type="dxa"/>
            <w:vAlign w:val="bottom"/>
            <w:vMerge w:val="continue"/>
          </w:tcPr>
          <w:p>
            <w:pPr>
              <w:spacing w:after="0"/>
              <w:rPr>
                <w:sz w:val="17"/>
                <w:szCs w:val="17"/>
                <w:color w:val="auto"/>
              </w:rPr>
            </w:pPr>
          </w:p>
        </w:tc>
        <w:tc>
          <w:tcPr>
            <w:tcW w:w="34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220" w:type="dxa"/>
            <w:vAlign w:val="bottom"/>
          </w:tcPr>
          <w:p>
            <w:pPr>
              <w:jc w:val="right"/>
              <w:ind w:right="40"/>
              <w:spacing w:after="0" w:line="203" w:lineRule="exact"/>
              <w:rPr>
                <w:sz w:val="20"/>
                <w:szCs w:val="20"/>
                <w:color w:val="auto"/>
              </w:rPr>
            </w:pPr>
            <w:r>
              <w:rPr>
                <w:rFonts w:ascii="Courier New" w:cs="Courier New" w:eastAsia="Courier New" w:hAnsi="Courier New"/>
                <w:sz w:val="18"/>
                <w:szCs w:val="18"/>
                <w:color w:val="auto"/>
              </w:rPr>
              <w:t>168,883 $ (5,061)</w:t>
            </w:r>
          </w:p>
        </w:tc>
        <w:tc>
          <w:tcPr>
            <w:tcW w:w="34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w w:val="96"/>
              </w:rPr>
              <w:t>$ 66,386 ========== ==========</w:t>
            </w:r>
          </w:p>
        </w:tc>
        <w:tc>
          <w:tcPr>
            <w:tcW w:w="0" w:type="dxa"/>
            <w:vAlign w:val="bottom"/>
          </w:tcPr>
          <w:p>
            <w:pPr>
              <w:spacing w:after="0"/>
              <w:rPr>
                <w:sz w:val="1"/>
                <w:szCs w:val="1"/>
                <w:color w:val="auto"/>
              </w:rPr>
            </w:pPr>
          </w:p>
        </w:tc>
      </w:tr>
      <w:tr>
        <w:trPr>
          <w:trHeight w:val="203"/>
        </w:trPr>
        <w:tc>
          <w:tcPr>
            <w:tcW w:w="56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 BASIC EARNINGS (LOSS) PER</w:t>
            </w:r>
          </w:p>
        </w:tc>
        <w:tc>
          <w:tcPr>
            <w:tcW w:w="0" w:type="dxa"/>
            <w:vAlign w:val="bottom"/>
          </w:tcPr>
          <w:p>
            <w:pPr>
              <w:spacing w:after="0"/>
              <w:rPr>
                <w:sz w:val="1"/>
                <w:szCs w:val="1"/>
                <w:color w:val="auto"/>
              </w:rPr>
            </w:pPr>
          </w:p>
        </w:tc>
      </w:tr>
      <w:tr>
        <w:trPr>
          <w:trHeight w:val="203"/>
        </w:trPr>
        <w:tc>
          <w:tcPr>
            <w:tcW w:w="2220" w:type="dxa"/>
            <w:vAlign w:val="bottom"/>
          </w:tcPr>
          <w:p>
            <w:pPr>
              <w:jc w:val="right"/>
              <w:spacing w:after="0"/>
              <w:rPr>
                <w:sz w:val="20"/>
                <w:szCs w:val="20"/>
                <w:color w:val="auto"/>
              </w:rPr>
            </w:pPr>
            <w:r>
              <w:rPr>
                <w:rFonts w:ascii="Courier New" w:cs="Courier New" w:eastAsia="Courier New" w:hAnsi="Courier New"/>
                <w:sz w:val="16"/>
                <w:szCs w:val="16"/>
                <w:color w:val="auto"/>
                <w:w w:val="73"/>
              </w:rPr>
              <w:t>SHARE..........................</w:t>
            </w:r>
          </w:p>
        </w:tc>
        <w:tc>
          <w:tcPr>
            <w:tcW w:w="3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$ 0.78 $ (0.02) $ 0.30</w:t>
            </w:r>
          </w:p>
        </w:tc>
        <w:tc>
          <w:tcPr>
            <w:tcW w:w="0" w:type="dxa"/>
            <w:vAlign w:val="bottom"/>
          </w:tcPr>
          <w:p>
            <w:pPr>
              <w:spacing w:after="0"/>
              <w:rPr>
                <w:sz w:val="1"/>
                <w:szCs w:val="1"/>
                <w:color w:val="auto"/>
              </w:rPr>
            </w:pPr>
          </w:p>
        </w:tc>
      </w:tr>
      <w:tr>
        <w:trPr>
          <w:trHeight w:val="203"/>
        </w:trPr>
        <w:tc>
          <w:tcPr>
            <w:tcW w:w="56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 ========== ========== DILUTED EARNINGS</w:t>
            </w:r>
          </w:p>
        </w:tc>
        <w:tc>
          <w:tcPr>
            <w:tcW w:w="0" w:type="dxa"/>
            <w:vAlign w:val="bottom"/>
          </w:tcPr>
          <w:p>
            <w:pPr>
              <w:spacing w:after="0"/>
              <w:rPr>
                <w:sz w:val="1"/>
                <w:szCs w:val="1"/>
                <w:color w:val="auto"/>
              </w:rPr>
            </w:pPr>
          </w:p>
        </w:tc>
      </w:tr>
      <w:tr>
        <w:trPr>
          <w:trHeight w:val="203"/>
        </w:trPr>
        <w:tc>
          <w:tcPr>
            <w:tcW w:w="2220" w:type="dxa"/>
            <w:vAlign w:val="bottom"/>
          </w:tcPr>
          <w:p>
            <w:pPr>
              <w:jc w:val="right"/>
              <w:spacing w:after="0"/>
              <w:rPr>
                <w:sz w:val="20"/>
                <w:szCs w:val="20"/>
                <w:color w:val="auto"/>
              </w:rPr>
            </w:pPr>
            <w:r>
              <w:rPr>
                <w:rFonts w:ascii="Courier New" w:cs="Courier New" w:eastAsia="Courier New" w:hAnsi="Courier New"/>
                <w:sz w:val="13"/>
                <w:szCs w:val="13"/>
                <w:color w:val="auto"/>
                <w:w w:val="70"/>
              </w:rPr>
              <w:t>(LOSS) PER SHARE........................</w:t>
            </w:r>
          </w:p>
        </w:tc>
        <w:tc>
          <w:tcPr>
            <w:tcW w:w="34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$ 0.77 $</w:t>
            </w:r>
          </w:p>
        </w:tc>
        <w:tc>
          <w:tcPr>
            <w:tcW w:w="0" w:type="dxa"/>
            <w:vAlign w:val="bottom"/>
          </w:tcPr>
          <w:p>
            <w:pPr>
              <w:spacing w:after="0"/>
              <w:rPr>
                <w:sz w:val="1"/>
                <w:szCs w:val="1"/>
                <w:color w:val="auto"/>
              </w:rPr>
            </w:pPr>
          </w:p>
        </w:tc>
      </w:tr>
      <w:tr>
        <w:trPr>
          <w:trHeight w:val="235"/>
        </w:trPr>
        <w:tc>
          <w:tcPr>
            <w:tcW w:w="5680" w:type="dxa"/>
            <w:vAlign w:val="bottom"/>
            <w:gridSpan w:val="2"/>
          </w:tcPr>
          <w:p>
            <w:pPr>
              <w:jc w:val="center"/>
              <w:spacing w:after="0"/>
              <w:rPr>
                <w:sz w:val="20"/>
                <w:szCs w:val="20"/>
                <w:color w:val="auto"/>
              </w:rPr>
            </w:pPr>
            <w:r>
              <w:rPr>
                <w:rFonts w:ascii="Courier New" w:cs="Courier New" w:eastAsia="Courier New" w:hAnsi="Courier New"/>
                <w:sz w:val="18"/>
                <w:szCs w:val="18"/>
                <w:color w:val="auto"/>
                <w:w w:val="97"/>
              </w:rPr>
              <w:t>(0.02) $ 0.29 ========== ========== ========== BASIC</w:t>
            </w:r>
          </w:p>
        </w:tc>
        <w:tc>
          <w:tcPr>
            <w:tcW w:w="0" w:type="dxa"/>
            <w:vAlign w:val="bottom"/>
          </w:tcPr>
          <w:p>
            <w:pPr>
              <w:spacing w:after="0"/>
              <w:rPr>
                <w:sz w:val="1"/>
                <w:szCs w:val="1"/>
                <w:color w:val="auto"/>
              </w:rPr>
            </w:pPr>
          </w:p>
        </w:tc>
      </w:tr>
    </w:tbl>
    <w:p>
      <w:pPr>
        <w:ind w:left="220"/>
        <w:spacing w:after="0" w:line="238" w:lineRule="auto"/>
        <w:rPr>
          <w:sz w:val="20"/>
          <w:szCs w:val="20"/>
          <w:color w:val="auto"/>
        </w:rPr>
      </w:pPr>
      <w:r>
        <w:rPr>
          <w:rFonts w:ascii="Courier New" w:cs="Courier New" w:eastAsia="Courier New" w:hAnsi="Courier New"/>
          <w:sz w:val="18"/>
          <w:szCs w:val="18"/>
          <w:color w:val="auto"/>
        </w:rPr>
        <w:t>WEIGHTED AVERAGE NUMBER OF SHARES OUTSTANDING......</w:t>
      </w:r>
    </w:p>
    <w:p>
      <w:pPr>
        <w:jc w:val="center"/>
        <w:ind w:right="4419"/>
        <w:spacing w:after="0"/>
        <w:rPr>
          <w:sz w:val="20"/>
          <w:szCs w:val="20"/>
          <w:color w:val="auto"/>
        </w:rPr>
      </w:pPr>
      <w:r>
        <w:rPr>
          <w:rFonts w:ascii="Courier New" w:cs="Courier New" w:eastAsia="Courier New" w:hAnsi="Courier New"/>
          <w:sz w:val="18"/>
          <w:szCs w:val="18"/>
          <w:color w:val="auto"/>
        </w:rPr>
        <w:t>215,849 220,361 222,002 ========== ==========</w:t>
      </w:r>
    </w:p>
    <w:p>
      <w:pPr>
        <w:jc w:val="center"/>
        <w:ind w:right="4419"/>
        <w:spacing w:after="0" w:line="238" w:lineRule="auto"/>
        <w:rPr>
          <w:sz w:val="20"/>
          <w:szCs w:val="20"/>
          <w:color w:val="auto"/>
        </w:rPr>
      </w:pPr>
      <w:r>
        <w:rPr>
          <w:rFonts w:ascii="Courier New" w:cs="Courier New" w:eastAsia="Courier New" w:hAnsi="Courier New"/>
          <w:sz w:val="18"/>
          <w:szCs w:val="18"/>
          <w:color w:val="auto"/>
        </w:rPr>
        <w:t>========== DILUTED WEIGHTED AVERAGE NUMBER OF SHARES</w:t>
      </w:r>
    </w:p>
    <w:p>
      <w:pPr>
        <w:jc w:val="center"/>
        <w:ind w:right="4419"/>
        <w:spacing w:after="0"/>
        <w:rPr>
          <w:sz w:val="20"/>
          <w:szCs w:val="20"/>
          <w:color w:val="auto"/>
        </w:rPr>
      </w:pPr>
      <w:r>
        <w:rPr>
          <w:rFonts w:ascii="Courier New" w:cs="Courier New" w:eastAsia="Courier New" w:hAnsi="Courier New"/>
          <w:sz w:val="18"/>
          <w:szCs w:val="18"/>
          <w:color w:val="auto"/>
        </w:rPr>
        <w:t>OUTSTANDING.... 219,876 220,361 226,832 ==========</w:t>
      </w:r>
    </w:p>
    <w:p>
      <w:pPr>
        <w:jc w:val="center"/>
        <w:ind w:right="4419"/>
        <w:spacing w:after="0"/>
        <w:rPr>
          <w:sz w:val="20"/>
          <w:szCs w:val="20"/>
          <w:color w:val="auto"/>
        </w:rPr>
      </w:pPr>
      <w:r>
        <w:rPr>
          <w:rFonts w:ascii="Courier New" w:cs="Courier New" w:eastAsia="Courier New" w:hAnsi="Courier New"/>
          <w:sz w:val="18"/>
          <w:szCs w:val="18"/>
          <w:color w:val="auto"/>
        </w:rPr>
        <w:t>========== ==========</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See Note 4.</w:t>
      </w:r>
    </w:p>
    <w:p>
      <w:pPr>
        <w:spacing w:after="0" w:line="201" w:lineRule="exact"/>
        <w:rPr>
          <w:sz w:val="20"/>
          <w:szCs w:val="20"/>
          <w:color w:val="auto"/>
        </w:rPr>
      </w:pPr>
    </w:p>
    <w:p>
      <w:pPr>
        <w:ind w:left="3580" w:right="1779" w:hanging="3054"/>
        <w:spacing w:after="0" w:line="347" w:lineRule="auto"/>
        <w:rPr>
          <w:sz w:val="20"/>
          <w:szCs w:val="20"/>
          <w:color w:val="auto"/>
        </w:rPr>
      </w:pPr>
      <w:r>
        <w:rPr>
          <w:rFonts w:ascii="Courier New" w:cs="Courier New" w:eastAsia="Courier New" w:hAnsi="Courier New"/>
          <w:sz w:val="18"/>
          <w:szCs w:val="18"/>
          <w:color w:val="auto"/>
        </w:rPr>
        <w:t>The accompanying notes are an integral part of these consolidated financial statements.</w:t>
      </w:r>
    </w:p>
    <w:p>
      <w:pPr>
        <w:spacing w:after="0" w:line="1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F-4</w:t>
      </w:r>
    </w:p>
    <w:p>
      <w:pPr>
        <w:sectPr>
          <w:pgSz w:w="11900" w:h="16838" w:orient="portrait"/>
          <w:cols w:equalWidth="0" w:num="1">
            <w:col w:w="10219"/>
          </w:cols>
          <w:pgMar w:left="240" w:top="691" w:right="1440" w:bottom="1440" w:gutter="0" w:footer="0" w:header="0"/>
        </w:sectPr>
      </w:pPr>
    </w:p>
    <w:bookmarkStart w:id="80" w:name="page81"/>
    <w:bookmarkEnd w:id="80"/>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CONSOLIDATED STATEMENTS OF CHANGES IN SHAREHOLDERS' EQUITY</w:t>
      </w:r>
    </w:p>
    <w:p>
      <w:pPr>
        <w:spacing w:after="0" w:line="5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(IN THOUSANDS)</w:t>
      </w:r>
    </w:p>
    <w:p>
      <w:pPr>
        <w:spacing w:after="0" w:line="169" w:lineRule="exact"/>
        <w:rPr>
          <w:sz w:val="20"/>
          <w:szCs w:val="20"/>
          <w:color w:val="auto"/>
        </w:rPr>
      </w:pPr>
    </w:p>
    <w:p>
      <w:pPr>
        <w:jc w:val="center"/>
        <w:ind w:right="7679"/>
        <w:spacing w:after="0"/>
        <w:rPr>
          <w:sz w:val="20"/>
          <w:szCs w:val="20"/>
          <w:color w:val="auto"/>
        </w:rPr>
      </w:pPr>
      <w:r>
        <w:rPr>
          <w:rFonts w:ascii="Courier New" w:cs="Courier New" w:eastAsia="Courier New" w:hAnsi="Courier New"/>
          <w:sz w:val="18"/>
          <w:szCs w:val="18"/>
          <w:color w:val="auto"/>
        </w:rPr>
        <w:t>ACCUMULATED ORDINARY</w:t>
      </w:r>
    </w:p>
    <w:p>
      <w:pPr>
        <w:spacing w:after="0" w:line="29" w:lineRule="exact"/>
        <w:rPr>
          <w:sz w:val="20"/>
          <w:szCs w:val="20"/>
          <w:color w:val="auto"/>
        </w:rPr>
      </w:pPr>
    </w:p>
    <w:p>
      <w:pPr>
        <w:jc w:val="center"/>
        <w:ind w:right="7679"/>
        <w:spacing w:after="0"/>
        <w:rPr>
          <w:sz w:val="20"/>
          <w:szCs w:val="20"/>
          <w:color w:val="auto"/>
        </w:rPr>
      </w:pPr>
      <w:r>
        <w:rPr>
          <w:rFonts w:ascii="Courier New" w:cs="Courier New" w:eastAsia="Courier New" w:hAnsi="Courier New"/>
          <w:sz w:val="18"/>
          <w:szCs w:val="18"/>
          <w:color w:val="auto"/>
        </w:rPr>
        <w:t>SHARES ADDITIONAL OTHER</w:t>
      </w:r>
    </w:p>
    <w:p>
      <w:pPr>
        <w:ind w:left="120"/>
        <w:spacing w:after="0" w:line="238" w:lineRule="auto"/>
        <w:rPr>
          <w:sz w:val="20"/>
          <w:szCs w:val="20"/>
          <w:color w:val="auto"/>
        </w:rPr>
      </w:pPr>
      <w:r>
        <w:rPr>
          <w:rFonts w:ascii="Courier New" w:cs="Courier New" w:eastAsia="Courier New" w:hAnsi="Courier New"/>
          <w:sz w:val="18"/>
          <w:szCs w:val="18"/>
          <w:color w:val="auto"/>
        </w:rPr>
        <w:t>TOTAL ----------------</w:t>
      </w:r>
    </w:p>
    <w:p>
      <w:pPr>
        <w:jc w:val="center"/>
        <w:ind w:right="7679"/>
        <w:spacing w:after="0"/>
        <w:rPr>
          <w:sz w:val="20"/>
          <w:szCs w:val="20"/>
          <w:color w:val="auto"/>
        </w:rPr>
      </w:pPr>
      <w:r>
        <w:rPr>
          <w:rFonts w:ascii="Courier New" w:cs="Courier New" w:eastAsia="Courier New" w:hAnsi="Courier New"/>
          <w:sz w:val="18"/>
          <w:szCs w:val="18"/>
          <w:color w:val="auto"/>
        </w:rPr>
        <w:t>PAID-IN TREASURY</w:t>
      </w:r>
    </w:p>
    <w:p>
      <w:pPr>
        <w:jc w:val="center"/>
        <w:ind w:right="7679"/>
        <w:spacing w:after="0" w:line="238" w:lineRule="auto"/>
        <w:rPr>
          <w:sz w:val="20"/>
          <w:szCs w:val="20"/>
          <w:color w:val="auto"/>
        </w:rPr>
      </w:pPr>
      <w:r>
        <w:rPr>
          <w:rFonts w:ascii="Courier New" w:cs="Courier New" w:eastAsia="Courier New" w:hAnsi="Courier New"/>
          <w:sz w:val="18"/>
          <w:szCs w:val="18"/>
          <w:color w:val="auto"/>
        </w:rPr>
        <w:t>COMPREHENSIVE UNEARNED</w:t>
      </w:r>
    </w:p>
    <w:p>
      <w:pPr>
        <w:jc w:val="center"/>
        <w:ind w:right="7679"/>
        <w:spacing w:after="0"/>
        <w:rPr>
          <w:sz w:val="20"/>
          <w:szCs w:val="20"/>
          <w:color w:val="auto"/>
        </w:rPr>
      </w:pPr>
      <w:r>
        <w:rPr>
          <w:rFonts w:ascii="Courier New" w:cs="Courier New" w:eastAsia="Courier New" w:hAnsi="Courier New"/>
          <w:sz w:val="18"/>
          <w:szCs w:val="18"/>
          <w:color w:val="auto"/>
        </w:rPr>
        <w:t>ACCUMULATED</w:t>
      </w:r>
    </w:p>
    <w:p>
      <w:pPr>
        <w:jc w:val="center"/>
        <w:ind w:right="7679"/>
        <w:spacing w:after="0" w:line="238" w:lineRule="auto"/>
        <w:rPr>
          <w:sz w:val="20"/>
          <w:szCs w:val="20"/>
          <w:color w:val="auto"/>
        </w:rPr>
      </w:pPr>
      <w:r>
        <w:rPr>
          <w:rFonts w:ascii="Courier New" w:cs="Courier New" w:eastAsia="Courier New" w:hAnsi="Courier New"/>
          <w:sz w:val="18"/>
          <w:szCs w:val="18"/>
          <w:color w:val="auto"/>
        </w:rPr>
        <w:t>SHAREHOLDERS' SHARES</w:t>
      </w:r>
    </w:p>
    <w:p>
      <w:pPr>
        <w:jc w:val="center"/>
        <w:ind w:right="7679"/>
        <w:spacing w:after="0"/>
        <w:rPr>
          <w:sz w:val="20"/>
          <w:szCs w:val="20"/>
          <w:color w:val="auto"/>
        </w:rPr>
      </w:pPr>
      <w:r>
        <w:rPr>
          <w:rFonts w:ascii="Courier New" w:cs="Courier New" w:eastAsia="Courier New" w:hAnsi="Courier New"/>
          <w:sz w:val="18"/>
          <w:szCs w:val="18"/>
          <w:color w:val="auto"/>
        </w:rPr>
        <w:t>AMOUNT CAPITAL STOCK</w:t>
      </w:r>
    </w:p>
    <w:p>
      <w:pPr>
        <w:jc w:val="center"/>
        <w:ind w:right="7679"/>
        <w:spacing w:after="0" w:line="238" w:lineRule="auto"/>
        <w:rPr>
          <w:sz w:val="20"/>
          <w:szCs w:val="20"/>
          <w:color w:val="auto"/>
        </w:rPr>
      </w:pPr>
      <w:r>
        <w:rPr>
          <w:rFonts w:ascii="Courier New" w:cs="Courier New" w:eastAsia="Courier New" w:hAnsi="Courier New"/>
          <w:sz w:val="18"/>
          <w:szCs w:val="18"/>
          <w:color w:val="auto"/>
        </w:rPr>
        <w:t>INCOME (LOSS)</w:t>
      </w:r>
    </w:p>
    <w:p>
      <w:pPr>
        <w:jc w:val="center"/>
        <w:ind w:right="7679"/>
        <w:spacing w:after="0"/>
        <w:rPr>
          <w:sz w:val="20"/>
          <w:szCs w:val="20"/>
          <w:color w:val="auto"/>
        </w:rPr>
      </w:pPr>
      <w:r>
        <w:rPr>
          <w:rFonts w:ascii="Courier New" w:cs="Courier New" w:eastAsia="Courier New" w:hAnsi="Courier New"/>
          <w:sz w:val="18"/>
          <w:szCs w:val="18"/>
          <w:color w:val="auto"/>
        </w:rPr>
        <w:t>COMPENSATION DEFICIT</w:t>
      </w:r>
    </w:p>
    <w:p>
      <w:pPr>
        <w:ind w:left="60"/>
        <w:spacing w:after="0" w:line="238" w:lineRule="auto"/>
        <w:rPr>
          <w:sz w:val="20"/>
          <w:szCs w:val="20"/>
          <w:color w:val="auto"/>
        </w:rPr>
      </w:pPr>
      <w:r>
        <w:rPr>
          <w:rFonts w:ascii="Courier New" w:cs="Courier New" w:eastAsia="Courier New" w:hAnsi="Courier New"/>
          <w:sz w:val="18"/>
          <w:szCs w:val="18"/>
          <w:color w:val="auto"/>
        </w:rPr>
        <w:t>EQUITY ------- ------ -</w:t>
      </w:r>
    </w:p>
    <w:p>
      <w:pPr>
        <w:ind w:left="60"/>
        <w:spacing w:after="0"/>
        <w:rPr>
          <w:sz w:val="20"/>
          <w:szCs w:val="20"/>
          <w:color w:val="auto"/>
        </w:rPr>
      </w:pPr>
      <w:r>
        <w:rPr>
          <w:rFonts w:ascii="Courier New" w:cs="Courier New" w:eastAsia="Courier New" w:hAnsi="Courier New"/>
          <w:sz w:val="18"/>
          <w:szCs w:val="18"/>
          <w:color w:val="auto"/>
        </w:rPr>
        <w:t>--------- --------- ---</w:t>
      </w:r>
    </w:p>
    <w:p>
      <w:pPr>
        <w:ind w:left="60"/>
        <w:spacing w:after="0" w:line="238" w:lineRule="auto"/>
        <w:rPr>
          <w:sz w:val="20"/>
          <w:szCs w:val="20"/>
          <w:color w:val="auto"/>
        </w:rPr>
      </w:pPr>
      <w:r>
        <w:rPr>
          <w:rFonts w:ascii="Courier New" w:cs="Courier New" w:eastAsia="Courier New" w:hAnsi="Courier New"/>
          <w:sz w:val="18"/>
          <w:szCs w:val="18"/>
          <w:color w:val="auto"/>
        </w:rPr>
        <w:t>---------- ------------</w:t>
      </w:r>
    </w:p>
    <w:p>
      <w:pPr>
        <w:ind w:left="60"/>
        <w:spacing w:after="0"/>
        <w:rPr>
          <w:sz w:val="20"/>
          <w:szCs w:val="20"/>
          <w:color w:val="auto"/>
        </w:rPr>
      </w:pPr>
      <w:r>
        <w:rPr>
          <w:rFonts w:ascii="Courier New" w:cs="Courier New" w:eastAsia="Courier New" w:hAnsi="Courier New"/>
          <w:sz w:val="18"/>
          <w:szCs w:val="18"/>
          <w:color w:val="auto"/>
        </w:rPr>
        <w:t>----------- -----------</w:t>
      </w:r>
    </w:p>
    <w:p>
      <w:pPr>
        <w:ind w:left="740" w:right="8099" w:hanging="312"/>
        <w:spacing w:after="0" w:line="268" w:lineRule="auto"/>
        <w:tabs>
          <w:tab w:leader="none" w:pos="74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BALANCE AS OF OCTOBER 1,</w:t>
      </w:r>
    </w:p>
    <w:p>
      <w:pPr>
        <w:spacing w:after="0"/>
        <w:rPr>
          <w:sz w:val="20"/>
          <w:szCs w:val="20"/>
          <w:color w:val="auto"/>
        </w:rPr>
      </w:pPr>
      <w:r>
        <w:rPr>
          <w:rFonts w:ascii="Courier New" w:cs="Courier New" w:eastAsia="Courier New" w:hAnsi="Courier New"/>
          <w:sz w:val="18"/>
          <w:szCs w:val="18"/>
          <w:color w:val="auto"/>
        </w:rPr>
        <w:t>2000....................</w:t>
      </w:r>
    </w:p>
    <w:p>
      <w:pPr>
        <w:jc w:val="center"/>
        <w:ind w:right="7679"/>
        <w:spacing w:after="0" w:line="238" w:lineRule="auto"/>
        <w:rPr>
          <w:sz w:val="20"/>
          <w:szCs w:val="20"/>
          <w:color w:val="auto"/>
        </w:rPr>
      </w:pPr>
      <w:r>
        <w:rPr>
          <w:rFonts w:ascii="Courier New" w:cs="Courier New" w:eastAsia="Courier New" w:hAnsi="Courier New"/>
          <w:sz w:val="18"/>
          <w:szCs w:val="18"/>
          <w:color w:val="auto"/>
        </w:rPr>
        <w:t>221,165 $3,539</w:t>
      </w:r>
    </w:p>
    <w:p>
      <w:pPr>
        <w:jc w:val="center"/>
        <w:ind w:right="7679"/>
        <w:spacing w:after="0"/>
        <w:rPr>
          <w:sz w:val="20"/>
          <w:szCs w:val="20"/>
          <w:color w:val="auto"/>
        </w:rPr>
      </w:pPr>
      <w:r>
        <w:rPr>
          <w:rFonts w:ascii="Courier New" w:cs="Courier New" w:eastAsia="Courier New" w:hAnsi="Courier New"/>
          <w:sz w:val="18"/>
          <w:szCs w:val="18"/>
          <w:color w:val="auto"/>
        </w:rPr>
        <w:t>$1,784,816 $ -- $ 1,159</w:t>
      </w:r>
    </w:p>
    <w:p>
      <w:pPr>
        <w:jc w:val="center"/>
        <w:ind w:right="7679"/>
        <w:spacing w:after="0" w:line="238" w:lineRule="auto"/>
        <w:rPr>
          <w:sz w:val="20"/>
          <w:szCs w:val="20"/>
          <w:color w:val="auto"/>
        </w:rPr>
      </w:pPr>
      <w:r>
        <w:rPr>
          <w:rFonts w:ascii="Courier New" w:cs="Courier New" w:eastAsia="Courier New" w:hAnsi="Courier New"/>
          <w:sz w:val="18"/>
          <w:szCs w:val="18"/>
          <w:color w:val="auto"/>
        </w:rPr>
        <w:t>$(1,164) $(357,578)</w:t>
      </w:r>
    </w:p>
    <w:p>
      <w:pPr>
        <w:jc w:val="center"/>
        <w:ind w:right="7679"/>
        <w:spacing w:after="0"/>
        <w:rPr>
          <w:sz w:val="20"/>
          <w:szCs w:val="20"/>
          <w:color w:val="auto"/>
        </w:rPr>
      </w:pPr>
      <w:r>
        <w:rPr>
          <w:rFonts w:ascii="Courier New" w:cs="Courier New" w:eastAsia="Courier New" w:hAnsi="Courier New"/>
          <w:sz w:val="18"/>
          <w:szCs w:val="18"/>
          <w:color w:val="auto"/>
        </w:rPr>
        <w:t>$1,430,772</w:t>
      </w:r>
    </w:p>
    <w:p>
      <w:pPr>
        <w:jc w:val="center"/>
        <w:ind w:right="7679"/>
        <w:spacing w:after="0" w:line="238" w:lineRule="auto"/>
        <w:rPr>
          <w:sz w:val="20"/>
          <w:szCs w:val="20"/>
          <w:color w:val="auto"/>
        </w:rPr>
      </w:pPr>
      <w:r>
        <w:rPr>
          <w:rFonts w:ascii="Courier New" w:cs="Courier New" w:eastAsia="Courier New" w:hAnsi="Courier New"/>
          <w:sz w:val="18"/>
          <w:szCs w:val="18"/>
          <w:color w:val="auto"/>
        </w:rPr>
        <w:t>Comprehensive income:</w:t>
      </w:r>
    </w:p>
    <w:p>
      <w:pPr>
        <w:jc w:val="center"/>
        <w:ind w:right="7679"/>
        <w:spacing w:after="0"/>
        <w:rPr>
          <w:sz w:val="20"/>
          <w:szCs w:val="20"/>
          <w:color w:val="auto"/>
        </w:rPr>
      </w:pPr>
      <w:r>
        <w:rPr>
          <w:rFonts w:ascii="Courier New" w:cs="Courier New" w:eastAsia="Courier New" w:hAnsi="Courier New"/>
          <w:sz w:val="18"/>
          <w:szCs w:val="18"/>
          <w:color w:val="auto"/>
        </w:rPr>
        <w:t>Net</w:t>
      </w:r>
    </w:p>
    <w:p>
      <w:pPr>
        <w:ind w:left="60"/>
        <w:spacing w:after="0" w:line="238" w:lineRule="auto"/>
        <w:rPr>
          <w:sz w:val="20"/>
          <w:szCs w:val="20"/>
          <w:color w:val="auto"/>
        </w:rPr>
      </w:pPr>
      <w:r>
        <w:rPr>
          <w:rFonts w:ascii="Courier New" w:cs="Courier New" w:eastAsia="Courier New" w:hAnsi="Courier New"/>
          <w:sz w:val="18"/>
          <w:szCs w:val="18"/>
          <w:color w:val="auto"/>
        </w:rPr>
        <w:t>income.............. --</w:t>
      </w:r>
    </w:p>
    <w:p>
      <w:pPr>
        <w:ind w:left="280" w:right="7839" w:hanging="115"/>
        <w:spacing w:after="0" w:line="268" w:lineRule="auto"/>
        <w:tabs>
          <w:tab w:leader="none" w:pos="491"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-- 66,386 66,386 Decrease in unrealized gain on derivatives, net of</w:t>
      </w:r>
    </w:p>
    <w:p>
      <w:pPr>
        <w:ind w:left="60"/>
        <w:spacing w:after="0"/>
        <w:rPr>
          <w:sz w:val="20"/>
          <w:szCs w:val="20"/>
          <w:color w:val="auto"/>
        </w:rPr>
      </w:pPr>
      <w:r>
        <w:rPr>
          <w:rFonts w:ascii="Courier New" w:cs="Courier New" w:eastAsia="Courier New" w:hAnsi="Courier New"/>
          <w:sz w:val="18"/>
          <w:szCs w:val="18"/>
          <w:color w:val="auto"/>
        </w:rPr>
        <w:t>$(3,891) tax... -- -- -</w:t>
      </w:r>
    </w:p>
    <w:p>
      <w:pPr>
        <w:ind w:left="540" w:hanging="217"/>
        <w:spacing w:after="0" w:line="238" w:lineRule="auto"/>
        <w:tabs>
          <w:tab w:leader="none" w:pos="54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(9,078) -- --</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(9,078) Increase in</w:t>
      </w:r>
    </w:p>
    <w:p>
      <w:pPr>
        <w:jc w:val="center"/>
        <w:ind w:right="7679"/>
        <w:spacing w:after="0"/>
        <w:rPr>
          <w:sz w:val="20"/>
          <w:szCs w:val="20"/>
          <w:color w:val="auto"/>
        </w:rPr>
      </w:pPr>
      <w:r>
        <w:rPr>
          <w:rFonts w:ascii="Courier New" w:cs="Courier New" w:eastAsia="Courier New" w:hAnsi="Courier New"/>
          <w:sz w:val="18"/>
          <w:szCs w:val="18"/>
          <w:color w:val="auto"/>
        </w:rPr>
        <w:t>unrealized gain on cash</w:t>
      </w:r>
    </w:p>
    <w:p>
      <w:pPr>
        <w:jc w:val="center"/>
        <w:ind w:right="7679"/>
        <w:spacing w:after="0" w:line="238" w:lineRule="auto"/>
        <w:rPr>
          <w:sz w:val="20"/>
          <w:szCs w:val="20"/>
          <w:color w:val="auto"/>
        </w:rPr>
      </w:pPr>
      <w:r>
        <w:rPr>
          <w:rFonts w:ascii="Courier New" w:cs="Courier New" w:eastAsia="Courier New" w:hAnsi="Courier New"/>
          <w:sz w:val="18"/>
          <w:szCs w:val="18"/>
          <w:color w:val="auto"/>
        </w:rPr>
        <w:t>equivalents and short-</w:t>
      </w:r>
    </w:p>
    <w:p>
      <w:pPr>
        <w:jc w:val="center"/>
        <w:ind w:right="7679"/>
        <w:spacing w:after="0"/>
        <w:rPr>
          <w:sz w:val="20"/>
          <w:szCs w:val="20"/>
          <w:color w:val="auto"/>
        </w:rPr>
      </w:pPr>
      <w:r>
        <w:rPr>
          <w:rFonts w:ascii="Courier New" w:cs="Courier New" w:eastAsia="Courier New" w:hAnsi="Courier New"/>
          <w:sz w:val="18"/>
          <w:szCs w:val="18"/>
          <w:color w:val="auto"/>
        </w:rPr>
        <w:t>term interest- bearing</w:t>
      </w:r>
    </w:p>
    <w:p>
      <w:pPr>
        <w:jc w:val="center"/>
        <w:ind w:right="7679"/>
        <w:spacing w:after="0" w:line="238" w:lineRule="auto"/>
        <w:rPr>
          <w:sz w:val="20"/>
          <w:szCs w:val="20"/>
          <w:color w:val="auto"/>
        </w:rPr>
      </w:pPr>
      <w:r>
        <w:rPr>
          <w:rFonts w:ascii="Courier New" w:cs="Courier New" w:eastAsia="Courier New" w:hAnsi="Courier New"/>
          <w:sz w:val="18"/>
          <w:szCs w:val="18"/>
          <w:color w:val="auto"/>
        </w:rPr>
        <w:t>investments, net of</w:t>
      </w:r>
    </w:p>
    <w:p>
      <w:pPr>
        <w:jc w:val="center"/>
        <w:ind w:right="7679"/>
        <w:spacing w:after="0"/>
        <w:rPr>
          <w:sz w:val="20"/>
          <w:szCs w:val="20"/>
          <w:color w:val="auto"/>
        </w:rPr>
      </w:pPr>
      <w:r>
        <w:rPr>
          <w:rFonts w:ascii="Courier New" w:cs="Courier New" w:eastAsia="Courier New" w:hAnsi="Courier New"/>
          <w:sz w:val="18"/>
          <w:szCs w:val="18"/>
          <w:color w:val="auto"/>
        </w:rPr>
        <w:t>$659 tax....... -- -- -</w:t>
      </w:r>
    </w:p>
    <w:p>
      <w:pPr>
        <w:ind w:left="320" w:hanging="208"/>
        <w:spacing w:after="0" w:line="238" w:lineRule="auto"/>
        <w:tabs>
          <w:tab w:leader="none" w:pos="32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-- 1,537 -- -- 1,537</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jc w:val="center"/>
        <w:ind w:right="7679"/>
        <w:spacing w:after="0"/>
        <w:rPr>
          <w:sz w:val="20"/>
          <w:szCs w:val="20"/>
          <w:color w:val="auto"/>
        </w:rPr>
      </w:pPr>
      <w:r>
        <w:rPr>
          <w:rFonts w:ascii="Courier New" w:cs="Courier New" w:eastAsia="Courier New" w:hAnsi="Courier New"/>
          <w:sz w:val="18"/>
          <w:szCs w:val="18"/>
          <w:color w:val="auto"/>
        </w:rPr>
        <w:t>Comprehensive</w:t>
      </w:r>
    </w:p>
    <w:p>
      <w:pPr>
        <w:ind w:left="60"/>
        <w:spacing w:after="0" w:line="238" w:lineRule="auto"/>
        <w:rPr>
          <w:sz w:val="20"/>
          <w:szCs w:val="20"/>
          <w:color w:val="auto"/>
        </w:rPr>
      </w:pPr>
      <w:r>
        <w:rPr>
          <w:rFonts w:ascii="Courier New" w:cs="Courier New" w:eastAsia="Courier New" w:hAnsi="Courier New"/>
          <w:sz w:val="18"/>
          <w:szCs w:val="18"/>
          <w:color w:val="auto"/>
        </w:rPr>
        <w:t>income.... 58,845 -----</w:t>
      </w:r>
    </w:p>
    <w:p>
      <w:pPr>
        <w:ind w:left="220"/>
        <w:spacing w:after="0"/>
        <w:rPr>
          <w:sz w:val="20"/>
          <w:szCs w:val="20"/>
          <w:color w:val="auto"/>
        </w:rPr>
      </w:pPr>
      <w:r>
        <w:rPr>
          <w:rFonts w:ascii="Courier New" w:cs="Courier New" w:eastAsia="Courier New" w:hAnsi="Courier New"/>
          <w:sz w:val="18"/>
          <w:szCs w:val="18"/>
          <w:color w:val="auto"/>
        </w:rPr>
        <w:t>----- Employee stock</w:t>
      </w:r>
    </w:p>
    <w:p>
      <w:pPr>
        <w:jc w:val="center"/>
        <w:ind w:right="7679"/>
        <w:spacing w:after="0" w:line="238" w:lineRule="auto"/>
        <w:rPr>
          <w:sz w:val="20"/>
          <w:szCs w:val="20"/>
          <w:color w:val="auto"/>
        </w:rPr>
      </w:pPr>
      <w:r>
        <w:rPr>
          <w:rFonts w:ascii="Courier New" w:cs="Courier New" w:eastAsia="Courier New" w:hAnsi="Courier New"/>
          <w:sz w:val="18"/>
          <w:szCs w:val="18"/>
          <w:color w:val="auto"/>
        </w:rPr>
        <w:t>options</w:t>
      </w:r>
    </w:p>
    <w:p>
      <w:pPr>
        <w:spacing w:after="0"/>
        <w:rPr>
          <w:sz w:val="20"/>
          <w:szCs w:val="20"/>
          <w:color w:val="auto"/>
        </w:rPr>
      </w:pPr>
      <w:r>
        <w:rPr>
          <w:rFonts w:ascii="Courier New" w:cs="Courier New" w:eastAsia="Courier New" w:hAnsi="Courier New"/>
          <w:sz w:val="18"/>
          <w:szCs w:val="18"/>
          <w:color w:val="auto"/>
        </w:rPr>
        <w:t>exercised...............</w:t>
      </w:r>
    </w:p>
    <w:p>
      <w:pPr>
        <w:jc w:val="center"/>
        <w:ind w:right="7679"/>
        <w:spacing w:after="0" w:line="238" w:lineRule="auto"/>
        <w:rPr>
          <w:sz w:val="20"/>
          <w:szCs w:val="20"/>
          <w:color w:val="auto"/>
        </w:rPr>
      </w:pPr>
      <w:r>
        <w:rPr>
          <w:rFonts w:ascii="Courier New" w:cs="Courier New" w:eastAsia="Courier New" w:hAnsi="Courier New"/>
          <w:sz w:val="18"/>
          <w:szCs w:val="18"/>
          <w:color w:val="auto"/>
        </w:rPr>
        <w:t>1,463 21 13,946 -- -- -</w:t>
      </w:r>
    </w:p>
    <w:p>
      <w:pPr>
        <w:jc w:val="center"/>
        <w:ind w:right="7679"/>
        <w:spacing w:after="0"/>
        <w:rPr>
          <w:sz w:val="20"/>
          <w:szCs w:val="20"/>
          <w:color w:val="auto"/>
        </w:rPr>
      </w:pPr>
      <w:r>
        <w:rPr>
          <w:rFonts w:ascii="Courier New" w:cs="Courier New" w:eastAsia="Courier New" w:hAnsi="Courier New"/>
          <w:sz w:val="18"/>
          <w:szCs w:val="18"/>
          <w:color w:val="auto"/>
        </w:rPr>
        <w:t>- -- 13,967 Tax benefit</w:t>
      </w:r>
    </w:p>
    <w:p>
      <w:pPr>
        <w:jc w:val="center"/>
        <w:ind w:right="7679"/>
        <w:spacing w:after="0" w:line="238" w:lineRule="auto"/>
        <w:rPr>
          <w:sz w:val="20"/>
          <w:szCs w:val="20"/>
          <w:color w:val="auto"/>
        </w:rPr>
      </w:pPr>
      <w:r>
        <w:rPr>
          <w:rFonts w:ascii="Courier New" w:cs="Courier New" w:eastAsia="Courier New" w:hAnsi="Courier New"/>
          <w:sz w:val="18"/>
          <w:szCs w:val="18"/>
          <w:color w:val="auto"/>
        </w:rPr>
        <w:t>of stock options</w:t>
      </w:r>
    </w:p>
    <w:p>
      <w:pPr>
        <w:ind w:left="120"/>
        <w:spacing w:after="0"/>
        <w:rPr>
          <w:sz w:val="20"/>
          <w:szCs w:val="20"/>
          <w:color w:val="auto"/>
        </w:rPr>
      </w:pPr>
      <w:r>
        <w:rPr>
          <w:rFonts w:ascii="Courier New" w:cs="Courier New" w:eastAsia="Courier New" w:hAnsi="Courier New"/>
          <w:sz w:val="18"/>
          <w:szCs w:val="18"/>
          <w:color w:val="auto"/>
        </w:rPr>
        <w:t>exercised....... -- --</w:t>
      </w:r>
    </w:p>
    <w:p>
      <w:pPr>
        <w:jc w:val="center"/>
        <w:ind w:right="7679"/>
        <w:spacing w:after="0" w:line="238" w:lineRule="auto"/>
        <w:rPr>
          <w:sz w:val="20"/>
          <w:szCs w:val="20"/>
          <w:color w:val="auto"/>
        </w:rPr>
      </w:pPr>
      <w:r>
        <w:rPr>
          <w:rFonts w:ascii="Courier New" w:cs="Courier New" w:eastAsia="Courier New" w:hAnsi="Courier New"/>
          <w:sz w:val="18"/>
          <w:szCs w:val="18"/>
          <w:color w:val="auto"/>
        </w:rPr>
        <w:t>7,345 -- -- -- -- 7,345</w:t>
      </w:r>
    </w:p>
    <w:p>
      <w:pPr>
        <w:jc w:val="center"/>
        <w:ind w:right="7679"/>
        <w:spacing w:after="0"/>
        <w:rPr>
          <w:sz w:val="20"/>
          <w:szCs w:val="20"/>
          <w:color w:val="auto"/>
        </w:rPr>
      </w:pPr>
      <w:r>
        <w:rPr>
          <w:rFonts w:ascii="Courier New" w:cs="Courier New" w:eastAsia="Courier New" w:hAnsi="Courier New"/>
          <w:sz w:val="18"/>
          <w:szCs w:val="18"/>
          <w:color w:val="auto"/>
        </w:rPr>
        <w:t>Stock options</w:t>
      </w:r>
    </w:p>
    <w:p>
      <w:pPr>
        <w:ind w:left="60"/>
        <w:spacing w:after="0" w:line="238" w:lineRule="auto"/>
        <w:rPr>
          <w:sz w:val="20"/>
          <w:szCs w:val="20"/>
          <w:color w:val="auto"/>
        </w:rPr>
      </w:pPr>
      <w:r>
        <w:rPr>
          <w:rFonts w:ascii="Courier New" w:cs="Courier New" w:eastAsia="Courier New" w:hAnsi="Courier New"/>
          <w:sz w:val="18"/>
          <w:szCs w:val="18"/>
          <w:color w:val="auto"/>
        </w:rPr>
        <w:t>granted.... -- -- 183 -</w:t>
      </w:r>
    </w:p>
    <w:p>
      <w:pPr>
        <w:jc w:val="both"/>
        <w:ind w:left="480" w:right="8159" w:firstLine="54"/>
        <w:spacing w:after="0" w:line="268" w:lineRule="auto"/>
        <w:tabs>
          <w:tab w:leader="none" w:pos="744"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-- 183 Amortization of</w:t>
      </w:r>
    </w:p>
    <w:tbl>
      <w:tblPr>
        <w:tblLayout w:type="fixed"/>
        <w:tblInd w:w="0" w:type="dxa"/>
        <w:tblCellMar>
          <w:top w:w="0" w:type="dxa"/>
          <w:left w:w="0" w:type="dxa"/>
          <w:bottom w:w="0" w:type="dxa"/>
          <w:right w:w="0" w:type="dxa"/>
        </w:tblCellMar>
      </w:tblPr>
      <w:tr>
        <w:trPr>
          <w:trHeight w:val="171"/>
        </w:trPr>
        <w:tc>
          <w:tcPr>
            <w:tcW w:w="480" w:type="dxa"/>
            <w:vAlign w:val="bottom"/>
          </w:tcPr>
          <w:p>
            <w:pPr>
              <w:spacing w:after="0"/>
              <w:rPr>
                <w:sz w:val="14"/>
                <w:szCs w:val="14"/>
                <w:color w:val="auto"/>
              </w:rPr>
            </w:pPr>
          </w:p>
        </w:tc>
        <w:tc>
          <w:tcPr>
            <w:tcW w:w="2060" w:type="dxa"/>
            <w:vAlign w:val="bottom"/>
          </w:tcPr>
          <w:p>
            <w:pPr>
              <w:jc w:val="center"/>
              <w:ind w:right="392"/>
              <w:spacing w:after="0" w:line="171" w:lineRule="exact"/>
              <w:rPr>
                <w:sz w:val="20"/>
                <w:szCs w:val="20"/>
                <w:color w:val="auto"/>
              </w:rPr>
            </w:pPr>
            <w:r>
              <w:rPr>
                <w:rFonts w:ascii="Courier New" w:cs="Courier New" w:eastAsia="Courier New" w:hAnsi="Courier New"/>
                <w:sz w:val="18"/>
                <w:szCs w:val="18"/>
                <w:color w:val="auto"/>
                <w:w w:val="99"/>
              </w:rPr>
              <w:t>unearned</w:t>
            </w:r>
          </w:p>
        </w:tc>
      </w:tr>
      <w:tr>
        <w:trPr>
          <w:trHeight w:val="203"/>
        </w:trPr>
        <w:tc>
          <w:tcPr>
            <w:tcW w:w="254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compensation............</w:t>
            </w:r>
          </w:p>
        </w:tc>
      </w:tr>
      <w:tr>
        <w:trPr>
          <w:trHeight w:val="203"/>
        </w:trPr>
        <w:tc>
          <w:tcPr>
            <w:tcW w:w="254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 -- -- -- -- 979 --</w:t>
            </w:r>
          </w:p>
        </w:tc>
      </w:tr>
      <w:tr>
        <w:trPr>
          <w:trHeight w:val="203"/>
        </w:trPr>
        <w:tc>
          <w:tcPr>
            <w:tcW w:w="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979</w:t>
            </w:r>
          </w:p>
        </w:tc>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 ------ ----</w:t>
            </w:r>
          </w:p>
        </w:tc>
      </w:tr>
      <w:tr>
        <w:trPr>
          <w:trHeight w:val="235"/>
        </w:trPr>
        <w:tc>
          <w:tcPr>
            <w:tcW w:w="480" w:type="dxa"/>
            <w:vAlign w:val="bottom"/>
          </w:tcPr>
          <w:p>
            <w:pPr>
              <w:ind w:left="60"/>
              <w:spacing w:after="0"/>
              <w:rPr>
                <w:sz w:val="20"/>
                <w:szCs w:val="20"/>
                <w:color w:val="auto"/>
              </w:rPr>
            </w:pPr>
            <w:r>
              <w:rPr>
                <w:rFonts w:ascii="Courier New" w:cs="Courier New" w:eastAsia="Courier New" w:hAnsi="Courier New"/>
                <w:sz w:val="15"/>
                <w:szCs w:val="15"/>
                <w:color w:val="auto"/>
                <w:w w:val="73"/>
              </w:rPr>
              <w:t>------</w:t>
            </w:r>
          </w:p>
        </w:tc>
        <w:tc>
          <w:tcPr>
            <w:tcW w:w="2060" w:type="dxa"/>
            <w:vAlign w:val="bottom"/>
          </w:tcPr>
          <w:p>
            <w:pPr>
              <w:jc w:val="right"/>
              <w:spacing w:after="0"/>
              <w:rPr>
                <w:sz w:val="20"/>
                <w:szCs w:val="20"/>
                <w:color w:val="auto"/>
              </w:rPr>
            </w:pPr>
            <w:r>
              <w:rPr>
                <w:rFonts w:ascii="Courier New" w:cs="Courier New" w:eastAsia="Courier New" w:hAnsi="Courier New"/>
                <w:sz w:val="18"/>
                <w:szCs w:val="18"/>
                <w:color w:val="auto"/>
              </w:rPr>
              <w:t>--------- ------</w:t>
            </w:r>
          </w:p>
        </w:tc>
      </w:tr>
    </w:tbl>
    <w:p>
      <w:pPr>
        <w:ind w:left="280" w:hanging="221"/>
        <w:spacing w:after="0" w:line="238" w:lineRule="auto"/>
        <w:tabs>
          <w:tab w:leader="none" w:pos="28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BALANCE AS OF</w:t>
      </w:r>
    </w:p>
    <w:p>
      <w:pPr>
        <w:ind w:left="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SEPTEMBER 30,</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2001................</w:t>
      </w:r>
    </w:p>
    <w:p>
      <w:pPr>
        <w:ind w:left="60"/>
        <w:spacing w:after="0"/>
        <w:rPr>
          <w:sz w:val="20"/>
          <w:szCs w:val="20"/>
          <w:color w:val="auto"/>
        </w:rPr>
      </w:pPr>
      <w:r>
        <w:rPr>
          <w:rFonts w:ascii="Courier New" w:cs="Courier New" w:eastAsia="Courier New" w:hAnsi="Courier New"/>
          <w:sz w:val="18"/>
          <w:szCs w:val="18"/>
          <w:color w:val="auto"/>
        </w:rPr>
        <w:t>222,628 3,560 1,806,290</w:t>
      </w:r>
    </w:p>
    <w:p>
      <w:pPr>
        <w:ind w:left="740" w:hanging="312"/>
        <w:spacing w:after="0" w:line="238" w:lineRule="auto"/>
        <w:tabs>
          <w:tab w:leader="none" w:pos="740"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(6,382) (185)</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(291,192) 1,512,091</w:t>
      </w:r>
    </w:p>
    <w:p>
      <w:pPr>
        <w:jc w:val="center"/>
        <w:ind w:right="7679"/>
        <w:spacing w:after="0"/>
        <w:rPr>
          <w:sz w:val="20"/>
          <w:szCs w:val="20"/>
          <w:color w:val="auto"/>
        </w:rPr>
      </w:pPr>
      <w:r>
        <w:rPr>
          <w:rFonts w:ascii="Courier New" w:cs="Courier New" w:eastAsia="Courier New" w:hAnsi="Courier New"/>
          <w:sz w:val="18"/>
          <w:szCs w:val="18"/>
          <w:color w:val="auto"/>
        </w:rPr>
        <w:t>Comprehensive income:</w:t>
      </w:r>
    </w:p>
    <w:p>
      <w:pPr>
        <w:jc w:val="center"/>
        <w:ind w:right="7679"/>
        <w:spacing w:after="0" w:line="238" w:lineRule="auto"/>
        <w:rPr>
          <w:sz w:val="20"/>
          <w:szCs w:val="20"/>
          <w:color w:val="auto"/>
        </w:rPr>
      </w:pPr>
      <w:r>
        <w:rPr>
          <w:rFonts w:ascii="Courier New" w:cs="Courier New" w:eastAsia="Courier New" w:hAnsi="Courier New"/>
          <w:sz w:val="18"/>
          <w:szCs w:val="18"/>
          <w:color w:val="auto"/>
        </w:rPr>
        <w:t>Net</w:t>
      </w:r>
    </w:p>
    <w:p>
      <w:pPr>
        <w:ind w:left="60"/>
        <w:spacing w:after="0"/>
        <w:rPr>
          <w:sz w:val="20"/>
          <w:szCs w:val="20"/>
          <w:color w:val="auto"/>
        </w:rPr>
      </w:pPr>
      <w:r>
        <w:rPr>
          <w:rFonts w:ascii="Courier New" w:cs="Courier New" w:eastAsia="Courier New" w:hAnsi="Courier New"/>
          <w:sz w:val="18"/>
          <w:szCs w:val="18"/>
          <w:color w:val="auto"/>
        </w:rPr>
        <w:t>loss................ --</w:t>
      </w:r>
    </w:p>
    <w:p>
      <w:pPr>
        <w:ind w:left="280" w:right="7799" w:hanging="168"/>
        <w:spacing w:after="0" w:line="268" w:lineRule="auto"/>
        <w:tabs>
          <w:tab w:leader="none" w:pos="438"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 (5,061) (5,061) Decrease in unrealized loss on</w:t>
      </w:r>
    </w:p>
    <w:p>
      <w:pPr>
        <w:jc w:val="center"/>
        <w:ind w:right="7679"/>
        <w:spacing w:after="0"/>
        <w:rPr>
          <w:sz w:val="20"/>
          <w:szCs w:val="20"/>
          <w:color w:val="auto"/>
        </w:rPr>
      </w:pPr>
      <w:r>
        <w:rPr>
          <w:rFonts w:ascii="Courier New" w:cs="Courier New" w:eastAsia="Courier New" w:hAnsi="Courier New"/>
          <w:sz w:val="18"/>
          <w:szCs w:val="18"/>
          <w:color w:val="auto"/>
        </w:rPr>
        <w:t>foreign currency</w:t>
      </w:r>
    </w:p>
    <w:p>
      <w:pPr>
        <w:jc w:val="center"/>
        <w:ind w:right="7679"/>
        <w:spacing w:after="0" w:line="238" w:lineRule="auto"/>
        <w:rPr>
          <w:sz w:val="20"/>
          <w:szCs w:val="20"/>
          <w:color w:val="auto"/>
        </w:rPr>
      </w:pPr>
      <w:r>
        <w:rPr>
          <w:rFonts w:ascii="Courier New" w:cs="Courier New" w:eastAsia="Courier New" w:hAnsi="Courier New"/>
          <w:sz w:val="18"/>
          <w:szCs w:val="18"/>
          <w:color w:val="auto"/>
        </w:rPr>
        <w:t>hedging contracts, net</w:t>
      </w:r>
    </w:p>
    <w:p>
      <w:pPr>
        <w:jc w:val="center"/>
        <w:ind w:right="7679"/>
        <w:spacing w:after="0"/>
        <w:rPr>
          <w:sz w:val="20"/>
          <w:szCs w:val="20"/>
          <w:color w:val="auto"/>
        </w:rPr>
      </w:pPr>
      <w:r>
        <w:rPr>
          <w:rFonts w:ascii="Courier New" w:cs="Courier New" w:eastAsia="Courier New" w:hAnsi="Courier New"/>
          <w:sz w:val="18"/>
          <w:szCs w:val="18"/>
          <w:color w:val="auto"/>
        </w:rPr>
        <w:t>of $1,357</w:t>
      </w:r>
    </w:p>
    <w:p>
      <w:pPr>
        <w:sectPr>
          <w:pgSz w:w="11900" w:h="16838" w:orient="portrait"/>
          <w:cols w:equalWidth="0" w:num="1">
            <w:col w:w="10219"/>
          </w:cols>
          <w:pgMar w:left="240" w:top="691" w:right="1440" w:bottom="0" w:gutter="0" w:footer="0" w:header="0"/>
        </w:sectPr>
      </w:pPr>
    </w:p>
    <w:bookmarkStart w:id="81" w:name="page82"/>
    <w:bookmarkEnd w:id="81"/>
    <w:p>
      <w:pPr>
        <w:ind w:left="60"/>
        <w:spacing w:after="0"/>
        <w:rPr>
          <w:sz w:val="20"/>
          <w:szCs w:val="20"/>
          <w:color w:val="auto"/>
        </w:rPr>
      </w:pPr>
      <w:r>
        <w:rPr>
          <w:rFonts w:ascii="Courier New" w:cs="Courier New" w:eastAsia="Courier New" w:hAnsi="Courier New"/>
          <w:sz w:val="16"/>
          <w:szCs w:val="16"/>
          <w:color w:val="auto"/>
        </w:rPr>
        <w:t>tax............ -- -- -</w:t>
      </w:r>
    </w:p>
    <w:p>
      <w:pPr>
        <w:spacing w:after="0" w:line="53" w:lineRule="exact"/>
        <w:rPr>
          <w:sz w:val="20"/>
          <w:szCs w:val="20"/>
          <w:color w:val="auto"/>
        </w:rPr>
      </w:pPr>
    </w:p>
    <w:p>
      <w:pPr>
        <w:jc w:val="both"/>
        <w:ind w:left="120" w:right="7799" w:hanging="8"/>
        <w:spacing w:after="0" w:line="268" w:lineRule="auto"/>
        <w:tabs>
          <w:tab w:leader="none" w:pos="331"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-- 2,682 -- -- 2,682 Decrease in unrealized</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loss on cash</w:t>
      </w:r>
    </w:p>
    <w:p>
      <w:pPr>
        <w:jc w:val="center"/>
        <w:ind w:left="60" w:right="7739" w:firstLine="52"/>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equivalents and short-term interest- bearing investments, net of $1,336 tax..... -- -- -</w:t>
      </w:r>
    </w:p>
    <w:p>
      <w:pPr>
        <w:ind w:left="320" w:hanging="208"/>
        <w:spacing w:after="0" w:line="238" w:lineRule="auto"/>
        <w:tabs>
          <w:tab w:leader="none" w:pos="32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-- 3,592 -- -- 3,592</w:t>
      </w:r>
    </w:p>
    <w:p>
      <w:pPr>
        <w:ind w:left="740"/>
        <w:spacing w:after="0"/>
        <w:rPr>
          <w:sz w:val="20"/>
          <w:szCs w:val="20"/>
          <w:color w:val="auto"/>
        </w:rPr>
      </w:pPr>
      <w:r>
        <w:rPr>
          <w:rFonts w:ascii="Courier New" w:cs="Courier New" w:eastAsia="Courier New" w:hAnsi="Courier New"/>
          <w:sz w:val="18"/>
          <w:szCs w:val="18"/>
          <w:color w:val="auto"/>
        </w:rPr>
        <w:t>----------</w:t>
      </w:r>
    </w:p>
    <w:p>
      <w:pPr>
        <w:ind w:left="580"/>
        <w:spacing w:after="0" w:line="238" w:lineRule="auto"/>
        <w:rPr>
          <w:sz w:val="20"/>
          <w:szCs w:val="20"/>
          <w:color w:val="auto"/>
        </w:rPr>
      </w:pPr>
      <w:r>
        <w:rPr>
          <w:rFonts w:ascii="Courier New" w:cs="Courier New" w:eastAsia="Courier New" w:hAnsi="Courier New"/>
          <w:sz w:val="18"/>
          <w:szCs w:val="18"/>
          <w:color w:val="auto"/>
        </w:rPr>
        <w:t>Comprehensive</w:t>
      </w:r>
    </w:p>
    <w:tbl>
      <w:tblPr>
        <w:tblLayout w:type="fixed"/>
        <w:tblInd w:w="60" w:type="dxa"/>
        <w:tblCellMar>
          <w:top w:w="0" w:type="dxa"/>
          <w:left w:w="0" w:type="dxa"/>
          <w:bottom w:w="0" w:type="dxa"/>
          <w:right w:w="0" w:type="dxa"/>
        </w:tblCellMar>
      </w:tblPr>
      <w:tr>
        <w:trPr>
          <w:trHeight w:val="203"/>
        </w:trPr>
        <w:tc>
          <w:tcPr>
            <w:tcW w:w="1100" w:type="dxa"/>
            <w:vAlign w:val="bottom"/>
          </w:tcPr>
          <w:p>
            <w:pPr>
              <w:spacing w:after="0"/>
              <w:rPr>
                <w:sz w:val="20"/>
                <w:szCs w:val="20"/>
                <w:color w:val="auto"/>
              </w:rPr>
            </w:pPr>
            <w:r>
              <w:rPr>
                <w:rFonts w:ascii="Courier New" w:cs="Courier New" w:eastAsia="Courier New" w:hAnsi="Courier New"/>
                <w:sz w:val="18"/>
                <w:szCs w:val="18"/>
                <w:color w:val="auto"/>
                <w:w w:val="99"/>
              </w:rPr>
              <w:t>income....</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1,213 ------</w:t>
            </w:r>
          </w:p>
        </w:tc>
      </w:tr>
    </w:tbl>
    <w:p>
      <w:pPr>
        <w:ind w:left="900" w:right="7939" w:hanging="630"/>
        <w:spacing w:after="0" w:line="268" w:lineRule="auto"/>
        <w:tabs>
          <w:tab w:leader="none" w:pos="794"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Employee stock options</w:t>
      </w:r>
    </w:p>
    <w:p>
      <w:pPr>
        <w:spacing w:after="0"/>
        <w:rPr>
          <w:sz w:val="20"/>
          <w:szCs w:val="20"/>
          <w:color w:val="auto"/>
        </w:rPr>
      </w:pPr>
      <w:r>
        <w:rPr>
          <w:rFonts w:ascii="Courier New" w:cs="Courier New" w:eastAsia="Courier New" w:hAnsi="Courier New"/>
          <w:sz w:val="16"/>
          <w:szCs w:val="16"/>
          <w:color w:val="auto"/>
        </w:rPr>
        <w:t>exercised...............</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687 12 5,149 -- -- -- -</w:t>
      </w:r>
    </w:p>
    <w:p>
      <w:pPr>
        <w:spacing w:after="0" w:line="21" w:lineRule="exact"/>
        <w:rPr>
          <w:sz w:val="20"/>
          <w:szCs w:val="20"/>
          <w:color w:val="auto"/>
        </w:rPr>
      </w:pPr>
    </w:p>
    <w:p>
      <w:pPr>
        <w:ind w:left="580" w:right="7799" w:hanging="468"/>
        <w:spacing w:after="0" w:line="238" w:lineRule="auto"/>
        <w:tabs>
          <w:tab w:leader="none" w:pos="316"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5,161 Tax benefit of stock options</w:t>
      </w:r>
    </w:p>
    <w:p>
      <w:pPr>
        <w:ind w:left="120"/>
        <w:spacing w:after="0"/>
        <w:rPr>
          <w:sz w:val="20"/>
          <w:szCs w:val="20"/>
          <w:color w:val="auto"/>
        </w:rPr>
      </w:pPr>
      <w:r>
        <w:rPr>
          <w:rFonts w:ascii="Courier New" w:cs="Courier New" w:eastAsia="Courier New" w:hAnsi="Courier New"/>
          <w:sz w:val="18"/>
          <w:szCs w:val="18"/>
          <w:color w:val="auto"/>
        </w:rPr>
        <w:t>exercised....... -- --</w:t>
      </w:r>
    </w:p>
    <w:p>
      <w:pPr>
        <w:jc w:val="center"/>
        <w:ind w:right="7679"/>
        <w:spacing w:after="0" w:line="238" w:lineRule="auto"/>
        <w:rPr>
          <w:sz w:val="20"/>
          <w:szCs w:val="20"/>
          <w:color w:val="auto"/>
        </w:rPr>
      </w:pPr>
      <w:r>
        <w:rPr>
          <w:rFonts w:ascii="Courier New" w:cs="Courier New" w:eastAsia="Courier New" w:hAnsi="Courier New"/>
          <w:sz w:val="18"/>
          <w:szCs w:val="18"/>
          <w:color w:val="auto"/>
        </w:rPr>
        <w:t>6,808 -- -- -- -- 6,808</w:t>
      </w:r>
    </w:p>
    <w:p>
      <w:pPr>
        <w:jc w:val="center"/>
        <w:ind w:right="7679"/>
        <w:spacing w:after="0"/>
        <w:rPr>
          <w:sz w:val="20"/>
          <w:szCs w:val="20"/>
          <w:color w:val="auto"/>
        </w:rPr>
      </w:pPr>
      <w:r>
        <w:rPr>
          <w:rFonts w:ascii="Courier New" w:cs="Courier New" w:eastAsia="Courier New" w:hAnsi="Courier New"/>
          <w:sz w:val="18"/>
          <w:szCs w:val="18"/>
          <w:color w:val="auto"/>
        </w:rPr>
        <w:t>Expense related to</w:t>
      </w:r>
    </w:p>
    <w:p>
      <w:pPr>
        <w:jc w:val="center"/>
        <w:ind w:right="7679"/>
        <w:spacing w:after="0" w:line="238" w:lineRule="auto"/>
        <w:rPr>
          <w:sz w:val="20"/>
          <w:szCs w:val="20"/>
          <w:color w:val="auto"/>
        </w:rPr>
      </w:pPr>
      <w:r>
        <w:rPr>
          <w:rFonts w:ascii="Courier New" w:cs="Courier New" w:eastAsia="Courier New" w:hAnsi="Courier New"/>
          <w:sz w:val="18"/>
          <w:szCs w:val="18"/>
          <w:color w:val="auto"/>
        </w:rPr>
        <w:t>vesting of stock</w:t>
      </w:r>
    </w:p>
    <w:p>
      <w:pPr>
        <w:spacing w:after="0"/>
        <w:rPr>
          <w:sz w:val="20"/>
          <w:szCs w:val="20"/>
          <w:color w:val="auto"/>
        </w:rPr>
      </w:pPr>
      <w:r>
        <w:rPr>
          <w:rFonts w:ascii="Courier New" w:cs="Courier New" w:eastAsia="Courier New" w:hAnsi="Courier New"/>
          <w:sz w:val="16"/>
          <w:szCs w:val="16"/>
          <w:color w:val="auto"/>
        </w:rPr>
        <w:t>options.................</w:t>
      </w:r>
    </w:p>
    <w:p>
      <w:pPr>
        <w:spacing w:after="0" w:line="20" w:lineRule="exact"/>
        <w:rPr>
          <w:sz w:val="20"/>
          <w:szCs w:val="20"/>
          <w:color w:val="auto"/>
        </w:rPr>
      </w:pPr>
    </w:p>
    <w:p>
      <w:pPr>
        <w:jc w:val="center"/>
        <w:ind w:right="7679"/>
        <w:spacing w:after="0"/>
        <w:rPr>
          <w:sz w:val="20"/>
          <w:szCs w:val="20"/>
          <w:color w:val="auto"/>
        </w:rPr>
      </w:pPr>
      <w:r>
        <w:rPr>
          <w:rFonts w:ascii="Courier New" w:cs="Courier New" w:eastAsia="Courier New" w:hAnsi="Courier New"/>
          <w:sz w:val="18"/>
          <w:szCs w:val="18"/>
          <w:color w:val="auto"/>
        </w:rPr>
        <w:t>-- -- 98 -- -- -- -- 98</w:t>
      </w:r>
    </w:p>
    <w:p>
      <w:pPr>
        <w:jc w:val="center"/>
        <w:ind w:right="7679"/>
        <w:spacing w:after="0" w:line="238" w:lineRule="auto"/>
        <w:rPr>
          <w:sz w:val="20"/>
          <w:szCs w:val="20"/>
          <w:color w:val="auto"/>
        </w:rPr>
      </w:pPr>
      <w:r>
        <w:rPr>
          <w:rFonts w:ascii="Courier New" w:cs="Courier New" w:eastAsia="Courier New" w:hAnsi="Courier New"/>
          <w:sz w:val="18"/>
          <w:szCs w:val="18"/>
          <w:color w:val="auto"/>
        </w:rPr>
        <w:t>Repurchase of</w:t>
      </w:r>
    </w:p>
    <w:tbl>
      <w:tblPr>
        <w:tblLayout w:type="fixed"/>
        <w:tblInd w:w="120" w:type="dxa"/>
        <w:tblCellMar>
          <w:top w:w="0" w:type="dxa"/>
          <w:left w:w="0" w:type="dxa"/>
          <w:bottom w:w="0" w:type="dxa"/>
          <w:right w:w="0" w:type="dxa"/>
        </w:tblCellMar>
      </w:tblPr>
      <w:tr>
        <w:trPr>
          <w:trHeight w:val="203"/>
        </w:trPr>
        <w:tc>
          <w:tcPr>
            <w:tcW w:w="1200" w:type="dxa"/>
            <w:vAlign w:val="bottom"/>
          </w:tcPr>
          <w:p>
            <w:pPr>
              <w:spacing w:after="0"/>
              <w:rPr>
                <w:sz w:val="20"/>
                <w:szCs w:val="20"/>
                <w:color w:val="auto"/>
              </w:rPr>
            </w:pPr>
            <w:r>
              <w:rPr>
                <w:rFonts w:ascii="Courier New" w:cs="Courier New" w:eastAsia="Courier New" w:hAnsi="Courier New"/>
                <w:sz w:val="18"/>
                <w:szCs w:val="18"/>
                <w:color w:val="auto"/>
                <w:w w:val="99"/>
              </w:rPr>
              <w:t>shares.....</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w w:val="99"/>
              </w:rPr>
              <w:t>(7,732) --</w:t>
            </w:r>
          </w:p>
        </w:tc>
      </w:tr>
    </w:tbl>
    <w:p>
      <w:pPr>
        <w:jc w:val="center"/>
        <w:ind w:right="7679"/>
        <w:spacing w:after="0" w:line="238" w:lineRule="auto"/>
        <w:rPr>
          <w:sz w:val="20"/>
          <w:szCs w:val="20"/>
          <w:color w:val="auto"/>
        </w:rPr>
      </w:pPr>
      <w:r>
        <w:rPr>
          <w:rFonts w:ascii="Courier New" w:cs="Courier New" w:eastAsia="Courier New" w:hAnsi="Courier New"/>
          <w:sz w:val="18"/>
          <w:szCs w:val="18"/>
          <w:color w:val="auto"/>
        </w:rPr>
        <w:t>-- (109,281) -- -- --</w:t>
      </w:r>
    </w:p>
    <w:p>
      <w:pPr>
        <w:jc w:val="center"/>
        <w:ind w:right="7679"/>
        <w:spacing w:after="0"/>
        <w:rPr>
          <w:sz w:val="20"/>
          <w:szCs w:val="20"/>
          <w:color w:val="auto"/>
        </w:rPr>
      </w:pPr>
      <w:r>
        <w:rPr>
          <w:rFonts w:ascii="Courier New" w:cs="Courier New" w:eastAsia="Courier New" w:hAnsi="Courier New"/>
          <w:sz w:val="18"/>
          <w:szCs w:val="18"/>
          <w:color w:val="auto"/>
        </w:rPr>
        <w:t>(109,281) Amortization</w:t>
      </w:r>
    </w:p>
    <w:p>
      <w:pPr>
        <w:jc w:val="center"/>
        <w:ind w:right="7679"/>
        <w:spacing w:after="0" w:line="238" w:lineRule="auto"/>
        <w:rPr>
          <w:sz w:val="20"/>
          <w:szCs w:val="20"/>
          <w:color w:val="auto"/>
        </w:rPr>
      </w:pPr>
      <w:r>
        <w:rPr>
          <w:rFonts w:ascii="Courier New" w:cs="Courier New" w:eastAsia="Courier New" w:hAnsi="Courier New"/>
          <w:sz w:val="18"/>
          <w:szCs w:val="18"/>
          <w:color w:val="auto"/>
        </w:rPr>
        <w:t>of unearned</w:t>
      </w:r>
    </w:p>
    <w:p>
      <w:pPr>
        <w:spacing w:after="0"/>
        <w:rPr>
          <w:sz w:val="20"/>
          <w:szCs w:val="20"/>
          <w:color w:val="auto"/>
        </w:rPr>
      </w:pPr>
      <w:r>
        <w:rPr>
          <w:rFonts w:ascii="Courier New" w:cs="Courier New" w:eastAsia="Courier New" w:hAnsi="Courier New"/>
          <w:sz w:val="16"/>
          <w:szCs w:val="16"/>
          <w:color w:val="auto"/>
        </w:rPr>
        <w:t>compensation............</w:t>
      </w:r>
    </w:p>
    <w:p>
      <w:pPr>
        <w:spacing w:after="0" w:line="20" w:lineRule="exact"/>
        <w:rPr>
          <w:sz w:val="20"/>
          <w:szCs w:val="20"/>
          <w:color w:val="auto"/>
        </w:rPr>
      </w:pPr>
    </w:p>
    <w:p>
      <w:pPr>
        <w:jc w:val="center"/>
        <w:ind w:right="7679"/>
        <w:spacing w:after="0"/>
        <w:rPr>
          <w:sz w:val="20"/>
          <w:szCs w:val="20"/>
          <w:color w:val="auto"/>
        </w:rPr>
      </w:pPr>
      <w:r>
        <w:rPr>
          <w:rFonts w:ascii="Courier New" w:cs="Courier New" w:eastAsia="Courier New" w:hAnsi="Courier New"/>
          <w:sz w:val="18"/>
          <w:szCs w:val="18"/>
          <w:color w:val="auto"/>
        </w:rPr>
        <w:t>-- -- -- -- -- 185 --</w:t>
      </w:r>
    </w:p>
    <w:p>
      <w:pPr>
        <w:jc w:val="center"/>
        <w:ind w:right="7679"/>
        <w:spacing w:after="0" w:line="238" w:lineRule="auto"/>
        <w:rPr>
          <w:sz w:val="20"/>
          <w:szCs w:val="20"/>
          <w:color w:val="auto"/>
        </w:rPr>
      </w:pPr>
      <w:r>
        <w:rPr>
          <w:rFonts w:ascii="Courier New" w:cs="Courier New" w:eastAsia="Courier New" w:hAnsi="Courier New"/>
          <w:sz w:val="18"/>
          <w:szCs w:val="18"/>
          <w:color w:val="auto"/>
        </w:rPr>
        <w:t>185 ------- ------ ----</w:t>
      </w:r>
    </w:p>
    <w:p>
      <w:pPr>
        <w:jc w:val="center"/>
        <w:ind w:right="7679"/>
        <w:spacing w:after="0"/>
        <w:rPr>
          <w:sz w:val="20"/>
          <w:szCs w:val="20"/>
          <w:color w:val="auto"/>
        </w:rPr>
      </w:pPr>
      <w:r>
        <w:rPr>
          <w:rFonts w:ascii="Courier New" w:cs="Courier New" w:eastAsia="Courier New" w:hAnsi="Courier New"/>
          <w:sz w:val="18"/>
          <w:szCs w:val="18"/>
          <w:color w:val="auto"/>
        </w:rPr>
        <w:t>------ --------- ------</w:t>
      </w:r>
    </w:p>
    <w:p>
      <w:pPr>
        <w:ind w:left="280" w:hanging="221"/>
        <w:spacing w:after="0"/>
        <w:tabs>
          <w:tab w:leader="none" w:pos="280"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21" w:lineRule="exact"/>
        <w:rPr>
          <w:rFonts w:ascii="Courier New" w:cs="Courier New" w:eastAsia="Courier New" w:hAnsi="Courier New"/>
          <w:sz w:val="16"/>
          <w:szCs w:val="16"/>
          <w:color w:val="auto"/>
        </w:rPr>
      </w:pPr>
    </w:p>
    <w:p>
      <w:pPr>
        <w:ind w:left="1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 BALANCE AS OF</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840" w:type="dxa"/>
            <w:vAlign w:val="bottom"/>
          </w:tcPr>
          <w:p>
            <w:pPr>
              <w:jc w:val="right"/>
              <w:spacing w:after="0"/>
              <w:rPr>
                <w:sz w:val="20"/>
                <w:szCs w:val="20"/>
                <w:color w:val="auto"/>
              </w:rPr>
            </w:pPr>
            <w:r>
              <w:rPr>
                <w:rFonts w:ascii="Courier New" w:cs="Courier New" w:eastAsia="Courier New" w:hAnsi="Courier New"/>
                <w:sz w:val="9"/>
                <w:szCs w:val="9"/>
                <w:color w:val="auto"/>
                <w:w w:val="75"/>
              </w:rPr>
              <w:t>2002................</w:t>
            </w:r>
          </w:p>
        </w:tc>
        <w:tc>
          <w:tcPr>
            <w:tcW w:w="580" w:type="dxa"/>
            <w:vAlign w:val="bottom"/>
            <w:gridSpan w:val="2"/>
            <w:vMerge w:val="restart"/>
          </w:tcPr>
          <w:p>
            <w:pPr>
              <w:jc w:val="right"/>
              <w:spacing w:after="0"/>
              <w:rPr>
                <w:sz w:val="20"/>
                <w:szCs w:val="20"/>
                <w:color w:val="auto"/>
              </w:rPr>
            </w:pPr>
            <w:r>
              <w:rPr>
                <w:rFonts w:ascii="Courier New" w:cs="Courier New" w:eastAsia="Courier New" w:hAnsi="Courier New"/>
                <w:sz w:val="18"/>
                <w:szCs w:val="18"/>
                <w:color w:val="auto"/>
                <w:w w:val="92"/>
              </w:rPr>
              <w:t>3,572</w:t>
            </w:r>
          </w:p>
        </w:tc>
        <w:tc>
          <w:tcPr>
            <w:tcW w:w="10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1,818,345</w:t>
            </w:r>
          </w:p>
        </w:tc>
        <w:tc>
          <w:tcPr>
            <w:tcW w:w="0" w:type="dxa"/>
            <w:vAlign w:val="bottom"/>
          </w:tcPr>
          <w:p>
            <w:pPr>
              <w:spacing w:after="0"/>
              <w:rPr>
                <w:sz w:val="1"/>
                <w:szCs w:val="1"/>
                <w:color w:val="auto"/>
              </w:rPr>
            </w:pPr>
          </w:p>
        </w:tc>
      </w:tr>
      <w:tr>
        <w:trPr>
          <w:trHeight w:val="203"/>
        </w:trPr>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rPr>
              <w:t>215,583</w:t>
            </w:r>
          </w:p>
        </w:tc>
        <w:tc>
          <w:tcPr>
            <w:tcW w:w="580" w:type="dxa"/>
            <w:vAlign w:val="bottom"/>
            <w:gridSpan w:val="2"/>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2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(109,281) (108) --</w:t>
            </w:r>
          </w:p>
        </w:tc>
        <w:tc>
          <w:tcPr>
            <w:tcW w:w="0" w:type="dxa"/>
            <w:vAlign w:val="bottom"/>
          </w:tcPr>
          <w:p>
            <w:pPr>
              <w:spacing w:after="0"/>
              <w:rPr>
                <w:sz w:val="1"/>
                <w:szCs w:val="1"/>
                <w:color w:val="auto"/>
              </w:rPr>
            </w:pPr>
          </w:p>
        </w:tc>
      </w:tr>
      <w:tr>
        <w:trPr>
          <w:trHeight w:val="203"/>
        </w:trPr>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(296,253)</w:t>
            </w:r>
          </w:p>
        </w:tc>
        <w:tc>
          <w:tcPr>
            <w:tcW w:w="12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1,416,275</w:t>
            </w:r>
          </w:p>
        </w:tc>
        <w:tc>
          <w:tcPr>
            <w:tcW w:w="0" w:type="dxa"/>
            <w:vAlign w:val="bottom"/>
          </w:tcPr>
          <w:p>
            <w:pPr>
              <w:spacing w:after="0"/>
              <w:rPr>
                <w:sz w:val="1"/>
                <w:szCs w:val="1"/>
                <w:color w:val="auto"/>
              </w:rPr>
            </w:pPr>
          </w:p>
        </w:tc>
      </w:tr>
      <w:tr>
        <w:trPr>
          <w:trHeight w:val="203"/>
        </w:trPr>
        <w:tc>
          <w:tcPr>
            <w:tcW w:w="242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Comprehensive income:</w:t>
            </w:r>
          </w:p>
        </w:tc>
        <w:tc>
          <w:tcPr>
            <w:tcW w:w="0" w:type="dxa"/>
            <w:vAlign w:val="bottom"/>
          </w:tcPr>
          <w:p>
            <w:pPr>
              <w:spacing w:after="0"/>
              <w:rPr>
                <w:sz w:val="1"/>
                <w:szCs w:val="1"/>
                <w:color w:val="auto"/>
              </w:rPr>
            </w:pPr>
          </w:p>
        </w:tc>
      </w:tr>
      <w:tr>
        <w:trPr>
          <w:trHeight w:val="296"/>
        </w:trPr>
        <w:tc>
          <w:tcPr>
            <w:tcW w:w="840" w:type="dxa"/>
            <w:vAlign w:val="bottom"/>
            <w:vMerge w:val="restart"/>
          </w:tcPr>
          <w:p>
            <w:pPr>
              <w:spacing w:after="0"/>
              <w:rPr>
                <w:sz w:val="20"/>
                <w:szCs w:val="20"/>
                <w:color w:val="auto"/>
              </w:rPr>
            </w:pPr>
            <w:r>
              <w:rPr>
                <w:rFonts w:ascii="Courier New" w:cs="Courier New" w:eastAsia="Courier New" w:hAnsi="Courier New"/>
                <w:sz w:val="9"/>
                <w:szCs w:val="9"/>
                <w:color w:val="auto"/>
                <w:w w:val="75"/>
              </w:rPr>
              <w:t>income..............</w:t>
            </w:r>
          </w:p>
        </w:tc>
        <w:tc>
          <w:tcPr>
            <w:tcW w:w="580" w:type="dxa"/>
            <w:vAlign w:val="bottom"/>
            <w:gridSpan w:val="2"/>
          </w:tcPr>
          <w:p>
            <w:pPr>
              <w:jc w:val="center"/>
              <w:ind w:left="72"/>
              <w:spacing w:after="0"/>
              <w:rPr>
                <w:sz w:val="20"/>
                <w:szCs w:val="20"/>
                <w:color w:val="auto"/>
              </w:rPr>
            </w:pPr>
            <w:r>
              <w:rPr>
                <w:rFonts w:ascii="Courier New" w:cs="Courier New" w:eastAsia="Courier New" w:hAnsi="Courier New"/>
                <w:sz w:val="18"/>
                <w:szCs w:val="18"/>
                <w:color w:val="auto"/>
                <w:w w:val="92"/>
              </w:rPr>
              <w:t>Net</w:t>
            </w:r>
          </w:p>
        </w:tc>
        <w:tc>
          <w:tcPr>
            <w:tcW w:w="10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41"/>
        </w:trPr>
        <w:tc>
          <w:tcPr>
            <w:tcW w:w="84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jc w:val="both"/>
        <w:ind w:left="60" w:right="7739" w:firstLine="52"/>
        <w:spacing w:after="0" w:line="268" w:lineRule="auto"/>
        <w:tabs>
          <w:tab w:leader="none" w:pos="429" w:val="left"/>
        </w:tabs>
        <w:numPr>
          <w:ilvl w:val="1"/>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-- 168,883 168,883 Unrealized gain</w:t>
      </w:r>
    </w:p>
    <w:p>
      <w:pPr>
        <w:ind w:left="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on foreign currency</w:t>
      </w:r>
    </w:p>
    <w:p>
      <w:pPr>
        <w:jc w:val="both"/>
        <w:ind w:left="120" w:right="779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hedging contracts, net of $3,258 tax.........</w:t>
      </w:r>
    </w:p>
    <w:p>
      <w:pPr>
        <w:ind w:left="380" w:hanging="320"/>
        <w:spacing w:after="0"/>
        <w:tabs>
          <w:tab w:leader="none" w:pos="38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-- 8,903 -- --</w:t>
      </w:r>
    </w:p>
    <w:p>
      <w:pPr>
        <w:spacing w:after="0" w:line="21" w:lineRule="exact"/>
        <w:rPr>
          <w:rFonts w:ascii="Courier New" w:cs="Courier New" w:eastAsia="Courier New" w:hAnsi="Courier New"/>
          <w:sz w:val="16"/>
          <w:szCs w:val="16"/>
          <w:color w:val="auto"/>
        </w:rPr>
      </w:pP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8,903 Decrease in</w:t>
      </w:r>
    </w:p>
    <w:p>
      <w:pPr>
        <w:jc w:val="center"/>
        <w:ind w:right="7679"/>
        <w:spacing w:after="0"/>
        <w:rPr>
          <w:sz w:val="20"/>
          <w:szCs w:val="20"/>
          <w:color w:val="auto"/>
        </w:rPr>
      </w:pPr>
      <w:r>
        <w:rPr>
          <w:rFonts w:ascii="Courier New" w:cs="Courier New" w:eastAsia="Courier New" w:hAnsi="Courier New"/>
          <w:sz w:val="18"/>
          <w:szCs w:val="18"/>
          <w:color w:val="auto"/>
        </w:rPr>
        <w:t>unrealized gain on cash</w:t>
      </w:r>
    </w:p>
    <w:p>
      <w:pPr>
        <w:jc w:val="center"/>
        <w:ind w:right="7679"/>
        <w:spacing w:after="0" w:line="238" w:lineRule="auto"/>
        <w:rPr>
          <w:sz w:val="20"/>
          <w:szCs w:val="20"/>
          <w:color w:val="auto"/>
        </w:rPr>
      </w:pPr>
      <w:r>
        <w:rPr>
          <w:rFonts w:ascii="Courier New" w:cs="Courier New" w:eastAsia="Courier New" w:hAnsi="Courier New"/>
          <w:sz w:val="18"/>
          <w:szCs w:val="18"/>
          <w:color w:val="auto"/>
        </w:rPr>
        <w:t>equivalents and short-</w:t>
      </w:r>
    </w:p>
    <w:p>
      <w:pPr>
        <w:jc w:val="center"/>
        <w:ind w:right="7679"/>
        <w:spacing w:after="0"/>
        <w:rPr>
          <w:sz w:val="20"/>
          <w:szCs w:val="20"/>
          <w:color w:val="auto"/>
        </w:rPr>
      </w:pPr>
      <w:r>
        <w:rPr>
          <w:rFonts w:ascii="Courier New" w:cs="Courier New" w:eastAsia="Courier New" w:hAnsi="Courier New"/>
          <w:sz w:val="18"/>
          <w:szCs w:val="18"/>
          <w:color w:val="auto"/>
        </w:rPr>
        <w:t>term interest- bearing</w:t>
      </w:r>
    </w:p>
    <w:p>
      <w:pPr>
        <w:jc w:val="center"/>
        <w:ind w:right="7679"/>
        <w:spacing w:after="0" w:line="238" w:lineRule="auto"/>
        <w:rPr>
          <w:sz w:val="20"/>
          <w:szCs w:val="20"/>
          <w:color w:val="auto"/>
        </w:rPr>
      </w:pPr>
      <w:r>
        <w:rPr>
          <w:rFonts w:ascii="Courier New" w:cs="Courier New" w:eastAsia="Courier New" w:hAnsi="Courier New"/>
          <w:sz w:val="18"/>
          <w:szCs w:val="18"/>
          <w:color w:val="auto"/>
        </w:rPr>
        <w:t>investments, net of</w:t>
      </w:r>
    </w:p>
    <w:p>
      <w:pPr>
        <w:jc w:val="center"/>
        <w:ind w:right="7679"/>
        <w:spacing w:after="0"/>
        <w:rPr>
          <w:sz w:val="20"/>
          <w:szCs w:val="20"/>
          <w:color w:val="auto"/>
        </w:rPr>
      </w:pPr>
      <w:r>
        <w:rPr>
          <w:rFonts w:ascii="Courier New" w:cs="Courier New" w:eastAsia="Courier New" w:hAnsi="Courier New"/>
          <w:sz w:val="18"/>
          <w:szCs w:val="18"/>
          <w:color w:val="auto"/>
        </w:rPr>
        <w:t>$(1,977) tax... -- -- -</w:t>
      </w:r>
    </w:p>
    <w:p>
      <w:pPr>
        <w:ind w:left="540" w:hanging="217"/>
        <w:spacing w:after="0" w:line="238" w:lineRule="auto"/>
        <w:tabs>
          <w:tab w:leader="none" w:pos="54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(5,080) -- --</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(5,080) ----------</w:t>
      </w:r>
    </w:p>
    <w:p>
      <w:pPr>
        <w:ind w:left="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Comprehensive</w:t>
      </w:r>
    </w:p>
    <w:p>
      <w:pPr>
        <w:jc w:val="center"/>
        <w:ind w:right="7679"/>
        <w:spacing w:after="0"/>
        <w:rPr>
          <w:sz w:val="20"/>
          <w:szCs w:val="20"/>
          <w:color w:val="auto"/>
        </w:rPr>
      </w:pPr>
      <w:r>
        <w:rPr>
          <w:rFonts w:ascii="Courier New" w:cs="Courier New" w:eastAsia="Courier New" w:hAnsi="Courier New"/>
          <w:sz w:val="18"/>
          <w:szCs w:val="18"/>
          <w:color w:val="auto"/>
        </w:rPr>
        <w:t>income.... 172,706 ----</w:t>
      </w:r>
    </w:p>
    <w:p>
      <w:pPr>
        <w:jc w:val="center"/>
        <w:ind w:right="7679"/>
        <w:spacing w:after="0" w:line="238" w:lineRule="auto"/>
        <w:rPr>
          <w:sz w:val="20"/>
          <w:szCs w:val="20"/>
          <w:color w:val="auto"/>
        </w:rPr>
      </w:pPr>
      <w:r>
        <w:rPr>
          <w:rFonts w:ascii="Courier New" w:cs="Courier New" w:eastAsia="Courier New" w:hAnsi="Courier New"/>
          <w:sz w:val="18"/>
          <w:szCs w:val="18"/>
          <w:color w:val="auto"/>
        </w:rPr>
        <w:t>------ Employee stock</w:t>
      </w:r>
    </w:p>
    <w:p>
      <w:pPr>
        <w:jc w:val="center"/>
        <w:ind w:right="7679"/>
        <w:spacing w:after="0"/>
        <w:rPr>
          <w:sz w:val="20"/>
          <w:szCs w:val="20"/>
          <w:color w:val="auto"/>
        </w:rPr>
      </w:pPr>
      <w:r>
        <w:rPr>
          <w:rFonts w:ascii="Courier New" w:cs="Courier New" w:eastAsia="Courier New" w:hAnsi="Courier New"/>
          <w:sz w:val="18"/>
          <w:szCs w:val="18"/>
          <w:color w:val="auto"/>
        </w:rPr>
        <w:t>options</w:t>
      </w:r>
    </w:p>
    <w:p>
      <w:pPr>
        <w:spacing w:after="0"/>
        <w:rPr>
          <w:sz w:val="20"/>
          <w:szCs w:val="20"/>
          <w:color w:val="auto"/>
        </w:rPr>
      </w:pPr>
      <w:r>
        <w:rPr>
          <w:rFonts w:ascii="Courier New" w:cs="Courier New" w:eastAsia="Courier New" w:hAnsi="Courier New"/>
          <w:sz w:val="16"/>
          <w:szCs w:val="16"/>
          <w:color w:val="auto"/>
        </w:rPr>
        <w:t>exercised...............</w:t>
      </w:r>
    </w:p>
    <w:p>
      <w:pPr>
        <w:spacing w:after="0" w:line="20" w:lineRule="exact"/>
        <w:rPr>
          <w:sz w:val="20"/>
          <w:szCs w:val="20"/>
          <w:color w:val="auto"/>
        </w:rPr>
      </w:pPr>
    </w:p>
    <w:p>
      <w:pPr>
        <w:jc w:val="center"/>
        <w:ind w:right="7679"/>
        <w:spacing w:after="0"/>
        <w:rPr>
          <w:sz w:val="20"/>
          <w:szCs w:val="20"/>
          <w:color w:val="auto"/>
        </w:rPr>
      </w:pPr>
      <w:r>
        <w:rPr>
          <w:rFonts w:ascii="Courier New" w:cs="Courier New" w:eastAsia="Courier New" w:hAnsi="Courier New"/>
          <w:sz w:val="18"/>
          <w:szCs w:val="18"/>
          <w:color w:val="auto"/>
        </w:rPr>
        <w:t>475 8 2,312 -- -- -- --</w:t>
      </w:r>
    </w:p>
    <w:p>
      <w:pPr>
        <w:jc w:val="center"/>
        <w:ind w:right="7679"/>
        <w:spacing w:after="0" w:line="238" w:lineRule="auto"/>
        <w:rPr>
          <w:sz w:val="20"/>
          <w:szCs w:val="20"/>
          <w:color w:val="auto"/>
        </w:rPr>
      </w:pPr>
      <w:r>
        <w:rPr>
          <w:rFonts w:ascii="Courier New" w:cs="Courier New" w:eastAsia="Courier New" w:hAnsi="Courier New"/>
          <w:sz w:val="18"/>
          <w:szCs w:val="18"/>
          <w:color w:val="auto"/>
        </w:rPr>
        <w:t>2,320 Tax benefit of</w:t>
      </w:r>
    </w:p>
    <w:p>
      <w:pPr>
        <w:jc w:val="center"/>
        <w:ind w:right="7679"/>
        <w:spacing w:after="0"/>
        <w:rPr>
          <w:sz w:val="20"/>
          <w:szCs w:val="20"/>
          <w:color w:val="auto"/>
        </w:rPr>
      </w:pPr>
      <w:r>
        <w:rPr>
          <w:rFonts w:ascii="Courier New" w:cs="Courier New" w:eastAsia="Courier New" w:hAnsi="Courier New"/>
          <w:sz w:val="18"/>
          <w:szCs w:val="18"/>
          <w:color w:val="auto"/>
        </w:rPr>
        <w:t>stock options</w:t>
      </w:r>
    </w:p>
    <w:p>
      <w:pPr>
        <w:ind w:left="120"/>
        <w:spacing w:after="0" w:line="238" w:lineRule="auto"/>
        <w:rPr>
          <w:sz w:val="20"/>
          <w:szCs w:val="20"/>
          <w:color w:val="auto"/>
        </w:rPr>
      </w:pPr>
      <w:r>
        <w:rPr>
          <w:rFonts w:ascii="Courier New" w:cs="Courier New" w:eastAsia="Courier New" w:hAnsi="Courier New"/>
          <w:sz w:val="18"/>
          <w:szCs w:val="18"/>
          <w:color w:val="auto"/>
        </w:rPr>
        <w:t>exercised....... -- --</w:t>
      </w:r>
    </w:p>
    <w:p>
      <w:pPr>
        <w:jc w:val="center"/>
        <w:ind w:right="7679"/>
        <w:spacing w:after="0"/>
        <w:rPr>
          <w:sz w:val="20"/>
          <w:szCs w:val="20"/>
          <w:color w:val="auto"/>
        </w:rPr>
      </w:pPr>
      <w:r>
        <w:rPr>
          <w:rFonts w:ascii="Courier New" w:cs="Courier New" w:eastAsia="Courier New" w:hAnsi="Courier New"/>
          <w:sz w:val="18"/>
          <w:szCs w:val="18"/>
          <w:color w:val="auto"/>
        </w:rPr>
        <w:t>262 -- -- -- -- 262</w:t>
      </w:r>
    </w:p>
    <w:p>
      <w:pPr>
        <w:jc w:val="center"/>
        <w:ind w:right="7679"/>
        <w:spacing w:after="0" w:line="238" w:lineRule="auto"/>
        <w:rPr>
          <w:sz w:val="20"/>
          <w:szCs w:val="20"/>
          <w:color w:val="auto"/>
        </w:rPr>
      </w:pPr>
      <w:r>
        <w:rPr>
          <w:rFonts w:ascii="Courier New" w:cs="Courier New" w:eastAsia="Courier New" w:hAnsi="Courier New"/>
          <w:sz w:val="18"/>
          <w:szCs w:val="18"/>
          <w:color w:val="auto"/>
        </w:rPr>
        <w:t>Expense related to</w:t>
      </w:r>
    </w:p>
    <w:p>
      <w:pPr>
        <w:jc w:val="center"/>
        <w:ind w:right="7679"/>
        <w:spacing w:after="0"/>
        <w:rPr>
          <w:sz w:val="20"/>
          <w:szCs w:val="20"/>
          <w:color w:val="auto"/>
        </w:rPr>
      </w:pPr>
      <w:r>
        <w:rPr>
          <w:rFonts w:ascii="Courier New" w:cs="Courier New" w:eastAsia="Courier New" w:hAnsi="Courier New"/>
          <w:sz w:val="18"/>
          <w:szCs w:val="18"/>
          <w:color w:val="auto"/>
        </w:rPr>
        <w:t>vesting of stock</w:t>
      </w:r>
    </w:p>
    <w:p>
      <w:pPr>
        <w:jc w:val="center"/>
        <w:ind w:right="7679"/>
        <w:spacing w:after="0"/>
        <w:rPr>
          <w:sz w:val="20"/>
          <w:szCs w:val="20"/>
          <w:color w:val="auto"/>
        </w:rPr>
      </w:pPr>
      <w:r>
        <w:rPr>
          <w:rFonts w:ascii="Courier New" w:cs="Courier New" w:eastAsia="Courier New" w:hAnsi="Courier New"/>
          <w:sz w:val="16"/>
          <w:szCs w:val="16"/>
          <w:color w:val="auto"/>
        </w:rPr>
        <w:t>options.................</w:t>
      </w:r>
    </w:p>
    <w:p>
      <w:pPr>
        <w:spacing w:after="0" w:line="21" w:lineRule="exact"/>
        <w:rPr>
          <w:sz w:val="20"/>
          <w:szCs w:val="20"/>
          <w:color w:val="auto"/>
        </w:rPr>
      </w:pPr>
    </w:p>
    <w:p>
      <w:pPr>
        <w:ind w:left="380" w:hanging="320"/>
        <w:spacing w:after="0"/>
        <w:tabs>
          <w:tab w:leader="none" w:pos="38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-- 37 -- -- -- -- 37</w:t>
      </w:r>
    </w:p>
    <w:p>
      <w:pPr>
        <w:spacing w:after="0" w:line="21" w:lineRule="exact"/>
        <w:rPr>
          <w:rFonts w:ascii="Courier New" w:cs="Courier New" w:eastAsia="Courier New" w:hAnsi="Courier New"/>
          <w:sz w:val="16"/>
          <w:szCs w:val="16"/>
          <w:color w:val="auto"/>
        </w:rPr>
      </w:pPr>
    </w:p>
    <w:p>
      <w:pPr>
        <w:ind w:left="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21" w:lineRule="exact"/>
        <w:rPr>
          <w:rFonts w:ascii="Courier New" w:cs="Courier New" w:eastAsia="Courier New" w:hAnsi="Courier New"/>
          <w:sz w:val="16"/>
          <w:szCs w:val="16"/>
          <w:color w:val="auto"/>
        </w:rPr>
      </w:pPr>
    </w:p>
    <w:p>
      <w:pPr>
        <w:ind w:left="380" w:hanging="321"/>
        <w:spacing w:after="0"/>
        <w:tabs>
          <w:tab w:leader="none" w:pos="38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21" w:lineRule="exact"/>
        <w:rPr>
          <w:rFonts w:ascii="Courier New" w:cs="Courier New" w:eastAsia="Courier New" w:hAnsi="Courier New"/>
          <w:sz w:val="16"/>
          <w:szCs w:val="16"/>
          <w:color w:val="auto"/>
        </w:rPr>
      </w:pPr>
    </w:p>
    <w:p>
      <w:pPr>
        <w:ind w:left="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21" w:lineRule="exact"/>
        <w:rPr>
          <w:rFonts w:ascii="Courier New" w:cs="Courier New" w:eastAsia="Courier New" w:hAnsi="Courier New"/>
          <w:sz w:val="16"/>
          <w:szCs w:val="16"/>
          <w:color w:val="auto"/>
        </w:rPr>
      </w:pPr>
    </w:p>
    <w:p>
      <w:pPr>
        <w:ind w:left="800" w:hanging="425"/>
        <w:spacing w:after="0" w:line="238" w:lineRule="auto"/>
        <w:tabs>
          <w:tab w:leader="none" w:pos="800" w:val="left"/>
        </w:tabs>
        <w:numPr>
          <w:ilvl w:val="1"/>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BALANCE AS OF</w:t>
      </w:r>
    </w:p>
    <w:p>
      <w:pPr>
        <w:ind w:left="580"/>
        <w:spacing w:after="0"/>
        <w:rPr>
          <w:sz w:val="20"/>
          <w:szCs w:val="20"/>
          <w:color w:val="auto"/>
        </w:rPr>
      </w:pPr>
      <w:r>
        <w:rPr>
          <w:rFonts w:ascii="Courier New" w:cs="Courier New" w:eastAsia="Courier New" w:hAnsi="Courier New"/>
          <w:sz w:val="18"/>
          <w:szCs w:val="18"/>
          <w:color w:val="auto"/>
        </w:rPr>
        <w:t>SEPTEMBER 30,</w:t>
      </w:r>
    </w:p>
    <w:p>
      <w:pPr>
        <w:ind w:left="220"/>
        <w:spacing w:after="0" w:line="238" w:lineRule="auto"/>
        <w:rPr>
          <w:sz w:val="20"/>
          <w:szCs w:val="20"/>
          <w:color w:val="auto"/>
        </w:rPr>
      </w:pPr>
      <w:r>
        <w:rPr>
          <w:rFonts w:ascii="Courier New" w:cs="Courier New" w:eastAsia="Courier New" w:hAnsi="Courier New"/>
          <w:sz w:val="18"/>
          <w:szCs w:val="18"/>
          <w:color w:val="auto"/>
        </w:rPr>
        <w:t>2003................</w:t>
      </w:r>
    </w:p>
    <w:p>
      <w:pPr>
        <w:jc w:val="center"/>
        <w:ind w:right="7679"/>
        <w:spacing w:after="0"/>
        <w:rPr>
          <w:sz w:val="20"/>
          <w:szCs w:val="20"/>
          <w:color w:val="auto"/>
        </w:rPr>
      </w:pPr>
      <w:r>
        <w:rPr>
          <w:rFonts w:ascii="Courier New" w:cs="Courier New" w:eastAsia="Courier New" w:hAnsi="Courier New"/>
          <w:sz w:val="18"/>
          <w:szCs w:val="18"/>
          <w:color w:val="auto"/>
        </w:rPr>
        <w:t>216,058 $3,580</w:t>
      </w:r>
    </w:p>
    <w:p>
      <w:pPr>
        <w:jc w:val="center"/>
        <w:ind w:right="7679"/>
        <w:spacing w:after="0" w:line="238" w:lineRule="auto"/>
        <w:rPr>
          <w:sz w:val="20"/>
          <w:szCs w:val="20"/>
          <w:color w:val="auto"/>
        </w:rPr>
      </w:pPr>
      <w:r>
        <w:rPr>
          <w:rFonts w:ascii="Courier New" w:cs="Courier New" w:eastAsia="Courier New" w:hAnsi="Courier New"/>
          <w:sz w:val="18"/>
          <w:szCs w:val="18"/>
          <w:color w:val="auto"/>
        </w:rPr>
        <w:t>$1,820,956 $(109,281) $</w:t>
      </w:r>
    </w:p>
    <w:p>
      <w:pPr>
        <w:jc w:val="center"/>
        <w:ind w:right="7679"/>
        <w:spacing w:after="0"/>
        <w:rPr>
          <w:sz w:val="20"/>
          <w:szCs w:val="20"/>
          <w:color w:val="auto"/>
        </w:rPr>
      </w:pPr>
      <w:r>
        <w:rPr>
          <w:rFonts w:ascii="Courier New" w:cs="Courier New" w:eastAsia="Courier New" w:hAnsi="Courier New"/>
          <w:sz w:val="18"/>
          <w:szCs w:val="18"/>
          <w:color w:val="auto"/>
        </w:rPr>
        <w:t>3,715 $ -- $(127,370)</w:t>
      </w:r>
    </w:p>
    <w:p>
      <w:pPr>
        <w:jc w:val="center"/>
        <w:ind w:right="7679"/>
        <w:spacing w:after="0"/>
        <w:rPr>
          <w:sz w:val="20"/>
          <w:szCs w:val="20"/>
          <w:color w:val="auto"/>
        </w:rPr>
      </w:pPr>
      <w:r>
        <w:rPr>
          <w:rFonts w:ascii="Courier New" w:cs="Courier New" w:eastAsia="Courier New" w:hAnsi="Courier New"/>
          <w:sz w:val="18"/>
          <w:szCs w:val="18"/>
          <w:color w:val="auto"/>
        </w:rPr>
        <w:t>$1,591,600 =======</w:t>
      </w:r>
    </w:p>
    <w:p>
      <w:pPr>
        <w:sectPr>
          <w:pgSz w:w="11900" w:h="16838" w:orient="portrait"/>
          <w:cols w:equalWidth="0" w:num="1">
            <w:col w:w="10219"/>
          </w:cols>
          <w:pgMar w:left="240" w:top="110" w:right="1440" w:bottom="0" w:gutter="0" w:footer="0" w:header="0"/>
        </w:sectPr>
      </w:pPr>
    </w:p>
    <w:bookmarkStart w:id="82" w:name="page83"/>
    <w:bookmarkEnd w:id="82"/>
    <w:p>
      <w:pPr>
        <w:jc w:val="center"/>
        <w:ind w:right="7679"/>
        <w:spacing w:after="0"/>
        <w:rPr>
          <w:sz w:val="20"/>
          <w:szCs w:val="20"/>
          <w:color w:val="auto"/>
        </w:rPr>
      </w:pPr>
      <w:r>
        <w:rPr>
          <w:rFonts w:ascii="Courier New" w:cs="Courier New" w:eastAsia="Courier New" w:hAnsi="Courier New"/>
          <w:sz w:val="18"/>
          <w:szCs w:val="18"/>
          <w:color w:val="auto"/>
        </w:rPr>
        <w:t>====== ==========</w:t>
      </w:r>
    </w:p>
    <w:p>
      <w:pPr>
        <w:spacing w:after="0" w:line="29" w:lineRule="exact"/>
        <w:rPr>
          <w:sz w:val="20"/>
          <w:szCs w:val="20"/>
          <w:color w:val="auto"/>
        </w:rPr>
      </w:pPr>
    </w:p>
    <w:p>
      <w:pPr>
        <w:jc w:val="center"/>
        <w:ind w:right="7679"/>
        <w:spacing w:after="0"/>
        <w:rPr>
          <w:sz w:val="20"/>
          <w:szCs w:val="20"/>
          <w:color w:val="auto"/>
        </w:rPr>
      </w:pPr>
      <w:r>
        <w:rPr>
          <w:rFonts w:ascii="Courier New" w:cs="Courier New" w:eastAsia="Courier New" w:hAnsi="Courier New"/>
          <w:sz w:val="18"/>
          <w:szCs w:val="18"/>
          <w:color w:val="auto"/>
        </w:rPr>
        <w:t>========= =======</w:t>
      </w:r>
    </w:p>
    <w:p>
      <w:pPr>
        <w:jc w:val="center"/>
        <w:ind w:right="7679"/>
        <w:spacing w:after="0" w:line="238" w:lineRule="auto"/>
        <w:rPr>
          <w:sz w:val="20"/>
          <w:szCs w:val="20"/>
          <w:color w:val="auto"/>
        </w:rPr>
      </w:pPr>
      <w:r>
        <w:rPr>
          <w:rFonts w:ascii="Courier New" w:cs="Courier New" w:eastAsia="Courier New" w:hAnsi="Courier New"/>
          <w:sz w:val="18"/>
          <w:szCs w:val="18"/>
          <w:color w:val="auto"/>
        </w:rPr>
        <w:t>======= =========</w:t>
      </w:r>
    </w:p>
    <w:p>
      <w:pPr>
        <w:jc w:val="center"/>
        <w:ind w:right="7679"/>
        <w:spacing w:after="0"/>
        <w:rPr>
          <w:sz w:val="20"/>
          <w:szCs w:val="20"/>
          <w:color w:val="auto"/>
        </w:rPr>
      </w:pPr>
      <w:r>
        <w:rPr>
          <w:rFonts w:ascii="Courier New" w:cs="Courier New" w:eastAsia="Courier New" w:hAnsi="Courier New"/>
          <w:sz w:val="18"/>
          <w:szCs w:val="18"/>
          <w:color w:val="auto"/>
        </w:rPr>
        <w:t>==========</w:t>
      </w:r>
    </w:p>
    <w:p>
      <w:pPr>
        <w:spacing w:after="0" w:line="372" w:lineRule="exact"/>
        <w:rPr>
          <w:sz w:val="20"/>
          <w:szCs w:val="20"/>
          <w:color w:val="auto"/>
        </w:rPr>
      </w:pPr>
    </w:p>
    <w:p>
      <w:pPr>
        <w:ind w:right="1779" w:firstLine="527"/>
        <w:spacing w:after="0" w:line="265" w:lineRule="auto"/>
        <w:rPr>
          <w:sz w:val="20"/>
          <w:szCs w:val="20"/>
          <w:color w:val="auto"/>
        </w:rPr>
      </w:pPr>
      <w:r>
        <w:rPr>
          <w:rFonts w:ascii="Courier New" w:cs="Courier New" w:eastAsia="Courier New" w:hAnsi="Courier New"/>
          <w:sz w:val="18"/>
          <w:szCs w:val="18"/>
          <w:color w:val="auto"/>
        </w:rPr>
        <w:t>As of September 30, 2003, 2002 and 2001, accumulated other comprehensive income (loss) is comprised of unrealized gain (loss) on derivatives, net of tax, of $3,683, $(5,220) and $(7,902) and unrealized gain on cash equivalents and short-term interest-bearing investments, net of tax, of $32, $5,112 and $1,520, as of September 30, 2003, 2002 and 2001, respectively.</w:t>
      </w:r>
    </w:p>
    <w:p>
      <w:pPr>
        <w:spacing w:after="0" w:line="90" w:lineRule="exact"/>
        <w:rPr>
          <w:sz w:val="20"/>
          <w:szCs w:val="20"/>
          <w:color w:val="auto"/>
        </w:rPr>
      </w:pPr>
    </w:p>
    <w:p>
      <w:pPr>
        <w:ind w:left="3580" w:right="1779" w:hanging="3054"/>
        <w:spacing w:after="0" w:line="347" w:lineRule="auto"/>
        <w:rPr>
          <w:sz w:val="20"/>
          <w:szCs w:val="20"/>
          <w:color w:val="auto"/>
        </w:rPr>
      </w:pPr>
      <w:r>
        <w:rPr>
          <w:rFonts w:ascii="Courier New" w:cs="Courier New" w:eastAsia="Courier New" w:hAnsi="Courier New"/>
          <w:sz w:val="18"/>
          <w:szCs w:val="18"/>
          <w:color w:val="auto"/>
        </w:rPr>
        <w:t>The accompanying notes are an integral part of these consolidated financial statements.</w:t>
      </w:r>
    </w:p>
    <w:p>
      <w:pPr>
        <w:spacing w:after="0" w:line="1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F-5</w:t>
      </w:r>
    </w:p>
    <w:p>
      <w:pPr>
        <w:sectPr>
          <w:pgSz w:w="11900" w:h="16838" w:orient="portrait"/>
          <w:cols w:equalWidth="0" w:num="1">
            <w:col w:w="10219"/>
          </w:cols>
          <w:pgMar w:left="240" w:top="110" w:right="1440" w:bottom="1440" w:gutter="0" w:footer="0" w:header="0"/>
        </w:sectPr>
      </w:pPr>
    </w:p>
    <w:bookmarkStart w:id="83" w:name="page84"/>
    <w:bookmarkEnd w:id="83"/>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6"/>
          <w:szCs w:val="16"/>
          <w:color w:val="auto"/>
        </w:rPr>
        <w:t>CONSOLIDATED STATEMENTS OF CASH FLOWS</w:t>
      </w:r>
    </w:p>
    <w:p>
      <w:pPr>
        <w:spacing w:after="0" w:line="5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(IN THOUSANDS)</w:t>
      </w:r>
    </w:p>
    <w:p>
      <w:pPr>
        <w:spacing w:after="0" w:line="169" w:lineRule="exact"/>
        <w:rPr>
          <w:sz w:val="20"/>
          <w:szCs w:val="20"/>
          <w:color w:val="auto"/>
        </w:rPr>
      </w:pPr>
    </w:p>
    <w:p>
      <w:pPr>
        <w:ind w:left="260" w:right="4259" w:hanging="210"/>
        <w:spacing w:after="0" w:line="247" w:lineRule="auto"/>
        <w:rPr>
          <w:sz w:val="20"/>
          <w:szCs w:val="20"/>
          <w:color w:val="auto"/>
        </w:rPr>
      </w:pPr>
      <w:r>
        <w:rPr>
          <w:rFonts w:ascii="Courier New" w:cs="Courier New" w:eastAsia="Courier New" w:hAnsi="Courier New"/>
          <w:sz w:val="18"/>
          <w:szCs w:val="18"/>
          <w:color w:val="auto"/>
        </w:rPr>
        <w:t>YEAR ENDED SEPTEMBER 30, ------------------------------- -- 2003 2002 2001 --------- --------- --------- CASH FLOW FROM OPERATING ACTIVITIES: Net income (loss).......................................... $</w:t>
      </w:r>
    </w:p>
    <w:tbl>
      <w:tblPr>
        <w:tblLayout w:type="fixed"/>
        <w:tblInd w:w="60" w:type="dxa"/>
        <w:tblCellMar>
          <w:top w:w="0" w:type="dxa"/>
          <w:left w:w="0" w:type="dxa"/>
          <w:bottom w:w="0" w:type="dxa"/>
          <w:right w:w="0" w:type="dxa"/>
        </w:tblCellMar>
      </w:tblPr>
      <w:tr>
        <w:trPr>
          <w:trHeight w:val="173"/>
        </w:trPr>
        <w:tc>
          <w:tcPr>
            <w:tcW w:w="1940" w:type="dxa"/>
            <w:vAlign w:val="bottom"/>
          </w:tcPr>
          <w:p>
            <w:pPr>
              <w:ind w:left="40"/>
              <w:spacing w:after="0" w:line="174" w:lineRule="exact"/>
              <w:rPr>
                <w:sz w:val="20"/>
                <w:szCs w:val="20"/>
                <w:color w:val="auto"/>
              </w:rPr>
            </w:pPr>
            <w:r>
              <w:rPr>
                <w:rFonts w:ascii="Courier New" w:cs="Courier New" w:eastAsia="Courier New" w:hAnsi="Courier New"/>
                <w:sz w:val="18"/>
                <w:szCs w:val="18"/>
                <w:color w:val="auto"/>
              </w:rPr>
              <w:t>168,883 $ (5,061)</w:t>
            </w:r>
          </w:p>
        </w:tc>
        <w:tc>
          <w:tcPr>
            <w:tcW w:w="3960" w:type="dxa"/>
            <w:vAlign w:val="bottom"/>
            <w:gridSpan w:val="2"/>
          </w:tcPr>
          <w:p>
            <w:pPr>
              <w:jc w:val="right"/>
              <w:spacing w:after="0" w:line="174" w:lineRule="exact"/>
              <w:rPr>
                <w:sz w:val="20"/>
                <w:szCs w:val="20"/>
                <w:color w:val="auto"/>
              </w:rPr>
            </w:pPr>
            <w:r>
              <w:rPr>
                <w:rFonts w:ascii="Courier New" w:cs="Courier New" w:eastAsia="Courier New" w:hAnsi="Courier New"/>
                <w:sz w:val="18"/>
                <w:szCs w:val="18"/>
                <w:color w:val="auto"/>
                <w:w w:val="97"/>
              </w:rPr>
              <w:t>$ 66,386 Reconciliation of net income</w:t>
            </w:r>
          </w:p>
        </w:tc>
        <w:tc>
          <w:tcPr>
            <w:tcW w:w="0" w:type="dxa"/>
            <w:vAlign w:val="bottom"/>
          </w:tcPr>
          <w:p>
            <w:pPr>
              <w:spacing w:after="0"/>
              <w:rPr>
                <w:sz w:val="1"/>
                <w:szCs w:val="1"/>
                <w:color w:val="auto"/>
              </w:rPr>
            </w:pPr>
          </w:p>
        </w:tc>
      </w:tr>
      <w:tr>
        <w:trPr>
          <w:trHeight w:val="203"/>
        </w:trPr>
        <w:tc>
          <w:tcPr>
            <w:tcW w:w="5900" w:type="dxa"/>
            <w:vAlign w:val="bottom"/>
            <w:gridSpan w:val="3"/>
          </w:tcPr>
          <w:p>
            <w:pPr>
              <w:jc w:val="right"/>
              <w:ind w:right="132"/>
              <w:spacing w:after="0" w:line="203" w:lineRule="exact"/>
              <w:rPr>
                <w:sz w:val="20"/>
                <w:szCs w:val="20"/>
                <w:color w:val="auto"/>
              </w:rPr>
            </w:pPr>
            <w:r>
              <w:rPr>
                <w:rFonts w:ascii="Courier New" w:cs="Courier New" w:eastAsia="Courier New" w:hAnsi="Courier New"/>
                <w:sz w:val="18"/>
                <w:szCs w:val="18"/>
                <w:color w:val="auto"/>
              </w:rPr>
              <w:t>(loss) to net cash provided by operating activities:</w:t>
            </w:r>
          </w:p>
        </w:tc>
        <w:tc>
          <w:tcPr>
            <w:tcW w:w="0" w:type="dxa"/>
            <w:vAlign w:val="bottom"/>
          </w:tcPr>
          <w:p>
            <w:pPr>
              <w:spacing w:after="0"/>
              <w:rPr>
                <w:sz w:val="1"/>
                <w:szCs w:val="1"/>
                <w:color w:val="auto"/>
              </w:rPr>
            </w:pPr>
          </w:p>
        </w:tc>
      </w:tr>
      <w:tr>
        <w:trPr>
          <w:trHeight w:val="203"/>
        </w:trPr>
        <w:tc>
          <w:tcPr>
            <w:tcW w:w="590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Depreciation and amortization.........................</w:t>
            </w:r>
          </w:p>
        </w:tc>
        <w:tc>
          <w:tcPr>
            <w:tcW w:w="0" w:type="dxa"/>
            <w:vAlign w:val="bottom"/>
          </w:tcPr>
          <w:p>
            <w:pPr>
              <w:spacing w:after="0"/>
              <w:rPr>
                <w:sz w:val="1"/>
                <w:szCs w:val="1"/>
                <w:color w:val="auto"/>
              </w:rPr>
            </w:pPr>
          </w:p>
        </w:tc>
      </w:tr>
      <w:tr>
        <w:trPr>
          <w:trHeight w:val="203"/>
        </w:trPr>
        <w:tc>
          <w:tcPr>
            <w:tcW w:w="590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97,452 309,821 282,625 Adjustment to the basis of</w:t>
            </w:r>
          </w:p>
        </w:tc>
        <w:tc>
          <w:tcPr>
            <w:tcW w:w="0" w:type="dxa"/>
            <w:vAlign w:val="bottom"/>
          </w:tcPr>
          <w:p>
            <w:pPr>
              <w:spacing w:after="0"/>
              <w:rPr>
                <w:sz w:val="1"/>
                <w:szCs w:val="1"/>
                <w:color w:val="auto"/>
              </w:rPr>
            </w:pPr>
          </w:p>
        </w:tc>
      </w:tr>
      <w:tr>
        <w:trPr>
          <w:trHeight w:val="203"/>
        </w:trPr>
        <w:tc>
          <w:tcPr>
            <w:tcW w:w="1940" w:type="dxa"/>
            <w:vAlign w:val="bottom"/>
          </w:tcPr>
          <w:p>
            <w:pPr>
              <w:jc w:val="right"/>
              <w:spacing w:after="0"/>
              <w:rPr>
                <w:sz w:val="20"/>
                <w:szCs w:val="20"/>
                <w:color w:val="auto"/>
              </w:rPr>
            </w:pPr>
            <w:r>
              <w:rPr>
                <w:rFonts w:ascii="Courier New" w:cs="Courier New" w:eastAsia="Courier New" w:hAnsi="Courier New"/>
                <w:sz w:val="16"/>
                <w:szCs w:val="16"/>
                <w:color w:val="auto"/>
                <w:w w:val="74"/>
              </w:rPr>
              <w:t>investments................</w:t>
            </w:r>
          </w:p>
        </w:tc>
        <w:tc>
          <w:tcPr>
            <w:tcW w:w="39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-- 5,500 6,750 In-process</w:t>
            </w:r>
          </w:p>
        </w:tc>
        <w:tc>
          <w:tcPr>
            <w:tcW w:w="0" w:type="dxa"/>
            <w:vAlign w:val="bottom"/>
          </w:tcPr>
          <w:p>
            <w:pPr>
              <w:spacing w:after="0"/>
              <w:rPr>
                <w:sz w:val="1"/>
                <w:szCs w:val="1"/>
                <w:color w:val="auto"/>
              </w:rPr>
            </w:pPr>
          </w:p>
        </w:tc>
      </w:tr>
      <w:tr>
        <w:trPr>
          <w:trHeight w:val="203"/>
        </w:trPr>
        <w:tc>
          <w:tcPr>
            <w:tcW w:w="590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research and development expenses and</w:t>
            </w:r>
          </w:p>
        </w:tc>
        <w:tc>
          <w:tcPr>
            <w:tcW w:w="0" w:type="dxa"/>
            <w:vAlign w:val="bottom"/>
          </w:tcPr>
          <w:p>
            <w:pPr>
              <w:spacing w:after="0"/>
              <w:rPr>
                <w:sz w:val="1"/>
                <w:szCs w:val="1"/>
                <w:color w:val="auto"/>
              </w:rPr>
            </w:pPr>
          </w:p>
        </w:tc>
      </w:tr>
      <w:tr>
        <w:trPr>
          <w:trHeight w:val="203"/>
        </w:trPr>
        <w:tc>
          <w:tcPr>
            <w:tcW w:w="4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2"/>
              </w:rPr>
              <w:t>other...............................................</w:t>
            </w: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gridSpan w:val="2"/>
          </w:tcPr>
          <w:p>
            <w:pPr>
              <w:jc w:val="center"/>
              <w:ind w:left="1137"/>
              <w:spacing w:after="0" w:line="203" w:lineRule="exact"/>
              <w:rPr>
                <w:sz w:val="20"/>
                <w:szCs w:val="20"/>
                <w:color w:val="auto"/>
              </w:rPr>
            </w:pPr>
            <w:r>
              <w:rPr>
                <w:rFonts w:ascii="Courier New" w:cs="Courier New" w:eastAsia="Courier New" w:hAnsi="Courier New"/>
                <w:sz w:val="18"/>
                <w:szCs w:val="18"/>
                <w:color w:val="auto"/>
                <w:w w:val="97"/>
              </w:rPr>
              <w:t>4,133 17,400 -- Loss on sale of</w:t>
            </w: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40" w:type="dxa"/>
            <w:vAlign w:val="bottom"/>
          </w:tcPr>
          <w:p>
            <w:pPr>
              <w:jc w:val="right"/>
              <w:spacing w:after="0"/>
              <w:rPr>
                <w:sz w:val="20"/>
                <w:szCs w:val="20"/>
                <w:color w:val="auto"/>
              </w:rPr>
            </w:pPr>
            <w:r>
              <w:rPr>
                <w:rFonts w:ascii="Courier New" w:cs="Courier New" w:eastAsia="Courier New" w:hAnsi="Courier New"/>
                <w:sz w:val="12"/>
                <w:szCs w:val="12"/>
                <w:color w:val="auto"/>
                <w:w w:val="70"/>
              </w:rPr>
              <w:t>equipment.............................</w:t>
            </w:r>
          </w:p>
        </w:tc>
        <w:tc>
          <w:tcPr>
            <w:tcW w:w="3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396 549 593 Gain</w:t>
            </w:r>
          </w:p>
        </w:tc>
        <w:tc>
          <w:tcPr>
            <w:tcW w:w="0" w:type="dxa"/>
            <w:vAlign w:val="bottom"/>
          </w:tcPr>
          <w:p>
            <w:pPr>
              <w:spacing w:after="0"/>
              <w:rPr>
                <w:sz w:val="1"/>
                <w:szCs w:val="1"/>
                <w:color w:val="auto"/>
              </w:rPr>
            </w:pPr>
          </w:p>
        </w:tc>
      </w:tr>
      <w:tr>
        <w:trPr>
          <w:trHeight w:val="203"/>
        </w:trPr>
        <w:tc>
          <w:tcPr>
            <w:tcW w:w="4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8"/>
              </w:rPr>
              <w:t>on repurchase of convertible notes...............</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(448)</w:t>
            </w:r>
          </w:p>
        </w:tc>
        <w:tc>
          <w:tcPr>
            <w:tcW w:w="0" w:type="dxa"/>
            <w:vAlign w:val="bottom"/>
          </w:tcPr>
          <w:p>
            <w:pPr>
              <w:spacing w:after="0"/>
              <w:rPr>
                <w:sz w:val="1"/>
                <w:szCs w:val="1"/>
                <w:color w:val="auto"/>
              </w:rPr>
            </w:pPr>
          </w:p>
        </w:tc>
      </w:tr>
      <w:tr>
        <w:trPr>
          <w:trHeight w:val="203"/>
        </w:trPr>
        <w:tc>
          <w:tcPr>
            <w:tcW w:w="4680" w:type="dxa"/>
            <w:vAlign w:val="bottom"/>
            <w:gridSpan w:val="2"/>
          </w:tcPr>
          <w:p>
            <w:pPr>
              <w:jc w:val="center"/>
              <w:ind w:left="1137"/>
              <w:spacing w:after="0" w:line="203" w:lineRule="exact"/>
              <w:rPr>
                <w:sz w:val="20"/>
                <w:szCs w:val="20"/>
                <w:color w:val="auto"/>
              </w:rPr>
            </w:pPr>
            <w:r>
              <w:rPr>
                <w:rFonts w:ascii="Courier New" w:cs="Courier New" w:eastAsia="Courier New" w:hAnsi="Courier New"/>
                <w:sz w:val="18"/>
                <w:szCs w:val="18"/>
                <w:color w:val="auto"/>
                <w:w w:val="97"/>
              </w:rPr>
              <w:t>(6,012) -- Deferred income</w:t>
            </w: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40" w:type="dxa"/>
            <w:vAlign w:val="bottom"/>
          </w:tcPr>
          <w:p>
            <w:pPr>
              <w:jc w:val="right"/>
              <w:spacing w:after="0"/>
              <w:rPr>
                <w:sz w:val="20"/>
                <w:szCs w:val="20"/>
                <w:color w:val="auto"/>
              </w:rPr>
            </w:pPr>
            <w:r>
              <w:rPr>
                <w:rFonts w:ascii="Courier New" w:cs="Courier New" w:eastAsia="Courier New" w:hAnsi="Courier New"/>
                <w:sz w:val="12"/>
                <w:szCs w:val="12"/>
                <w:color w:val="auto"/>
                <w:w w:val="70"/>
              </w:rPr>
              <w:t>taxes.................................</w:t>
            </w:r>
          </w:p>
        </w:tc>
        <w:tc>
          <w:tcPr>
            <w:tcW w:w="39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4,001 (1,665)</w:t>
            </w:r>
          </w:p>
        </w:tc>
        <w:tc>
          <w:tcPr>
            <w:tcW w:w="0" w:type="dxa"/>
            <w:vAlign w:val="bottom"/>
          </w:tcPr>
          <w:p>
            <w:pPr>
              <w:spacing w:after="0"/>
              <w:rPr>
                <w:sz w:val="1"/>
                <w:szCs w:val="1"/>
                <w:color w:val="auto"/>
              </w:rPr>
            </w:pPr>
          </w:p>
        </w:tc>
      </w:tr>
      <w:tr>
        <w:trPr>
          <w:trHeight w:val="203"/>
        </w:trPr>
        <w:tc>
          <w:tcPr>
            <w:tcW w:w="590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5,018 Tax benefit of stock options</w:t>
            </w:r>
          </w:p>
        </w:tc>
        <w:tc>
          <w:tcPr>
            <w:tcW w:w="0" w:type="dxa"/>
            <w:vAlign w:val="bottom"/>
          </w:tcPr>
          <w:p>
            <w:pPr>
              <w:spacing w:after="0"/>
              <w:rPr>
                <w:sz w:val="1"/>
                <w:szCs w:val="1"/>
                <w:color w:val="auto"/>
              </w:rPr>
            </w:pPr>
          </w:p>
        </w:tc>
      </w:tr>
      <w:tr>
        <w:trPr>
          <w:trHeight w:val="203"/>
        </w:trPr>
        <w:tc>
          <w:tcPr>
            <w:tcW w:w="1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1"/>
              </w:rPr>
              <w:t>exercised................</w:t>
            </w:r>
          </w:p>
        </w:tc>
        <w:tc>
          <w:tcPr>
            <w:tcW w:w="39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262 6,808 7,345 Unrealized</w:t>
            </w:r>
          </w:p>
        </w:tc>
        <w:tc>
          <w:tcPr>
            <w:tcW w:w="0" w:type="dxa"/>
            <w:vAlign w:val="bottom"/>
          </w:tcPr>
          <w:p>
            <w:pPr>
              <w:spacing w:after="0"/>
              <w:rPr>
                <w:sz w:val="1"/>
                <w:szCs w:val="1"/>
                <w:color w:val="auto"/>
              </w:rPr>
            </w:pPr>
          </w:p>
        </w:tc>
      </w:tr>
      <w:tr>
        <w:trPr>
          <w:trHeight w:val="203"/>
        </w:trPr>
        <w:tc>
          <w:tcPr>
            <w:tcW w:w="46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other comprehensive income (loss)..........</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5,103 8,967</w:t>
            </w:r>
          </w:p>
        </w:tc>
        <w:tc>
          <w:tcPr>
            <w:tcW w:w="0" w:type="dxa"/>
            <w:vAlign w:val="bottom"/>
          </w:tcPr>
          <w:p>
            <w:pPr>
              <w:spacing w:after="0"/>
              <w:rPr>
                <w:sz w:val="1"/>
                <w:szCs w:val="1"/>
                <w:color w:val="auto"/>
              </w:rPr>
            </w:pPr>
          </w:p>
        </w:tc>
      </w:tr>
      <w:tr>
        <w:trPr>
          <w:trHeight w:val="203"/>
        </w:trPr>
        <w:tc>
          <w:tcPr>
            <w:tcW w:w="590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(10,773) Net changes in operating assets and</w:t>
            </w:r>
          </w:p>
        </w:tc>
        <w:tc>
          <w:tcPr>
            <w:tcW w:w="0" w:type="dxa"/>
            <w:vAlign w:val="bottom"/>
          </w:tcPr>
          <w:p>
            <w:pPr>
              <w:spacing w:after="0"/>
              <w:rPr>
                <w:sz w:val="1"/>
                <w:szCs w:val="1"/>
                <w:color w:val="auto"/>
              </w:rPr>
            </w:pPr>
          </w:p>
        </w:tc>
      </w:tr>
      <w:tr>
        <w:trPr>
          <w:trHeight w:val="203"/>
        </w:trPr>
        <w:tc>
          <w:tcPr>
            <w:tcW w:w="590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liabilities, net of amounts acquired: Accounts</w:t>
            </w:r>
          </w:p>
        </w:tc>
        <w:tc>
          <w:tcPr>
            <w:tcW w:w="0" w:type="dxa"/>
            <w:vAlign w:val="bottom"/>
          </w:tcPr>
          <w:p>
            <w:pPr>
              <w:spacing w:after="0"/>
              <w:rPr>
                <w:sz w:val="1"/>
                <w:szCs w:val="1"/>
                <w:color w:val="auto"/>
              </w:rPr>
            </w:pPr>
          </w:p>
        </w:tc>
      </w:tr>
      <w:tr>
        <w:trPr>
          <w:trHeight w:val="203"/>
        </w:trPr>
        <w:tc>
          <w:tcPr>
            <w:tcW w:w="4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9"/>
              </w:rPr>
              <w:t>receivable......................................</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58,485</w:t>
            </w:r>
          </w:p>
        </w:tc>
        <w:tc>
          <w:tcPr>
            <w:tcW w:w="0" w:type="dxa"/>
            <w:vAlign w:val="bottom"/>
          </w:tcPr>
          <w:p>
            <w:pPr>
              <w:spacing w:after="0"/>
              <w:rPr>
                <w:sz w:val="1"/>
                <w:szCs w:val="1"/>
                <w:color w:val="auto"/>
              </w:rPr>
            </w:pPr>
          </w:p>
        </w:tc>
      </w:tr>
      <w:tr>
        <w:trPr>
          <w:trHeight w:val="203"/>
        </w:trPr>
        <w:tc>
          <w:tcPr>
            <w:tcW w:w="590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97,055 (121,751) Prepaid expenses and other current</w:t>
            </w:r>
          </w:p>
        </w:tc>
        <w:tc>
          <w:tcPr>
            <w:tcW w:w="0" w:type="dxa"/>
            <w:vAlign w:val="bottom"/>
          </w:tcPr>
          <w:p>
            <w:pPr>
              <w:spacing w:after="0"/>
              <w:rPr>
                <w:sz w:val="1"/>
                <w:szCs w:val="1"/>
                <w:color w:val="auto"/>
              </w:rPr>
            </w:pPr>
          </w:p>
        </w:tc>
      </w:tr>
      <w:tr>
        <w:trPr>
          <w:trHeight w:val="203"/>
        </w:trPr>
        <w:tc>
          <w:tcPr>
            <w:tcW w:w="1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0"/>
              </w:rPr>
              <w:t>assets................</w:t>
            </w:r>
          </w:p>
        </w:tc>
        <w:tc>
          <w:tcPr>
            <w:tcW w:w="39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(4,025) (22,992) (3,718) Other</w:t>
            </w:r>
          </w:p>
        </w:tc>
        <w:tc>
          <w:tcPr>
            <w:tcW w:w="0" w:type="dxa"/>
            <w:vAlign w:val="bottom"/>
          </w:tcPr>
          <w:p>
            <w:pPr>
              <w:spacing w:after="0"/>
              <w:rPr>
                <w:sz w:val="1"/>
                <w:szCs w:val="1"/>
                <w:color w:val="auto"/>
              </w:rPr>
            </w:pPr>
          </w:p>
        </w:tc>
      </w:tr>
      <w:tr>
        <w:trPr>
          <w:trHeight w:val="203"/>
        </w:trPr>
        <w:tc>
          <w:tcPr>
            <w:tcW w:w="590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noncurrent assets..................................</w:t>
            </w:r>
          </w:p>
        </w:tc>
        <w:tc>
          <w:tcPr>
            <w:tcW w:w="0" w:type="dxa"/>
            <w:vAlign w:val="bottom"/>
          </w:tcPr>
          <w:p>
            <w:pPr>
              <w:spacing w:after="0"/>
              <w:rPr>
                <w:sz w:val="1"/>
                <w:szCs w:val="1"/>
                <w:color w:val="auto"/>
              </w:rPr>
            </w:pPr>
          </w:p>
        </w:tc>
      </w:tr>
      <w:tr>
        <w:trPr>
          <w:trHeight w:val="203"/>
        </w:trPr>
        <w:tc>
          <w:tcPr>
            <w:tcW w:w="590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(26,882) (9,875) (7,826) Accounts payable and accrued</w:t>
            </w:r>
          </w:p>
        </w:tc>
        <w:tc>
          <w:tcPr>
            <w:tcW w:w="0" w:type="dxa"/>
            <w:vAlign w:val="bottom"/>
          </w:tcPr>
          <w:p>
            <w:pPr>
              <w:spacing w:after="0"/>
              <w:rPr>
                <w:sz w:val="1"/>
                <w:szCs w:val="1"/>
                <w:color w:val="auto"/>
              </w:rPr>
            </w:pPr>
          </w:p>
        </w:tc>
      </w:tr>
      <w:tr>
        <w:trPr>
          <w:trHeight w:val="203"/>
        </w:trPr>
        <w:tc>
          <w:tcPr>
            <w:tcW w:w="1940" w:type="dxa"/>
            <w:vAlign w:val="bottom"/>
          </w:tcPr>
          <w:p>
            <w:pPr>
              <w:jc w:val="right"/>
              <w:spacing w:after="0"/>
              <w:rPr>
                <w:sz w:val="20"/>
                <w:szCs w:val="20"/>
                <w:color w:val="auto"/>
              </w:rPr>
            </w:pPr>
            <w:r>
              <w:rPr>
                <w:rFonts w:ascii="Courier New" w:cs="Courier New" w:eastAsia="Courier New" w:hAnsi="Courier New"/>
                <w:sz w:val="16"/>
                <w:szCs w:val="16"/>
                <w:color w:val="auto"/>
                <w:w w:val="71"/>
              </w:rPr>
              <w:t>expenses....................</w:t>
            </w:r>
          </w:p>
        </w:tc>
        <w:tc>
          <w:tcPr>
            <w:tcW w:w="39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(5,429) (2,461) 71,772</w:t>
            </w:r>
          </w:p>
        </w:tc>
        <w:tc>
          <w:tcPr>
            <w:tcW w:w="0" w:type="dxa"/>
            <w:vAlign w:val="bottom"/>
          </w:tcPr>
          <w:p>
            <w:pPr>
              <w:spacing w:after="0"/>
              <w:rPr>
                <w:sz w:val="1"/>
                <w:szCs w:val="1"/>
                <w:color w:val="auto"/>
              </w:rPr>
            </w:pPr>
          </w:p>
        </w:tc>
      </w:tr>
      <w:tr>
        <w:trPr>
          <w:trHeight w:val="296"/>
        </w:trPr>
        <w:tc>
          <w:tcPr>
            <w:tcW w:w="1940" w:type="dxa"/>
            <w:vAlign w:val="bottom"/>
            <w:vMerge w:val="restart"/>
          </w:tcPr>
          <w:p>
            <w:pPr>
              <w:jc w:val="right"/>
              <w:spacing w:after="0"/>
              <w:rPr>
                <w:sz w:val="20"/>
                <w:szCs w:val="20"/>
                <w:color w:val="auto"/>
              </w:rPr>
            </w:pPr>
            <w:r>
              <w:rPr>
                <w:rFonts w:ascii="Courier New" w:cs="Courier New" w:eastAsia="Courier New" w:hAnsi="Courier New"/>
                <w:sz w:val="9"/>
                <w:szCs w:val="9"/>
                <w:color w:val="auto"/>
                <w:w w:val="74"/>
              </w:rPr>
              <w:t>revenue.........................................</w:t>
            </w:r>
          </w:p>
        </w:tc>
        <w:tc>
          <w:tcPr>
            <w:tcW w:w="2740" w:type="dxa"/>
            <w:vAlign w:val="bottom"/>
          </w:tcPr>
          <w:p>
            <w:pPr>
              <w:jc w:val="center"/>
              <w:ind w:right="652"/>
              <w:spacing w:after="0"/>
              <w:rPr>
                <w:sz w:val="20"/>
                <w:szCs w:val="20"/>
                <w:color w:val="auto"/>
              </w:rPr>
            </w:pPr>
            <w:r>
              <w:rPr>
                <w:rFonts w:ascii="Courier New" w:cs="Courier New" w:eastAsia="Courier New" w:hAnsi="Courier New"/>
                <w:sz w:val="18"/>
                <w:szCs w:val="18"/>
                <w:color w:val="auto"/>
                <w:w w:val="97"/>
              </w:rPr>
              <w:t>Deferred</w:t>
            </w:r>
          </w:p>
        </w:tc>
        <w:tc>
          <w:tcPr>
            <w:tcW w:w="12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53,294</w:t>
            </w:r>
          </w:p>
        </w:tc>
        <w:tc>
          <w:tcPr>
            <w:tcW w:w="0" w:type="dxa"/>
            <w:vAlign w:val="bottom"/>
          </w:tcPr>
          <w:p>
            <w:pPr>
              <w:spacing w:after="0"/>
              <w:rPr>
                <w:sz w:val="1"/>
                <w:szCs w:val="1"/>
                <w:color w:val="auto"/>
              </w:rPr>
            </w:pPr>
          </w:p>
        </w:tc>
      </w:tr>
      <w:tr>
        <w:trPr>
          <w:trHeight w:val="109"/>
        </w:trPr>
        <w:tc>
          <w:tcPr>
            <w:tcW w:w="1940" w:type="dxa"/>
            <w:vAlign w:val="bottom"/>
            <w:vMerge w:val="continue"/>
          </w:tcPr>
          <w:p>
            <w:pPr>
              <w:spacing w:after="0"/>
              <w:rPr>
                <w:sz w:val="9"/>
                <w:szCs w:val="9"/>
                <w:color w:val="auto"/>
              </w:rPr>
            </w:pPr>
          </w:p>
        </w:tc>
        <w:tc>
          <w:tcPr>
            <w:tcW w:w="274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4680" w:type="dxa"/>
            <w:vAlign w:val="bottom"/>
            <w:gridSpan w:val="2"/>
          </w:tcPr>
          <w:p>
            <w:pPr>
              <w:jc w:val="right"/>
              <w:spacing w:after="0" w:line="202" w:lineRule="exact"/>
              <w:rPr>
                <w:sz w:val="20"/>
                <w:szCs w:val="20"/>
                <w:color w:val="auto"/>
              </w:rPr>
            </w:pPr>
            <w:r>
              <w:rPr>
                <w:rFonts w:ascii="Courier New" w:cs="Courier New" w:eastAsia="Courier New" w:hAnsi="Courier New"/>
                <w:sz w:val="13"/>
                <w:szCs w:val="13"/>
                <w:color w:val="auto"/>
                <w:w w:val="91"/>
              </w:rPr>
              <w:t>.....................................</w:t>
            </w:r>
            <w:r>
              <w:rPr>
                <w:rFonts w:ascii="Courier New" w:cs="Courier New" w:eastAsia="Courier New" w:hAnsi="Courier New"/>
                <w:sz w:val="23"/>
                <w:szCs w:val="23"/>
                <w:color w:val="auto"/>
                <w:w w:val="91"/>
                <w:vertAlign w:val="superscript"/>
              </w:rPr>
              <w:t>(21,253)6,487Incometaxes</w:t>
            </w:r>
          </w:p>
        </w:tc>
        <w:tc>
          <w:tcPr>
            <w:tcW w:w="122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21,854</w:t>
            </w:r>
          </w:p>
        </w:tc>
        <w:tc>
          <w:tcPr>
            <w:tcW w:w="0" w:type="dxa"/>
            <w:vAlign w:val="bottom"/>
          </w:tcPr>
          <w:p>
            <w:pPr>
              <w:spacing w:after="0"/>
              <w:rPr>
                <w:sz w:val="1"/>
                <w:szCs w:val="1"/>
                <w:color w:val="auto"/>
              </w:rPr>
            </w:pPr>
          </w:p>
        </w:tc>
      </w:tr>
      <w:tr>
        <w:trPr>
          <w:trHeight w:val="203"/>
        </w:trPr>
        <w:tc>
          <w:tcPr>
            <w:tcW w:w="1940" w:type="dxa"/>
            <w:vAlign w:val="bottom"/>
          </w:tcPr>
          <w:p>
            <w:pPr>
              <w:jc w:val="right"/>
              <w:ind w:right="857"/>
              <w:spacing w:after="0" w:line="203" w:lineRule="exact"/>
              <w:rPr>
                <w:sz w:val="20"/>
                <w:szCs w:val="20"/>
                <w:color w:val="auto"/>
              </w:rPr>
            </w:pPr>
            <w:r>
              <w:rPr>
                <w:rFonts w:ascii="Courier New" w:cs="Courier New" w:eastAsia="Courier New" w:hAnsi="Courier New"/>
                <w:sz w:val="18"/>
                <w:szCs w:val="18"/>
                <w:color w:val="auto"/>
              </w:rPr>
              <w:t>payable</w:t>
            </w:r>
          </w:p>
        </w:tc>
        <w:tc>
          <w:tcPr>
            <w:tcW w:w="274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0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(4,798) 20,703 Noncurrent liabilities and</w:t>
            </w:r>
          </w:p>
        </w:tc>
        <w:tc>
          <w:tcPr>
            <w:tcW w:w="0" w:type="dxa"/>
            <w:vAlign w:val="bottom"/>
          </w:tcPr>
          <w:p>
            <w:pPr>
              <w:spacing w:after="0"/>
              <w:rPr>
                <w:sz w:val="1"/>
                <w:szCs w:val="1"/>
                <w:color w:val="auto"/>
              </w:rPr>
            </w:pPr>
          </w:p>
        </w:tc>
      </w:tr>
      <w:tr>
        <w:trPr>
          <w:trHeight w:val="0"/>
        </w:trPr>
        <w:tc>
          <w:tcPr>
            <w:tcW w:w="1940" w:type="dxa"/>
            <w:vAlign w:val="bottom"/>
          </w:tcPr>
          <w:p>
            <w:pPr>
              <w:jc w:val="right"/>
              <w:spacing w:after="0"/>
              <w:rPr>
                <w:sz w:val="20"/>
                <w:szCs w:val="20"/>
                <w:color w:val="auto"/>
              </w:rPr>
            </w:pPr>
            <w:r>
              <w:rPr>
                <w:rFonts w:ascii="Courier New" w:cs="Courier New" w:eastAsia="Courier New" w:hAnsi="Courier New"/>
                <w:sz w:val="15"/>
                <w:szCs w:val="15"/>
                <w:color w:val="auto"/>
                <w:w w:val="71"/>
              </w:rPr>
              <w:t>other.........................</w:t>
            </w:r>
          </w:p>
        </w:tc>
        <w:tc>
          <w:tcPr>
            <w:tcW w:w="39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4,892 40,293 14,376 -----</w:t>
            </w: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ind w:left="60" w:right="4259" w:firstLine="53"/>
        <w:spacing w:after="0" w:line="245" w:lineRule="auto"/>
        <w:rPr>
          <w:sz w:val="20"/>
          <w:szCs w:val="20"/>
          <w:color w:val="auto"/>
        </w:rPr>
      </w:pPr>
      <w:r>
        <w:rPr>
          <w:rFonts w:ascii="Courier New" w:cs="Courier New" w:eastAsia="Courier New" w:hAnsi="Courier New"/>
          <w:sz w:val="18"/>
          <w:szCs w:val="18"/>
          <w:color w:val="auto"/>
        </w:rPr>
        <w:t>---- --------- --------- Net cash provided by operating activities.................. 381,971 412,276 337,987 --- ------ --------- --------- CASH FLOW FROM INVESTING ACTIVITIES: Proceeds from sale of equipment, vehicles and leasehold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improvements.............................................</w:t>
      </w:r>
    </w:p>
    <w:p>
      <w:pPr>
        <w:spacing w:after="0" w:line="20" w:lineRule="exact"/>
        <w:rPr>
          <w:sz w:val="20"/>
          <w:szCs w:val="20"/>
          <w:color w:val="auto"/>
        </w:rPr>
      </w:pPr>
    </w:p>
    <w:p>
      <w:pPr>
        <w:jc w:val="center"/>
        <w:ind w:right="4219"/>
        <w:spacing w:after="0"/>
        <w:rPr>
          <w:sz w:val="20"/>
          <w:szCs w:val="20"/>
          <w:color w:val="auto"/>
        </w:rPr>
      </w:pPr>
      <w:r>
        <w:rPr>
          <w:rFonts w:ascii="Courier New" w:cs="Courier New" w:eastAsia="Courier New" w:hAnsi="Courier New"/>
          <w:sz w:val="18"/>
          <w:szCs w:val="18"/>
          <w:color w:val="auto"/>
        </w:rPr>
        <w:t>2,532 1,795 2,062 Payments for purchase of equipment,</w:t>
      </w:r>
    </w:p>
    <w:p>
      <w:pPr>
        <w:jc w:val="center"/>
        <w:ind w:right="4219"/>
        <w:spacing w:after="0" w:line="238" w:lineRule="auto"/>
        <w:rPr>
          <w:sz w:val="20"/>
          <w:szCs w:val="20"/>
          <w:color w:val="auto"/>
        </w:rPr>
      </w:pPr>
      <w:r>
        <w:rPr>
          <w:rFonts w:ascii="Courier New" w:cs="Courier New" w:eastAsia="Courier New" w:hAnsi="Courier New"/>
          <w:sz w:val="18"/>
          <w:szCs w:val="18"/>
          <w:color w:val="auto"/>
        </w:rPr>
        <w:t>vehicles, leasehold improvements and</w:t>
      </w:r>
    </w:p>
    <w:tbl>
      <w:tblPr>
        <w:tblLayout w:type="fixed"/>
        <w:tblInd w:w="60" w:type="dxa"/>
        <w:tblCellMar>
          <w:top w:w="0" w:type="dxa"/>
          <w:left w:w="0" w:type="dxa"/>
          <w:bottom w:w="0" w:type="dxa"/>
          <w:right w:w="0" w:type="dxa"/>
        </w:tblCellMar>
      </w:tblPr>
      <w:tr>
        <w:trPr>
          <w:trHeight w:val="171"/>
        </w:trPr>
        <w:tc>
          <w:tcPr>
            <w:tcW w:w="3900" w:type="dxa"/>
            <w:vAlign w:val="bottom"/>
            <w:gridSpan w:val="2"/>
          </w:tcPr>
          <w:p>
            <w:pPr>
              <w:jc w:val="right"/>
              <w:spacing w:after="0" w:line="171" w:lineRule="exact"/>
              <w:rPr>
                <w:sz w:val="20"/>
                <w:szCs w:val="20"/>
                <w:color w:val="auto"/>
              </w:rPr>
            </w:pPr>
            <w:r>
              <w:rPr>
                <w:rFonts w:ascii="Courier New" w:cs="Courier New" w:eastAsia="Courier New" w:hAnsi="Courier New"/>
                <w:sz w:val="18"/>
                <w:szCs w:val="18"/>
                <w:color w:val="auto"/>
                <w:w w:val="89"/>
              </w:rPr>
              <w:t>other...................................</w:t>
            </w:r>
          </w:p>
        </w:tc>
        <w:tc>
          <w:tcPr>
            <w:tcW w:w="2000" w:type="dxa"/>
            <w:vAlign w:val="bottom"/>
            <w:gridSpan w:val="2"/>
          </w:tcPr>
          <w:p>
            <w:pPr>
              <w:jc w:val="right"/>
              <w:ind w:right="292"/>
              <w:spacing w:after="0" w:line="171" w:lineRule="exact"/>
              <w:rPr>
                <w:sz w:val="20"/>
                <w:szCs w:val="20"/>
                <w:color w:val="auto"/>
              </w:rPr>
            </w:pPr>
            <w:r>
              <w:rPr>
                <w:rFonts w:ascii="Courier New" w:cs="Courier New" w:eastAsia="Courier New" w:hAnsi="Courier New"/>
                <w:sz w:val="18"/>
                <w:szCs w:val="18"/>
                <w:color w:val="auto"/>
              </w:rPr>
              <w:t>(62,410)</w:t>
            </w:r>
          </w:p>
        </w:tc>
        <w:tc>
          <w:tcPr>
            <w:tcW w:w="0" w:type="dxa"/>
            <w:vAlign w:val="bottom"/>
          </w:tcPr>
          <w:p>
            <w:pPr>
              <w:spacing w:after="0"/>
              <w:rPr>
                <w:sz w:val="1"/>
                <w:szCs w:val="1"/>
                <w:color w:val="auto"/>
              </w:rPr>
            </w:pPr>
          </w:p>
        </w:tc>
      </w:tr>
      <w:tr>
        <w:trPr>
          <w:trHeight w:val="203"/>
        </w:trPr>
        <w:tc>
          <w:tcPr>
            <w:tcW w:w="590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(58,562) (91,891) Proceeds from sale (purchase) of</w:t>
            </w:r>
          </w:p>
        </w:tc>
        <w:tc>
          <w:tcPr>
            <w:tcW w:w="0" w:type="dxa"/>
            <w:vAlign w:val="bottom"/>
          </w:tcPr>
          <w:p>
            <w:pPr>
              <w:spacing w:after="0"/>
              <w:rPr>
                <w:sz w:val="1"/>
                <w:szCs w:val="1"/>
                <w:color w:val="auto"/>
              </w:rPr>
            </w:pPr>
          </w:p>
        </w:tc>
      </w:tr>
      <w:tr>
        <w:trPr>
          <w:trHeight w:val="203"/>
        </w:trPr>
        <w:tc>
          <w:tcPr>
            <w:tcW w:w="5100" w:type="dxa"/>
            <w:vAlign w:val="bottom"/>
            <w:gridSpan w:val="3"/>
          </w:tcPr>
          <w:p>
            <w:pPr>
              <w:jc w:val="center"/>
              <w:ind w:left="717"/>
              <w:spacing w:after="0" w:line="203" w:lineRule="exact"/>
              <w:rPr>
                <w:sz w:val="20"/>
                <w:szCs w:val="20"/>
                <w:color w:val="auto"/>
              </w:rPr>
            </w:pPr>
            <w:r>
              <w:rPr>
                <w:rFonts w:ascii="Courier New" w:cs="Courier New" w:eastAsia="Courier New" w:hAnsi="Courier New"/>
                <w:sz w:val="18"/>
                <w:szCs w:val="18"/>
                <w:color w:val="auto"/>
                <w:w w:val="97"/>
              </w:rPr>
              <w:t>short-term interest-bearing investments,</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00" w:type="dxa"/>
            <w:vAlign w:val="bottom"/>
          </w:tcPr>
          <w:p>
            <w:pPr>
              <w:jc w:val="right"/>
              <w:spacing w:after="0"/>
              <w:rPr>
                <w:sz w:val="20"/>
                <w:szCs w:val="20"/>
                <w:color w:val="auto"/>
              </w:rPr>
            </w:pPr>
            <w:r>
              <w:rPr>
                <w:rFonts w:ascii="Courier New" w:cs="Courier New" w:eastAsia="Courier New" w:hAnsi="Courier New"/>
                <w:sz w:val="16"/>
                <w:szCs w:val="16"/>
                <w:color w:val="auto"/>
                <w:w w:val="72"/>
              </w:rPr>
              <w:t>net........................</w:t>
            </w:r>
          </w:p>
        </w:tc>
        <w:tc>
          <w:tcPr>
            <w:tcW w:w="4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137,872 (344,095) (237,069)</w:t>
            </w:r>
          </w:p>
        </w:tc>
        <w:tc>
          <w:tcPr>
            <w:tcW w:w="0" w:type="dxa"/>
            <w:vAlign w:val="bottom"/>
          </w:tcPr>
          <w:p>
            <w:pPr>
              <w:spacing w:after="0"/>
              <w:rPr>
                <w:sz w:val="1"/>
                <w:szCs w:val="1"/>
                <w:color w:val="auto"/>
              </w:rPr>
            </w:pPr>
          </w:p>
        </w:tc>
      </w:tr>
      <w:tr>
        <w:trPr>
          <w:trHeight w:val="203"/>
        </w:trPr>
        <w:tc>
          <w:tcPr>
            <w:tcW w:w="5100" w:type="dxa"/>
            <w:vAlign w:val="bottom"/>
            <w:gridSpan w:val="3"/>
          </w:tcPr>
          <w:p>
            <w:pPr>
              <w:jc w:val="center"/>
              <w:ind w:left="717"/>
              <w:spacing w:after="0" w:line="203" w:lineRule="exact"/>
              <w:rPr>
                <w:sz w:val="20"/>
                <w:szCs w:val="20"/>
                <w:color w:val="auto"/>
              </w:rPr>
            </w:pPr>
            <w:r>
              <w:rPr>
                <w:rFonts w:ascii="Courier New" w:cs="Courier New" w:eastAsia="Courier New" w:hAnsi="Courier New"/>
                <w:sz w:val="18"/>
                <w:szCs w:val="18"/>
                <w:color w:val="auto"/>
                <w:w w:val="97"/>
              </w:rPr>
              <w:t>Investment in noncurrent</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00" w:type="dxa"/>
            <w:vAlign w:val="bottom"/>
          </w:tcPr>
          <w:p>
            <w:pPr>
              <w:jc w:val="right"/>
              <w:spacing w:after="0"/>
              <w:rPr>
                <w:sz w:val="20"/>
                <w:szCs w:val="20"/>
                <w:color w:val="auto"/>
              </w:rPr>
            </w:pPr>
            <w:r>
              <w:rPr>
                <w:rFonts w:ascii="Courier New" w:cs="Courier New" w:eastAsia="Courier New" w:hAnsi="Courier New"/>
                <w:sz w:val="13"/>
                <w:szCs w:val="13"/>
                <w:color w:val="auto"/>
                <w:w w:val="70"/>
              </w:rPr>
              <w:t>assets............................</w:t>
            </w:r>
          </w:p>
        </w:tc>
        <w:tc>
          <w:tcPr>
            <w:tcW w:w="4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 (39,584) (12,291)</w:t>
            </w:r>
          </w:p>
        </w:tc>
        <w:tc>
          <w:tcPr>
            <w:tcW w:w="0" w:type="dxa"/>
            <w:vAlign w:val="bottom"/>
          </w:tcPr>
          <w:p>
            <w:pPr>
              <w:spacing w:after="0"/>
              <w:rPr>
                <w:sz w:val="1"/>
                <w:szCs w:val="1"/>
                <w:color w:val="auto"/>
              </w:rPr>
            </w:pPr>
          </w:p>
        </w:tc>
      </w:tr>
      <w:tr>
        <w:trPr>
          <w:trHeight w:val="203"/>
        </w:trPr>
        <w:tc>
          <w:tcPr>
            <w:tcW w:w="1900" w:type="dxa"/>
            <w:vAlign w:val="bottom"/>
            <w:vMerge w:val="restart"/>
          </w:tcPr>
          <w:p>
            <w:pPr>
              <w:jc w:val="right"/>
              <w:spacing w:after="0"/>
              <w:rPr>
                <w:sz w:val="20"/>
                <w:szCs w:val="20"/>
                <w:color w:val="auto"/>
              </w:rPr>
            </w:pPr>
            <w:r>
              <w:rPr>
                <w:rFonts w:ascii="Courier New" w:cs="Courier New" w:eastAsia="Courier New" w:hAnsi="Courier New"/>
                <w:sz w:val="11"/>
                <w:szCs w:val="11"/>
                <w:color w:val="auto"/>
                <w:w w:val="74"/>
              </w:rPr>
              <w:t>acquisitions..........................</w:t>
            </w:r>
          </w:p>
        </w:tc>
        <w:tc>
          <w:tcPr>
            <w:tcW w:w="3200" w:type="dxa"/>
            <w:vAlign w:val="bottom"/>
            <w:gridSpan w:val="2"/>
          </w:tcPr>
          <w:p>
            <w:pPr>
              <w:jc w:val="center"/>
              <w:ind w:right="1012"/>
              <w:spacing w:after="0" w:line="203" w:lineRule="exact"/>
              <w:rPr>
                <w:sz w:val="20"/>
                <w:szCs w:val="20"/>
                <w:color w:val="auto"/>
              </w:rPr>
            </w:pPr>
            <w:r>
              <w:rPr>
                <w:rFonts w:ascii="Courier New" w:cs="Courier New" w:eastAsia="Courier New" w:hAnsi="Courier New"/>
                <w:sz w:val="18"/>
                <w:szCs w:val="18"/>
                <w:color w:val="auto"/>
                <w:w w:val="97"/>
              </w:rPr>
              <w:t>Net cash paid for in</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00" w:type="dxa"/>
            <w:vAlign w:val="bottom"/>
            <w:vMerge w:val="continue"/>
          </w:tcPr>
          <w:p>
            <w:pPr>
              <w:spacing w:after="0"/>
              <w:rPr>
                <w:sz w:val="17"/>
                <w:szCs w:val="17"/>
                <w:color w:val="auto"/>
              </w:rPr>
            </w:pPr>
          </w:p>
        </w:tc>
        <w:tc>
          <w:tcPr>
            <w:tcW w:w="2000" w:type="dxa"/>
            <w:vAlign w:val="bottom"/>
          </w:tcPr>
          <w:p>
            <w:pPr>
              <w:spacing w:after="0"/>
              <w:rPr>
                <w:sz w:val="17"/>
                <w:szCs w:val="17"/>
                <w:color w:val="auto"/>
              </w:rPr>
            </w:pPr>
          </w:p>
        </w:tc>
        <w:tc>
          <w:tcPr>
            <w:tcW w:w="200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(30,980)</w:t>
            </w:r>
          </w:p>
        </w:tc>
        <w:tc>
          <w:tcPr>
            <w:tcW w:w="0" w:type="dxa"/>
            <w:vAlign w:val="bottom"/>
          </w:tcPr>
          <w:p>
            <w:pPr>
              <w:spacing w:after="0"/>
              <w:rPr>
                <w:sz w:val="1"/>
                <w:szCs w:val="1"/>
                <w:color w:val="auto"/>
              </w:rPr>
            </w:pPr>
          </w:p>
        </w:tc>
      </w:tr>
      <w:tr>
        <w:trPr>
          <w:trHeight w:val="203"/>
        </w:trPr>
        <w:tc>
          <w:tcPr>
            <w:tcW w:w="590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(213,180) -- --------- --------- --------- Net cash</w:t>
            </w:r>
          </w:p>
        </w:tc>
        <w:tc>
          <w:tcPr>
            <w:tcW w:w="0" w:type="dxa"/>
            <w:vAlign w:val="bottom"/>
          </w:tcPr>
          <w:p>
            <w:pPr>
              <w:spacing w:after="0"/>
              <w:rPr>
                <w:sz w:val="1"/>
                <w:szCs w:val="1"/>
                <w:color w:val="auto"/>
              </w:rPr>
            </w:pPr>
          </w:p>
        </w:tc>
      </w:tr>
      <w:tr>
        <w:trPr>
          <w:trHeight w:val="203"/>
        </w:trPr>
        <w:tc>
          <w:tcPr>
            <w:tcW w:w="590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provided by (used in) investing activities........</w:t>
            </w:r>
          </w:p>
        </w:tc>
        <w:tc>
          <w:tcPr>
            <w:tcW w:w="0" w:type="dxa"/>
            <w:vAlign w:val="bottom"/>
          </w:tcPr>
          <w:p>
            <w:pPr>
              <w:spacing w:after="0"/>
              <w:rPr>
                <w:sz w:val="1"/>
                <w:szCs w:val="1"/>
                <w:color w:val="auto"/>
              </w:rPr>
            </w:pPr>
          </w:p>
        </w:tc>
      </w:tr>
      <w:tr>
        <w:trPr>
          <w:trHeight w:val="203"/>
        </w:trPr>
        <w:tc>
          <w:tcPr>
            <w:tcW w:w="39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6"/>
              </w:rPr>
              <w:t>47,014 (653,626) (339,189) ---------</w:t>
            </w:r>
          </w:p>
        </w:tc>
        <w:tc>
          <w:tcPr>
            <w:tcW w:w="2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 ---------</w:t>
            </w:r>
          </w:p>
        </w:tc>
        <w:tc>
          <w:tcPr>
            <w:tcW w:w="0" w:type="dxa"/>
            <w:vAlign w:val="bottom"/>
          </w:tcPr>
          <w:p>
            <w:pPr>
              <w:spacing w:after="0"/>
              <w:rPr>
                <w:sz w:val="1"/>
                <w:szCs w:val="1"/>
                <w:color w:val="auto"/>
              </w:rPr>
            </w:pPr>
          </w:p>
        </w:tc>
      </w:tr>
      <w:tr>
        <w:trPr>
          <w:trHeight w:val="203"/>
        </w:trPr>
        <w:tc>
          <w:tcPr>
            <w:tcW w:w="590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CASH FLOW FROM FINANCING ACTIVITIES: Proceeds from</w:t>
            </w:r>
          </w:p>
        </w:tc>
        <w:tc>
          <w:tcPr>
            <w:tcW w:w="0" w:type="dxa"/>
            <w:vAlign w:val="bottom"/>
          </w:tcPr>
          <w:p>
            <w:pPr>
              <w:spacing w:after="0"/>
              <w:rPr>
                <w:sz w:val="1"/>
                <w:szCs w:val="1"/>
                <w:color w:val="auto"/>
              </w:rPr>
            </w:pPr>
          </w:p>
        </w:tc>
      </w:tr>
      <w:tr>
        <w:trPr>
          <w:trHeight w:val="203"/>
        </w:trPr>
        <w:tc>
          <w:tcPr>
            <w:tcW w:w="510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employee stock options exercised.............</w:t>
            </w: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6"/>
              </w:rPr>
              <w:t>2,320</w:t>
            </w:r>
          </w:p>
        </w:tc>
        <w:tc>
          <w:tcPr>
            <w:tcW w:w="0" w:type="dxa"/>
            <w:vAlign w:val="bottom"/>
          </w:tcPr>
          <w:p>
            <w:pPr>
              <w:spacing w:after="0"/>
              <w:rPr>
                <w:sz w:val="1"/>
                <w:szCs w:val="1"/>
                <w:color w:val="auto"/>
              </w:rPr>
            </w:pPr>
          </w:p>
        </w:tc>
      </w:tr>
      <w:tr>
        <w:trPr>
          <w:trHeight w:val="203"/>
        </w:trPr>
        <w:tc>
          <w:tcPr>
            <w:tcW w:w="5100" w:type="dxa"/>
            <w:vAlign w:val="bottom"/>
            <w:gridSpan w:val="3"/>
          </w:tcPr>
          <w:p>
            <w:pPr>
              <w:jc w:val="right"/>
              <w:spacing w:after="0" w:line="202" w:lineRule="exact"/>
              <w:rPr>
                <w:sz w:val="20"/>
                <w:szCs w:val="20"/>
                <w:color w:val="auto"/>
              </w:rPr>
            </w:pPr>
            <w:r>
              <w:rPr>
                <w:rFonts w:ascii="Courier New" w:cs="Courier New" w:eastAsia="Courier New" w:hAnsi="Courier New"/>
                <w:sz w:val="13"/>
                <w:szCs w:val="13"/>
                <w:color w:val="auto"/>
                <w:w w:val="98"/>
              </w:rPr>
              <w:t>.......................................</w:t>
            </w:r>
            <w:r>
              <w:rPr>
                <w:rFonts w:ascii="Courier New" w:cs="Courier New" w:eastAsia="Courier New" w:hAnsi="Courier New"/>
                <w:sz w:val="23"/>
                <w:szCs w:val="23"/>
                <w:color w:val="auto"/>
                <w:w w:val="98"/>
                <w:vertAlign w:val="superscript"/>
              </w:rPr>
              <w:t>5,16113,967Repurchaseof</w:t>
            </w:r>
          </w:p>
        </w:tc>
        <w:tc>
          <w:tcPr>
            <w:tcW w:w="80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900" w:type="dxa"/>
            <w:vAlign w:val="bottom"/>
          </w:tcPr>
          <w:p>
            <w:pPr>
              <w:jc w:val="right"/>
              <w:ind w:right="777"/>
              <w:spacing w:after="0" w:line="203" w:lineRule="exact"/>
              <w:rPr>
                <w:sz w:val="20"/>
                <w:szCs w:val="20"/>
                <w:color w:val="auto"/>
              </w:rPr>
            </w:pPr>
            <w:r>
              <w:rPr>
                <w:rFonts w:ascii="Courier New" w:cs="Courier New" w:eastAsia="Courier New" w:hAnsi="Courier New"/>
                <w:sz w:val="18"/>
                <w:szCs w:val="18"/>
                <w:color w:val="auto"/>
              </w:rPr>
              <w:t>shares</w:t>
            </w:r>
          </w:p>
        </w:tc>
        <w:tc>
          <w:tcPr>
            <w:tcW w:w="20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00" w:type="dxa"/>
            <w:vAlign w:val="bottom"/>
            <w:gridSpan w:val="3"/>
          </w:tcPr>
          <w:p>
            <w:pPr>
              <w:jc w:val="center"/>
              <w:ind w:left="697"/>
              <w:spacing w:after="0" w:line="203" w:lineRule="exact"/>
              <w:rPr>
                <w:sz w:val="20"/>
                <w:szCs w:val="20"/>
                <w:color w:val="auto"/>
              </w:rPr>
            </w:pPr>
            <w:r>
              <w:rPr>
                <w:rFonts w:ascii="Courier New" w:cs="Courier New" w:eastAsia="Courier New" w:hAnsi="Courier New"/>
                <w:sz w:val="18"/>
                <w:szCs w:val="18"/>
                <w:color w:val="auto"/>
                <w:w w:val="97"/>
              </w:rPr>
              <w:t>(109,281) -- Repurchase of convertible</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00" w:type="dxa"/>
            <w:vAlign w:val="bottom"/>
          </w:tcPr>
          <w:p>
            <w:pPr>
              <w:jc w:val="right"/>
              <w:spacing w:after="0"/>
              <w:rPr>
                <w:sz w:val="20"/>
                <w:szCs w:val="20"/>
                <w:color w:val="auto"/>
              </w:rPr>
            </w:pPr>
            <w:r>
              <w:rPr>
                <w:rFonts w:ascii="Courier New" w:cs="Courier New" w:eastAsia="Courier New" w:hAnsi="Courier New"/>
                <w:sz w:val="13"/>
                <w:szCs w:val="13"/>
                <w:color w:val="auto"/>
                <w:w w:val="73"/>
              </w:rPr>
              <w:t>notes............................</w:t>
            </w:r>
          </w:p>
        </w:tc>
        <w:tc>
          <w:tcPr>
            <w:tcW w:w="400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(44,153) (48,934) --</w:t>
            </w:r>
          </w:p>
        </w:tc>
        <w:tc>
          <w:tcPr>
            <w:tcW w:w="0" w:type="dxa"/>
            <w:vAlign w:val="bottom"/>
          </w:tcPr>
          <w:p>
            <w:pPr>
              <w:spacing w:after="0"/>
              <w:rPr>
                <w:sz w:val="1"/>
                <w:szCs w:val="1"/>
                <w:color w:val="auto"/>
              </w:rPr>
            </w:pPr>
          </w:p>
        </w:tc>
      </w:tr>
      <w:tr>
        <w:trPr>
          <w:trHeight w:val="203"/>
        </w:trPr>
        <w:tc>
          <w:tcPr>
            <w:tcW w:w="5100" w:type="dxa"/>
            <w:vAlign w:val="bottom"/>
            <w:gridSpan w:val="3"/>
          </w:tcPr>
          <w:p>
            <w:pPr>
              <w:jc w:val="center"/>
              <w:ind w:left="697"/>
              <w:spacing w:after="0" w:line="203" w:lineRule="exact"/>
              <w:rPr>
                <w:sz w:val="20"/>
                <w:szCs w:val="20"/>
                <w:color w:val="auto"/>
              </w:rPr>
            </w:pPr>
            <w:r>
              <w:rPr>
                <w:rFonts w:ascii="Courier New" w:cs="Courier New" w:eastAsia="Courier New" w:hAnsi="Courier New"/>
                <w:sz w:val="18"/>
                <w:szCs w:val="18"/>
                <w:color w:val="auto"/>
                <w:w w:val="97"/>
              </w:rPr>
              <w:t>Payments under short-term finance</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00" w:type="dxa"/>
            <w:vAlign w:val="bottom"/>
          </w:tcPr>
          <w:p>
            <w:pPr>
              <w:jc w:val="right"/>
              <w:spacing w:after="0"/>
              <w:rPr>
                <w:sz w:val="20"/>
                <w:szCs w:val="20"/>
                <w:color w:val="auto"/>
              </w:rPr>
            </w:pPr>
            <w:r>
              <w:rPr>
                <w:rFonts w:ascii="Courier New" w:cs="Courier New" w:eastAsia="Courier New" w:hAnsi="Courier New"/>
                <w:sz w:val="16"/>
                <w:szCs w:val="16"/>
                <w:color w:val="auto"/>
                <w:w w:val="78"/>
              </w:rPr>
              <w:t>arrangements.............</w:t>
            </w:r>
          </w:p>
        </w:tc>
        <w:tc>
          <w:tcPr>
            <w:tcW w:w="4000" w:type="dxa"/>
            <w:vAlign w:val="bottom"/>
            <w:gridSpan w:val="3"/>
          </w:tcPr>
          <w:p>
            <w:pPr>
              <w:jc w:val="right"/>
              <w:ind w:right="72"/>
              <w:spacing w:after="0" w:line="203" w:lineRule="exact"/>
              <w:rPr>
                <w:sz w:val="20"/>
                <w:szCs w:val="20"/>
                <w:color w:val="auto"/>
              </w:rPr>
            </w:pPr>
            <w:r>
              <w:rPr>
                <w:rFonts w:ascii="Courier New" w:cs="Courier New" w:eastAsia="Courier New" w:hAnsi="Courier New"/>
                <w:sz w:val="18"/>
                <w:szCs w:val="18"/>
                <w:color w:val="auto"/>
              </w:rPr>
              <w:t>-- -- (20,000) Net proceeds</w:t>
            </w:r>
          </w:p>
        </w:tc>
        <w:tc>
          <w:tcPr>
            <w:tcW w:w="0" w:type="dxa"/>
            <w:vAlign w:val="bottom"/>
          </w:tcPr>
          <w:p>
            <w:pPr>
              <w:spacing w:after="0"/>
              <w:rPr>
                <w:sz w:val="1"/>
                <w:szCs w:val="1"/>
                <w:color w:val="auto"/>
              </w:rPr>
            </w:pPr>
          </w:p>
        </w:tc>
      </w:tr>
      <w:tr>
        <w:trPr>
          <w:trHeight w:val="203"/>
        </w:trPr>
        <w:tc>
          <w:tcPr>
            <w:tcW w:w="51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from issue of long-term convertible notes.....</w:t>
            </w: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w:t>
            </w:r>
          </w:p>
        </w:tc>
        <w:tc>
          <w:tcPr>
            <w:tcW w:w="0" w:type="dxa"/>
            <w:vAlign w:val="bottom"/>
          </w:tcPr>
          <w:p>
            <w:pPr>
              <w:spacing w:after="0"/>
              <w:rPr>
                <w:sz w:val="1"/>
                <w:szCs w:val="1"/>
                <w:color w:val="auto"/>
              </w:rPr>
            </w:pPr>
          </w:p>
        </w:tc>
      </w:tr>
      <w:tr>
        <w:trPr>
          <w:trHeight w:val="203"/>
        </w:trPr>
        <w:tc>
          <w:tcPr>
            <w:tcW w:w="5100" w:type="dxa"/>
            <w:vAlign w:val="bottom"/>
            <w:gridSpan w:val="3"/>
          </w:tcPr>
          <w:p>
            <w:pPr>
              <w:jc w:val="center"/>
              <w:ind w:left="717"/>
              <w:spacing w:after="0" w:line="203" w:lineRule="exact"/>
              <w:rPr>
                <w:sz w:val="20"/>
                <w:szCs w:val="20"/>
                <w:color w:val="auto"/>
              </w:rPr>
            </w:pPr>
            <w:r>
              <w:rPr>
                <w:rFonts w:ascii="Courier New" w:cs="Courier New" w:eastAsia="Courier New" w:hAnsi="Courier New"/>
                <w:sz w:val="18"/>
                <w:szCs w:val="18"/>
                <w:color w:val="auto"/>
                <w:w w:val="97"/>
              </w:rPr>
              <w:t>488,000 Borrowings under financing</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00" w:type="dxa"/>
            <w:vAlign w:val="bottom"/>
          </w:tcPr>
          <w:p>
            <w:pPr>
              <w:jc w:val="right"/>
              <w:spacing w:after="0"/>
              <w:rPr>
                <w:sz w:val="20"/>
                <w:szCs w:val="20"/>
                <w:color w:val="auto"/>
              </w:rPr>
            </w:pPr>
            <w:r>
              <w:rPr>
                <w:rFonts w:ascii="Courier New" w:cs="Courier New" w:eastAsia="Courier New" w:hAnsi="Courier New"/>
                <w:sz w:val="13"/>
                <w:szCs w:val="13"/>
                <w:color w:val="auto"/>
                <w:w w:val="75"/>
              </w:rPr>
              <w:t>arrangement.....................</w:t>
            </w:r>
          </w:p>
        </w:tc>
        <w:tc>
          <w:tcPr>
            <w:tcW w:w="400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3,345 -- -- Principal</w:t>
            </w:r>
          </w:p>
        </w:tc>
        <w:tc>
          <w:tcPr>
            <w:tcW w:w="0" w:type="dxa"/>
            <w:vAlign w:val="bottom"/>
          </w:tcPr>
          <w:p>
            <w:pPr>
              <w:spacing w:after="0"/>
              <w:rPr>
                <w:sz w:val="1"/>
                <w:szCs w:val="1"/>
                <w:color w:val="auto"/>
              </w:rPr>
            </w:pPr>
          </w:p>
        </w:tc>
      </w:tr>
      <w:tr>
        <w:trPr>
          <w:trHeight w:val="203"/>
        </w:trPr>
        <w:tc>
          <w:tcPr>
            <w:tcW w:w="51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5"/>
              </w:rPr>
              <w:t>payments under financing arrangement.............</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(595)</w:t>
            </w:r>
          </w:p>
        </w:tc>
        <w:tc>
          <w:tcPr>
            <w:tcW w:w="0" w:type="dxa"/>
            <w:vAlign w:val="bottom"/>
          </w:tcPr>
          <w:p>
            <w:pPr>
              <w:spacing w:after="0"/>
              <w:rPr>
                <w:sz w:val="1"/>
                <w:szCs w:val="1"/>
                <w:color w:val="auto"/>
              </w:rPr>
            </w:pPr>
          </w:p>
        </w:tc>
      </w:tr>
      <w:tr>
        <w:trPr>
          <w:trHeight w:val="203"/>
        </w:trPr>
        <w:tc>
          <w:tcPr>
            <w:tcW w:w="5100" w:type="dxa"/>
            <w:vAlign w:val="bottom"/>
            <w:gridSpan w:val="3"/>
          </w:tcPr>
          <w:p>
            <w:pPr>
              <w:jc w:val="center"/>
              <w:ind w:left="717"/>
              <w:spacing w:after="0" w:line="203" w:lineRule="exact"/>
              <w:rPr>
                <w:sz w:val="20"/>
                <w:szCs w:val="20"/>
                <w:color w:val="auto"/>
              </w:rPr>
            </w:pPr>
            <w:r>
              <w:rPr>
                <w:rFonts w:ascii="Courier New" w:cs="Courier New" w:eastAsia="Courier New" w:hAnsi="Courier New"/>
                <w:sz w:val="18"/>
                <w:szCs w:val="18"/>
                <w:color w:val="auto"/>
                <w:w w:val="97"/>
              </w:rPr>
              <w:t>-- -- Proceeds from sale-leaseback</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00" w:type="dxa"/>
            <w:vAlign w:val="bottom"/>
          </w:tcPr>
          <w:p>
            <w:pPr>
              <w:jc w:val="right"/>
              <w:spacing w:after="0"/>
              <w:rPr>
                <w:sz w:val="20"/>
                <w:szCs w:val="20"/>
                <w:color w:val="auto"/>
              </w:rPr>
            </w:pPr>
            <w:r>
              <w:rPr>
                <w:rFonts w:ascii="Courier New" w:cs="Courier New" w:eastAsia="Courier New" w:hAnsi="Courier New"/>
                <w:sz w:val="14"/>
                <w:szCs w:val="14"/>
                <w:color w:val="auto"/>
                <w:w w:val="74"/>
              </w:rPr>
              <w:t>transaction...................</w:t>
            </w:r>
          </w:p>
        </w:tc>
        <w:tc>
          <w:tcPr>
            <w:tcW w:w="4000" w:type="dxa"/>
            <w:vAlign w:val="bottom"/>
            <w:gridSpan w:val="3"/>
          </w:tcPr>
          <w:p>
            <w:pPr>
              <w:jc w:val="right"/>
              <w:ind w:right="132"/>
              <w:spacing w:after="0" w:line="203" w:lineRule="exact"/>
              <w:rPr>
                <w:sz w:val="20"/>
                <w:szCs w:val="20"/>
                <w:color w:val="auto"/>
              </w:rPr>
            </w:pPr>
            <w:r>
              <w:rPr>
                <w:rFonts w:ascii="Courier New" w:cs="Courier New" w:eastAsia="Courier New" w:hAnsi="Courier New"/>
                <w:sz w:val="18"/>
                <w:szCs w:val="18"/>
                <w:color w:val="auto"/>
              </w:rPr>
              <w:t>8,076 -- -- Principal</w:t>
            </w:r>
          </w:p>
        </w:tc>
        <w:tc>
          <w:tcPr>
            <w:tcW w:w="0" w:type="dxa"/>
            <w:vAlign w:val="bottom"/>
          </w:tcPr>
          <w:p>
            <w:pPr>
              <w:spacing w:after="0"/>
              <w:rPr>
                <w:sz w:val="1"/>
                <w:szCs w:val="1"/>
                <w:color w:val="auto"/>
              </w:rPr>
            </w:pPr>
          </w:p>
        </w:tc>
      </w:tr>
      <w:tr>
        <w:trPr>
          <w:trHeight w:val="203"/>
        </w:trPr>
        <w:tc>
          <w:tcPr>
            <w:tcW w:w="590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payments on capital lease obligations............</w:t>
            </w:r>
          </w:p>
        </w:tc>
        <w:tc>
          <w:tcPr>
            <w:tcW w:w="0" w:type="dxa"/>
            <w:vAlign w:val="bottom"/>
          </w:tcPr>
          <w:p>
            <w:pPr>
              <w:spacing w:after="0"/>
              <w:rPr>
                <w:sz w:val="1"/>
                <w:szCs w:val="1"/>
                <w:color w:val="auto"/>
              </w:rPr>
            </w:pPr>
          </w:p>
        </w:tc>
      </w:tr>
      <w:tr>
        <w:trPr>
          <w:trHeight w:val="203"/>
        </w:trPr>
        <w:tc>
          <w:tcPr>
            <w:tcW w:w="39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6"/>
              </w:rPr>
              <w:t>(17,033) (11,939) (10,067) ---------</w:t>
            </w:r>
          </w:p>
        </w:tc>
        <w:tc>
          <w:tcPr>
            <w:tcW w:w="2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 ---------</w:t>
            </w:r>
          </w:p>
        </w:tc>
        <w:tc>
          <w:tcPr>
            <w:tcW w:w="0" w:type="dxa"/>
            <w:vAlign w:val="bottom"/>
          </w:tcPr>
          <w:p>
            <w:pPr>
              <w:spacing w:after="0"/>
              <w:rPr>
                <w:sz w:val="1"/>
                <w:szCs w:val="1"/>
                <w:color w:val="auto"/>
              </w:rPr>
            </w:pPr>
          </w:p>
        </w:tc>
      </w:tr>
      <w:tr>
        <w:trPr>
          <w:trHeight w:val="203"/>
        </w:trPr>
        <w:tc>
          <w:tcPr>
            <w:tcW w:w="5100" w:type="dxa"/>
            <w:vAlign w:val="bottom"/>
            <w:gridSpan w:val="3"/>
          </w:tcPr>
          <w:p>
            <w:pPr>
              <w:jc w:val="center"/>
              <w:ind w:left="717"/>
              <w:spacing w:after="0" w:line="203" w:lineRule="exact"/>
              <w:rPr>
                <w:sz w:val="20"/>
                <w:szCs w:val="20"/>
                <w:color w:val="auto"/>
              </w:rPr>
            </w:pPr>
            <w:r>
              <w:rPr>
                <w:rFonts w:ascii="Courier New" w:cs="Courier New" w:eastAsia="Courier New" w:hAnsi="Courier New"/>
                <w:sz w:val="18"/>
                <w:szCs w:val="18"/>
                <w:color w:val="auto"/>
                <w:w w:val="97"/>
              </w:rPr>
              <w:t>Net cash (used in) provided by financing</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activities........</w:t>
            </w:r>
          </w:p>
        </w:tc>
        <w:tc>
          <w:tcPr>
            <w:tcW w:w="4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(48,040) (164,993) 471,900 ---------</w:t>
            </w:r>
          </w:p>
        </w:tc>
        <w:tc>
          <w:tcPr>
            <w:tcW w:w="0" w:type="dxa"/>
            <w:vAlign w:val="bottom"/>
          </w:tcPr>
          <w:p>
            <w:pPr>
              <w:spacing w:after="0"/>
              <w:rPr>
                <w:sz w:val="1"/>
                <w:szCs w:val="1"/>
                <w:color w:val="auto"/>
              </w:rPr>
            </w:pPr>
          </w:p>
        </w:tc>
      </w:tr>
      <w:tr>
        <w:trPr>
          <w:trHeight w:val="203"/>
        </w:trPr>
        <w:tc>
          <w:tcPr>
            <w:tcW w:w="590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 --------- Net increase (decrease) in cash and</w:t>
            </w:r>
          </w:p>
        </w:tc>
        <w:tc>
          <w:tcPr>
            <w:tcW w:w="0" w:type="dxa"/>
            <w:vAlign w:val="bottom"/>
          </w:tcPr>
          <w:p>
            <w:pPr>
              <w:spacing w:after="0"/>
              <w:rPr>
                <w:sz w:val="1"/>
                <w:szCs w:val="1"/>
                <w:color w:val="auto"/>
              </w:rPr>
            </w:pPr>
          </w:p>
        </w:tc>
      </w:tr>
      <w:tr>
        <w:trPr>
          <w:trHeight w:val="203"/>
        </w:trPr>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5"/>
              </w:rPr>
              <w:t>cash equivalents.......</w:t>
            </w:r>
          </w:p>
        </w:tc>
        <w:tc>
          <w:tcPr>
            <w:tcW w:w="400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380,945 (406,343) 470,698 Cash</w:t>
            </w:r>
          </w:p>
        </w:tc>
        <w:tc>
          <w:tcPr>
            <w:tcW w:w="0" w:type="dxa"/>
            <w:vAlign w:val="bottom"/>
          </w:tcPr>
          <w:p>
            <w:pPr>
              <w:spacing w:after="0"/>
              <w:rPr>
                <w:sz w:val="1"/>
                <w:szCs w:val="1"/>
                <w:color w:val="auto"/>
              </w:rPr>
            </w:pPr>
          </w:p>
        </w:tc>
      </w:tr>
      <w:tr>
        <w:trPr>
          <w:trHeight w:val="296"/>
        </w:trPr>
        <w:tc>
          <w:tcPr>
            <w:tcW w:w="5900" w:type="dxa"/>
            <w:vAlign w:val="bottom"/>
            <w:gridSpan w:val="4"/>
          </w:tcPr>
          <w:p>
            <w:pPr>
              <w:jc w:val="center"/>
              <w:spacing w:after="0"/>
              <w:rPr>
                <w:sz w:val="20"/>
                <w:szCs w:val="20"/>
                <w:color w:val="auto"/>
              </w:rPr>
            </w:pPr>
            <w:r>
              <w:rPr>
                <w:rFonts w:ascii="Courier New" w:cs="Courier New" w:eastAsia="Courier New" w:hAnsi="Courier New"/>
                <w:sz w:val="18"/>
                <w:szCs w:val="18"/>
                <w:color w:val="auto"/>
                <w:w w:val="97"/>
              </w:rPr>
              <w:t>and cash equivalents at beginning of year.............</w:t>
            </w:r>
          </w:p>
        </w:tc>
        <w:tc>
          <w:tcPr>
            <w:tcW w:w="0" w:type="dxa"/>
            <w:vAlign w:val="bottom"/>
          </w:tcPr>
          <w:p>
            <w:pPr>
              <w:spacing w:after="0"/>
              <w:rPr>
                <w:sz w:val="1"/>
                <w:szCs w:val="1"/>
                <w:color w:val="auto"/>
              </w:rPr>
            </w:pPr>
          </w:p>
        </w:tc>
      </w:tr>
    </w:tbl>
    <w:p>
      <w:pPr>
        <w:sectPr>
          <w:pgSz w:w="11900" w:h="16838" w:orient="portrait"/>
          <w:cols w:equalWidth="0" w:num="1">
            <w:col w:w="10219"/>
          </w:cols>
          <w:pgMar w:left="240" w:top="690" w:right="1440" w:bottom="0" w:gutter="0" w:footer="0" w:header="0"/>
        </w:sectPr>
      </w:pPr>
    </w:p>
    <w:bookmarkStart w:id="84" w:name="page85"/>
    <w:bookmarkEnd w:id="8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480" w:type="dxa"/>
            <w:vAlign w:val="bottom"/>
          </w:tcPr>
          <w:p>
            <w:pPr>
              <w:spacing w:after="0"/>
              <w:rPr>
                <w:sz w:val="20"/>
                <w:szCs w:val="20"/>
                <w:color w:val="auto"/>
              </w:rPr>
            </w:pPr>
            <w:r>
              <w:rPr>
                <w:rFonts w:ascii="Courier New" w:cs="Courier New" w:eastAsia="Courier New" w:hAnsi="Courier New"/>
                <w:sz w:val="18"/>
                <w:szCs w:val="18"/>
                <w:color w:val="auto"/>
                <w:w w:val="99"/>
              </w:rPr>
              <w:t>466,655 872,998 402,300</w:t>
            </w:r>
          </w:p>
        </w:tc>
        <w:tc>
          <w:tcPr>
            <w:tcW w:w="31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8"/>
              </w:rPr>
              <w:t>--------- --------- ---------</w:t>
            </w:r>
          </w:p>
        </w:tc>
        <w:tc>
          <w:tcPr>
            <w:tcW w:w="0" w:type="dxa"/>
            <w:vAlign w:val="bottom"/>
          </w:tcPr>
          <w:p>
            <w:pPr>
              <w:spacing w:after="0"/>
              <w:rPr>
                <w:sz w:val="1"/>
                <w:szCs w:val="1"/>
                <w:color w:val="auto"/>
              </w:rPr>
            </w:pPr>
          </w:p>
        </w:tc>
      </w:tr>
      <w:tr>
        <w:trPr>
          <w:trHeight w:val="203"/>
        </w:trPr>
        <w:tc>
          <w:tcPr>
            <w:tcW w:w="4620" w:type="dxa"/>
            <w:vAlign w:val="bottom"/>
            <w:gridSpan w:val="2"/>
          </w:tcPr>
          <w:p>
            <w:pPr>
              <w:jc w:val="center"/>
              <w:ind w:left="852"/>
              <w:spacing w:after="0" w:line="203" w:lineRule="exact"/>
              <w:rPr>
                <w:sz w:val="20"/>
                <w:szCs w:val="20"/>
                <w:color w:val="auto"/>
              </w:rPr>
            </w:pPr>
            <w:r>
              <w:rPr>
                <w:rFonts w:ascii="Courier New" w:cs="Courier New" w:eastAsia="Courier New" w:hAnsi="Courier New"/>
                <w:sz w:val="18"/>
                <w:szCs w:val="18"/>
                <w:color w:val="auto"/>
                <w:w w:val="97"/>
              </w:rPr>
              <w:t>Cash and cash equivalents at end of</w:t>
            </w:r>
          </w:p>
        </w:tc>
        <w:tc>
          <w:tcPr>
            <w:tcW w:w="9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6"/>
              </w:rPr>
              <w:t>$ 872,998</w:t>
            </w:r>
          </w:p>
        </w:tc>
        <w:tc>
          <w:tcPr>
            <w:tcW w:w="0" w:type="dxa"/>
            <w:vAlign w:val="bottom"/>
          </w:tcPr>
          <w:p>
            <w:pPr>
              <w:spacing w:after="0"/>
              <w:rPr>
                <w:sz w:val="1"/>
                <w:szCs w:val="1"/>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year...................</w:t>
            </w:r>
          </w:p>
        </w:tc>
        <w:tc>
          <w:tcPr>
            <w:tcW w:w="2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$ 847,600 $ 466,655</w:t>
            </w: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4620" w:type="dxa"/>
            <w:vAlign w:val="bottom"/>
            <w:gridSpan w:val="2"/>
          </w:tcPr>
          <w:p>
            <w:pPr>
              <w:jc w:val="right"/>
              <w:ind w:right="212"/>
              <w:spacing w:after="0"/>
              <w:rPr>
                <w:sz w:val="20"/>
                <w:szCs w:val="20"/>
                <w:color w:val="auto"/>
              </w:rPr>
            </w:pPr>
            <w:r>
              <w:rPr>
                <w:rFonts w:ascii="Courier New" w:cs="Courier New" w:eastAsia="Courier New" w:hAnsi="Courier New"/>
                <w:sz w:val="18"/>
                <w:szCs w:val="18"/>
                <w:color w:val="auto"/>
              </w:rPr>
              <w:t>========= ========= =========</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6"/>
          <w:szCs w:val="16"/>
          <w:color w:val="auto"/>
        </w:rPr>
        <w:t>The accompanying notes are an integral part of these consolidated financial</w:t>
      </w:r>
    </w:p>
    <w:p>
      <w:pPr>
        <w:spacing w:after="0" w:line="53" w:lineRule="exact"/>
        <w:rPr>
          <w:sz w:val="20"/>
          <w:szCs w:val="20"/>
          <w:color w:val="auto"/>
        </w:rPr>
      </w:pPr>
    </w:p>
    <w:p>
      <w:pPr>
        <w:ind w:left="3360"/>
        <w:spacing w:after="0"/>
        <w:rPr>
          <w:sz w:val="20"/>
          <w:szCs w:val="20"/>
          <w:color w:val="auto"/>
        </w:rPr>
      </w:pPr>
      <w:r>
        <w:rPr>
          <w:rFonts w:ascii="Courier New" w:cs="Courier New" w:eastAsia="Courier New" w:hAnsi="Courier New"/>
          <w:sz w:val="18"/>
          <w:szCs w:val="18"/>
          <w:color w:val="auto"/>
        </w:rPr>
        <w:t>statements.</w:t>
      </w:r>
    </w:p>
    <w:p>
      <w:pPr>
        <w:spacing w:after="0" w:line="169"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F-6</w:t>
      </w:r>
    </w:p>
    <w:p>
      <w:pPr>
        <w:sectPr>
          <w:pgSz w:w="11900" w:h="16838" w:orient="portrait"/>
          <w:cols w:equalWidth="0" w:num="1">
            <w:col w:w="9999"/>
          </w:cols>
          <w:pgMar w:left="460" w:top="108" w:right="1440" w:bottom="1440" w:gutter="0" w:footer="0" w:header="0"/>
        </w:sectPr>
      </w:pPr>
    </w:p>
    <w:bookmarkStart w:id="85" w:name="page86"/>
    <w:bookmarkEnd w:id="85"/>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CONSOLIDATED STATEMENTS OF CASH FLOWS -- (CONTINUED)</w:t>
      </w:r>
    </w:p>
    <w:p>
      <w:pPr>
        <w:spacing w:after="0" w:line="201"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YEAR ENDED SEPTEMBER 30, ---------------------------</w:t>
      </w:r>
    </w:p>
    <w:tbl>
      <w:tblPr>
        <w:tblLayout w:type="fixed"/>
        <w:tblInd w:w="0" w:type="dxa"/>
        <w:tblCellMar>
          <w:top w:w="0" w:type="dxa"/>
          <w:left w:w="0" w:type="dxa"/>
          <w:bottom w:w="0" w:type="dxa"/>
          <w:right w:w="0" w:type="dxa"/>
        </w:tblCellMar>
      </w:tblPr>
      <w:tr>
        <w:trPr>
          <w:trHeight w:val="201"/>
        </w:trPr>
        <w:tc>
          <w:tcPr>
            <w:tcW w:w="1740" w:type="dxa"/>
            <w:vAlign w:val="bottom"/>
          </w:tcPr>
          <w:p>
            <w:pPr>
              <w:ind w:left="160"/>
              <w:spacing w:after="0" w:line="201" w:lineRule="exact"/>
              <w:rPr>
                <w:sz w:val="20"/>
                <w:szCs w:val="20"/>
                <w:color w:val="auto"/>
              </w:rPr>
            </w:pPr>
            <w:r>
              <w:rPr>
                <w:rFonts w:ascii="Courier New" w:cs="Courier New" w:eastAsia="Courier New" w:hAnsi="Courier New"/>
                <w:sz w:val="18"/>
                <w:szCs w:val="18"/>
                <w:color w:val="auto"/>
              </w:rPr>
              <w:t>2003 2002 2001</w:t>
            </w:r>
          </w:p>
        </w:tc>
        <w:tc>
          <w:tcPr>
            <w:tcW w:w="3900" w:type="dxa"/>
            <w:vAlign w:val="bottom"/>
            <w:gridSpan w:val="3"/>
          </w:tcPr>
          <w:p>
            <w:pPr>
              <w:jc w:val="right"/>
              <w:spacing w:after="0" w:line="201" w:lineRule="exact"/>
              <w:rPr>
                <w:sz w:val="20"/>
                <w:szCs w:val="20"/>
                <w:color w:val="auto"/>
              </w:rPr>
            </w:pPr>
            <w:r>
              <w:rPr>
                <w:rFonts w:ascii="Courier New" w:cs="Courier New" w:eastAsia="Courier New" w:hAnsi="Courier New"/>
                <w:sz w:val="18"/>
                <w:szCs w:val="18"/>
                <w:color w:val="auto"/>
                <w:w w:val="97"/>
              </w:rPr>
              <w:t>------- ------- ------- SUPPLEMENTARY</w:t>
            </w:r>
          </w:p>
        </w:tc>
        <w:tc>
          <w:tcPr>
            <w:tcW w:w="0" w:type="dxa"/>
            <w:vAlign w:val="bottom"/>
          </w:tcPr>
          <w:p>
            <w:pPr>
              <w:spacing w:after="0"/>
              <w:rPr>
                <w:sz w:val="1"/>
                <w:szCs w:val="1"/>
                <w:color w:val="auto"/>
              </w:rPr>
            </w:pPr>
          </w:p>
        </w:tc>
      </w:tr>
      <w:tr>
        <w:trPr>
          <w:trHeight w:val="203"/>
        </w:trPr>
        <w:tc>
          <w:tcPr>
            <w:tcW w:w="5640" w:type="dxa"/>
            <w:vAlign w:val="bottom"/>
            <w:gridSpan w:val="4"/>
          </w:tcPr>
          <w:p>
            <w:pPr>
              <w:ind w:left="160"/>
              <w:spacing w:after="0" w:line="203" w:lineRule="exact"/>
              <w:rPr>
                <w:sz w:val="20"/>
                <w:szCs w:val="20"/>
                <w:color w:val="auto"/>
              </w:rPr>
            </w:pPr>
            <w:r>
              <w:rPr>
                <w:rFonts w:ascii="Courier New" w:cs="Courier New" w:eastAsia="Courier New" w:hAnsi="Courier New"/>
                <w:sz w:val="18"/>
                <w:szCs w:val="18"/>
                <w:color w:val="auto"/>
                <w:w w:val="97"/>
              </w:rPr>
              <w:t>CASH FLOW INFORMATION Interest and Income Taxes Paid</w:t>
            </w:r>
          </w:p>
        </w:tc>
        <w:tc>
          <w:tcPr>
            <w:tcW w:w="0" w:type="dxa"/>
            <w:vAlign w:val="bottom"/>
          </w:tcPr>
          <w:p>
            <w:pPr>
              <w:spacing w:after="0"/>
              <w:rPr>
                <w:sz w:val="1"/>
                <w:szCs w:val="1"/>
                <w:color w:val="auto"/>
              </w:rPr>
            </w:pPr>
          </w:p>
        </w:tc>
      </w:tr>
      <w:tr>
        <w:trPr>
          <w:trHeight w:val="203"/>
        </w:trPr>
        <w:tc>
          <w:tcPr>
            <w:tcW w:w="4780" w:type="dxa"/>
            <w:vAlign w:val="bottom"/>
            <w:gridSpan w:val="3"/>
          </w:tcPr>
          <w:p>
            <w:pPr>
              <w:ind w:left="860"/>
              <w:spacing w:after="0" w:line="203" w:lineRule="exact"/>
              <w:rPr>
                <w:sz w:val="20"/>
                <w:szCs w:val="20"/>
                <w:color w:val="auto"/>
              </w:rPr>
            </w:pPr>
            <w:r>
              <w:rPr>
                <w:rFonts w:ascii="Courier New" w:cs="Courier New" w:eastAsia="Courier New" w:hAnsi="Courier New"/>
                <w:sz w:val="12"/>
                <w:szCs w:val="12"/>
                <w:color w:val="auto"/>
                <w:w w:val="71"/>
              </w:rPr>
              <w:t>...............................................</w:t>
            </w:r>
            <w:r>
              <w:rPr>
                <w:rFonts w:ascii="Courier New" w:cs="Courier New" w:eastAsia="Courier New" w:hAnsi="Courier New"/>
                <w:sz w:val="18"/>
                <w:szCs w:val="18"/>
                <w:color w:val="auto"/>
                <w:w w:val="71"/>
                <w:vertAlign w:val="superscript"/>
              </w:rPr>
              <w:t>Cashpaidfor:Incometaxes,netof</w:t>
            </w:r>
          </w:p>
        </w:tc>
        <w:tc>
          <w:tcPr>
            <w:tcW w:w="8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w w:val="97"/>
              </w:rPr>
              <w:t>$75,371</w:t>
            </w:r>
          </w:p>
        </w:tc>
        <w:tc>
          <w:tcPr>
            <w:tcW w:w="0" w:type="dxa"/>
            <w:vAlign w:val="bottom"/>
          </w:tcPr>
          <w:p>
            <w:pPr>
              <w:spacing w:after="0"/>
              <w:rPr>
                <w:sz w:val="1"/>
                <w:szCs w:val="1"/>
                <w:color w:val="auto"/>
              </w:rPr>
            </w:pPr>
          </w:p>
        </w:tc>
      </w:tr>
      <w:tr>
        <w:trPr>
          <w:trHeight w:val="296"/>
        </w:trPr>
        <w:tc>
          <w:tcPr>
            <w:tcW w:w="1740" w:type="dxa"/>
            <w:vAlign w:val="bottom"/>
          </w:tcPr>
          <w:p>
            <w:pPr>
              <w:ind w:left="280"/>
              <w:spacing w:after="0"/>
              <w:rPr>
                <w:sz w:val="20"/>
                <w:szCs w:val="20"/>
                <w:color w:val="auto"/>
              </w:rPr>
            </w:pPr>
            <w:r>
              <w:rPr>
                <w:rFonts w:ascii="Courier New" w:cs="Courier New" w:eastAsia="Courier New" w:hAnsi="Courier New"/>
                <w:sz w:val="10"/>
                <w:szCs w:val="10"/>
                <w:color w:val="auto"/>
                <w:w w:val="70"/>
              </w:rPr>
              <w:t>refunds...........................</w:t>
            </w:r>
          </w:p>
        </w:tc>
        <w:tc>
          <w:tcPr>
            <w:tcW w:w="15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$77,429</w:t>
            </w:r>
          </w:p>
        </w:tc>
        <w:tc>
          <w:tcPr>
            <w:tcW w:w="1480" w:type="dxa"/>
            <w:vAlign w:val="bottom"/>
          </w:tcPr>
          <w:p>
            <w:pPr>
              <w:jc w:val="right"/>
              <w:spacing w:after="0"/>
              <w:rPr>
                <w:sz w:val="20"/>
                <w:szCs w:val="20"/>
                <w:color w:val="auto"/>
              </w:rPr>
            </w:pPr>
            <w:r>
              <w:rPr>
                <w:rFonts w:ascii="Courier New" w:cs="Courier New" w:eastAsia="Courier New" w:hAnsi="Courier New"/>
                <w:sz w:val="18"/>
                <w:szCs w:val="18"/>
                <w:color w:val="auto"/>
              </w:rPr>
              <w:t>$30,823</w:t>
            </w:r>
          </w:p>
        </w:tc>
        <w:tc>
          <w:tcPr>
            <w:tcW w:w="8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740" w:type="dxa"/>
            <w:vAlign w:val="bottom"/>
            <w:vMerge w:val="restart"/>
          </w:tcPr>
          <w:p>
            <w:pPr>
              <w:spacing w:after="0"/>
              <w:rPr>
                <w:sz w:val="20"/>
                <w:szCs w:val="20"/>
                <w:color w:val="auto"/>
              </w:rPr>
            </w:pPr>
            <w:r>
              <w:rPr>
                <w:rFonts w:ascii="Courier New" w:cs="Courier New" w:eastAsia="Courier New" w:hAnsi="Courier New"/>
                <w:sz w:val="18"/>
                <w:szCs w:val="18"/>
                <w:color w:val="auto"/>
              </w:rPr>
              <w:t>Interest</w:t>
            </w:r>
          </w:p>
        </w:tc>
        <w:tc>
          <w:tcPr>
            <w:tcW w:w="1560" w:type="dxa"/>
            <w:vAlign w:val="bottom"/>
            <w:vMerge w:val="continue"/>
          </w:tcPr>
          <w:p>
            <w:pPr>
              <w:spacing w:after="0"/>
              <w:rPr>
                <w:sz w:val="17"/>
                <w:szCs w:val="17"/>
                <w:color w:val="auto"/>
              </w:rPr>
            </w:pPr>
          </w:p>
        </w:tc>
        <w:tc>
          <w:tcPr>
            <w:tcW w:w="1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40" w:type="dxa"/>
            <w:vAlign w:val="bottom"/>
            <w:vMerge w:val="continue"/>
          </w:tcPr>
          <w:p>
            <w:pPr>
              <w:spacing w:after="0"/>
              <w:rPr>
                <w:sz w:val="17"/>
                <w:szCs w:val="17"/>
                <w:color w:val="auto"/>
              </w:rPr>
            </w:pPr>
          </w:p>
        </w:tc>
        <w:tc>
          <w:tcPr>
            <w:tcW w:w="15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9,690 11,221</w:t>
            </w:r>
          </w:p>
        </w:tc>
        <w:tc>
          <w:tcPr>
            <w:tcW w:w="1480" w:type="dxa"/>
            <w:vAlign w:val="bottom"/>
            <w:vMerge w:val="restart"/>
          </w:tcPr>
          <w:p>
            <w:pPr>
              <w:jc w:val="right"/>
              <w:ind w:right="832"/>
              <w:spacing w:after="0"/>
              <w:rPr>
                <w:sz w:val="20"/>
                <w:szCs w:val="20"/>
                <w:color w:val="auto"/>
              </w:rPr>
            </w:pPr>
            <w:r>
              <w:rPr>
                <w:rFonts w:ascii="Courier New" w:cs="Courier New" w:eastAsia="Courier New" w:hAnsi="Courier New"/>
                <w:sz w:val="18"/>
                <w:szCs w:val="18"/>
                <w:color w:val="auto"/>
                <w:w w:val="99"/>
              </w:rPr>
              <w:t>2,901</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40" w:type="dxa"/>
            <w:vAlign w:val="bottom"/>
          </w:tcPr>
          <w:p>
            <w:pPr>
              <w:spacing w:after="0"/>
              <w:rPr>
                <w:sz w:val="17"/>
                <w:szCs w:val="17"/>
                <w:color w:val="auto"/>
              </w:rPr>
            </w:pPr>
          </w:p>
        </w:tc>
        <w:tc>
          <w:tcPr>
            <w:tcW w:w="1560" w:type="dxa"/>
            <w:vAlign w:val="bottom"/>
            <w:vMerge w:val="continue"/>
          </w:tcPr>
          <w:p>
            <w:pPr>
              <w:spacing w:after="0"/>
              <w:rPr>
                <w:sz w:val="17"/>
                <w:szCs w:val="17"/>
                <w:color w:val="auto"/>
              </w:rPr>
            </w:pPr>
          </w:p>
        </w:tc>
        <w:tc>
          <w:tcPr>
            <w:tcW w:w="1480" w:type="dxa"/>
            <w:vAlign w:val="bottom"/>
            <w:vMerge w:val="continue"/>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NON-CASH INVESTING AND FINANCING ACTIVITIES</w:t>
      </w:r>
    </w:p>
    <w:p>
      <w:pPr>
        <w:spacing w:after="0" w:line="201" w:lineRule="exact"/>
        <w:rPr>
          <w:sz w:val="20"/>
          <w:szCs w:val="20"/>
          <w:color w:val="auto"/>
        </w:rPr>
      </w:pPr>
    </w:p>
    <w:p>
      <w:pPr>
        <w:ind w:right="2099" w:firstLine="527"/>
        <w:spacing w:after="0" w:line="344" w:lineRule="auto"/>
        <w:rPr>
          <w:sz w:val="20"/>
          <w:szCs w:val="20"/>
          <w:color w:val="auto"/>
        </w:rPr>
      </w:pPr>
      <w:r>
        <w:rPr>
          <w:rFonts w:ascii="Courier New" w:cs="Courier New" w:eastAsia="Courier New" w:hAnsi="Courier New"/>
          <w:sz w:val="16"/>
          <w:szCs w:val="16"/>
          <w:color w:val="auto"/>
        </w:rPr>
        <w:t>Capital lease obligations of $0, $2,245 and $13,116 were incurred during the years ended September 30, 2003, 2002 and 2001, respectively, when the Company (as defined below) entered into lease agreements for vehicles.</w:t>
      </w:r>
    </w:p>
    <w:p>
      <w:pPr>
        <w:spacing w:after="0" w:line="31" w:lineRule="exact"/>
        <w:rPr>
          <w:sz w:val="20"/>
          <w:szCs w:val="20"/>
          <w:color w:val="auto"/>
        </w:rPr>
      </w:pPr>
    </w:p>
    <w:p>
      <w:pPr>
        <w:jc w:val="both"/>
        <w:ind w:right="1999" w:firstLine="527"/>
        <w:spacing w:after="0" w:line="292" w:lineRule="auto"/>
        <w:rPr>
          <w:sz w:val="20"/>
          <w:szCs w:val="20"/>
          <w:color w:val="auto"/>
        </w:rPr>
      </w:pPr>
      <w:r>
        <w:rPr>
          <w:rFonts w:ascii="Courier New" w:cs="Courier New" w:eastAsia="Courier New" w:hAnsi="Courier New"/>
          <w:sz w:val="18"/>
          <w:szCs w:val="18"/>
          <w:color w:val="auto"/>
        </w:rPr>
        <w:t>Accrued transaction costs of $3,283 related to an acquisition made in the fourth quarter of the year ended September 30, 2003 will be paid over the next fiscal year.</w:t>
      </w:r>
    </w:p>
    <w:p>
      <w:pPr>
        <w:spacing w:after="0" w:line="66" w:lineRule="exact"/>
        <w:rPr>
          <w:sz w:val="20"/>
          <w:szCs w:val="20"/>
          <w:color w:val="auto"/>
        </w:rPr>
      </w:pPr>
    </w:p>
    <w:p>
      <w:pPr>
        <w:ind w:left="3580" w:right="1779" w:hanging="3054"/>
        <w:spacing w:after="0" w:line="347" w:lineRule="auto"/>
        <w:rPr>
          <w:sz w:val="20"/>
          <w:szCs w:val="20"/>
          <w:color w:val="auto"/>
        </w:rPr>
      </w:pPr>
      <w:r>
        <w:rPr>
          <w:rFonts w:ascii="Courier New" w:cs="Courier New" w:eastAsia="Courier New" w:hAnsi="Courier New"/>
          <w:sz w:val="18"/>
          <w:szCs w:val="18"/>
          <w:color w:val="auto"/>
        </w:rPr>
        <w:t>The accompanying notes are an integral part of these consolidated financial statements.</w:t>
      </w:r>
    </w:p>
    <w:p>
      <w:pPr>
        <w:spacing w:after="0" w:line="1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F-7</w:t>
      </w:r>
    </w:p>
    <w:p>
      <w:pPr>
        <w:sectPr>
          <w:pgSz w:w="11900" w:h="16838" w:orient="portrait"/>
          <w:cols w:equalWidth="0" w:num="1">
            <w:col w:w="10219"/>
          </w:cols>
          <w:pgMar w:left="240" w:top="488" w:right="1440" w:bottom="1440" w:gutter="0" w:footer="0" w:header="0"/>
        </w:sectPr>
      </w:pPr>
    </w:p>
    <w:bookmarkStart w:id="86" w:name="page87"/>
    <w:bookmarkEnd w:id="86"/>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NOTES TO CONSOLIDATED FINANCIAL STATEMENTS</w:t>
      </w:r>
    </w:p>
    <w:p>
      <w:pPr>
        <w:spacing w:after="0" w:line="29"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(IN THOUSANDS, EXCEPT PER SHARE DATA)</w:t>
      </w:r>
    </w:p>
    <w:p>
      <w:pPr>
        <w:ind w:left="3280"/>
        <w:spacing w:after="0"/>
        <w:rPr>
          <w:sz w:val="20"/>
          <w:szCs w:val="20"/>
          <w:color w:val="auto"/>
        </w:rPr>
      </w:pPr>
      <w:r>
        <w:rPr>
          <w:rFonts w:ascii="Courier New" w:cs="Courier New" w:eastAsia="Courier New" w:hAnsi="Courier New"/>
          <w:sz w:val="18"/>
          <w:szCs w:val="18"/>
          <w:color w:val="auto"/>
        </w:rPr>
        <w:t>SEPTEMBER 30, 2003</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1 -- NATURE OF ENTITY</w:t>
      </w:r>
    </w:p>
    <w:p>
      <w:pPr>
        <w:spacing w:after="0" w:line="201" w:lineRule="exact"/>
        <w:rPr>
          <w:sz w:val="20"/>
          <w:szCs w:val="20"/>
          <w:color w:val="auto"/>
        </w:rPr>
      </w:pPr>
    </w:p>
    <w:p>
      <w:pPr>
        <w:ind w:right="1999" w:firstLine="527"/>
        <w:spacing w:after="0" w:line="256" w:lineRule="auto"/>
        <w:rPr>
          <w:sz w:val="20"/>
          <w:szCs w:val="20"/>
          <w:color w:val="auto"/>
        </w:rPr>
      </w:pPr>
      <w:r>
        <w:rPr>
          <w:rFonts w:ascii="Courier New" w:cs="Courier New" w:eastAsia="Courier New" w:hAnsi="Courier New"/>
          <w:sz w:val="18"/>
          <w:szCs w:val="18"/>
          <w:color w:val="auto"/>
        </w:rPr>
        <w:t>Amdocs Limited (the "Company") is a leading provider of software products and services to the communications industry. The Company and its subsidiaries operate in one operating segment, providing integrated customer management systems and related services primarily for the communications industry. The Company designs, develops, markets, supports, operates and provides Managed Services for information system solutions primarily to leading communications companies throughout the world.</w:t>
      </w:r>
    </w:p>
    <w:p>
      <w:pPr>
        <w:spacing w:after="0" w:line="98" w:lineRule="exact"/>
        <w:rPr>
          <w:sz w:val="20"/>
          <w:szCs w:val="20"/>
          <w:color w:val="auto"/>
        </w:rPr>
      </w:pPr>
    </w:p>
    <w:p>
      <w:pPr>
        <w:ind w:right="1879" w:firstLine="527"/>
        <w:spacing w:after="0" w:line="260" w:lineRule="auto"/>
        <w:rPr>
          <w:sz w:val="20"/>
          <w:szCs w:val="20"/>
          <w:color w:val="auto"/>
        </w:rPr>
      </w:pPr>
      <w:r>
        <w:rPr>
          <w:rFonts w:ascii="Courier New" w:cs="Courier New" w:eastAsia="Courier New" w:hAnsi="Courier New"/>
          <w:sz w:val="18"/>
          <w:szCs w:val="18"/>
          <w:color w:val="auto"/>
        </w:rPr>
        <w:t>The Company is a Guernsey corporation, which directly or indirectly holds several wholly owned subsidiaries in the Asia-Pacific region, Europe, Israel, Latin America and North America. The majority of the Company's customers are in North America, Europe, Latin America and the Asia-Pacific region. The Company's main production and operating facilities are located in Israel, the United States (U.S.), Cyprus, Canada and Ireland.</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2 -- SUMMARY OF SIGNIFICANT ACCOUNTING POLICIES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BASIS OF PRESENTATION</w:t>
      </w:r>
    </w:p>
    <w:p>
      <w:pPr>
        <w:spacing w:after="0" w:line="201" w:lineRule="exact"/>
        <w:rPr>
          <w:sz w:val="20"/>
          <w:szCs w:val="20"/>
          <w:color w:val="auto"/>
        </w:rPr>
      </w:pPr>
    </w:p>
    <w:p>
      <w:pPr>
        <w:ind w:right="2419" w:firstLine="527"/>
        <w:spacing w:after="0" w:line="347" w:lineRule="auto"/>
        <w:rPr>
          <w:sz w:val="20"/>
          <w:szCs w:val="20"/>
          <w:color w:val="auto"/>
        </w:rPr>
      </w:pPr>
      <w:r>
        <w:rPr>
          <w:rFonts w:ascii="Courier New" w:cs="Courier New" w:eastAsia="Courier New" w:hAnsi="Courier New"/>
          <w:sz w:val="18"/>
          <w:szCs w:val="18"/>
          <w:color w:val="auto"/>
        </w:rPr>
        <w:t>The consolidated financial statements are prepared in accordance with accounting principles generally accepted in the United States.</w:t>
      </w:r>
    </w:p>
    <w:p>
      <w:pPr>
        <w:spacing w:after="0" w:line="1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CONSOLIDATION</w:t>
      </w:r>
    </w:p>
    <w:p>
      <w:pPr>
        <w:spacing w:after="0" w:line="201" w:lineRule="exact"/>
        <w:rPr>
          <w:sz w:val="20"/>
          <w:szCs w:val="20"/>
          <w:color w:val="auto"/>
        </w:rPr>
      </w:pPr>
    </w:p>
    <w:p>
      <w:pPr>
        <w:ind w:right="1779" w:firstLine="527"/>
        <w:spacing w:after="0" w:line="292" w:lineRule="auto"/>
        <w:rPr>
          <w:sz w:val="20"/>
          <w:szCs w:val="20"/>
          <w:color w:val="auto"/>
        </w:rPr>
      </w:pPr>
      <w:r>
        <w:rPr>
          <w:rFonts w:ascii="Courier New" w:cs="Courier New" w:eastAsia="Courier New" w:hAnsi="Courier New"/>
          <w:sz w:val="18"/>
          <w:szCs w:val="18"/>
          <w:color w:val="auto"/>
        </w:rPr>
        <w:t>The financial statements include the accounts of the Company and its wholly owned subsidiaries. All intercompany transactions and balances have been eliminated in consolidation.</w:t>
      </w:r>
    </w:p>
    <w:p>
      <w:pPr>
        <w:spacing w:after="0" w:line="6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FUNCTIONAL CURRENCY</w:t>
      </w:r>
    </w:p>
    <w:p>
      <w:pPr>
        <w:spacing w:after="0" w:line="201" w:lineRule="exact"/>
        <w:rPr>
          <w:sz w:val="20"/>
          <w:szCs w:val="20"/>
          <w:color w:val="auto"/>
        </w:rPr>
      </w:pPr>
    </w:p>
    <w:p>
      <w:pPr>
        <w:ind w:right="1779" w:firstLine="527"/>
        <w:spacing w:after="0" w:line="292" w:lineRule="auto"/>
        <w:rPr>
          <w:sz w:val="20"/>
          <w:szCs w:val="20"/>
          <w:color w:val="auto"/>
        </w:rPr>
      </w:pPr>
      <w:r>
        <w:rPr>
          <w:rFonts w:ascii="Courier New" w:cs="Courier New" w:eastAsia="Courier New" w:hAnsi="Courier New"/>
          <w:sz w:val="18"/>
          <w:szCs w:val="18"/>
          <w:color w:val="auto"/>
        </w:rPr>
        <w:t>As the U.S. dollar is the predominant currency by which the Company's revenue and expenses are denominated, the U.S. dollar is the functional currency for the Company and its subsidiaries.</w:t>
      </w:r>
    </w:p>
    <w:p>
      <w:pPr>
        <w:spacing w:after="0" w:line="6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CASH AND CASH EQUIVALENTS</w:t>
      </w:r>
    </w:p>
    <w:p>
      <w:pPr>
        <w:spacing w:after="0" w:line="201" w:lineRule="exact"/>
        <w:rPr>
          <w:sz w:val="20"/>
          <w:szCs w:val="20"/>
          <w:color w:val="auto"/>
        </w:rPr>
      </w:pPr>
    </w:p>
    <w:p>
      <w:pPr>
        <w:ind w:right="1879" w:firstLine="527"/>
        <w:spacing w:after="0" w:line="292" w:lineRule="auto"/>
        <w:rPr>
          <w:sz w:val="20"/>
          <w:szCs w:val="20"/>
          <w:color w:val="auto"/>
        </w:rPr>
      </w:pPr>
      <w:r>
        <w:rPr>
          <w:rFonts w:ascii="Courier New" w:cs="Courier New" w:eastAsia="Courier New" w:hAnsi="Courier New"/>
          <w:sz w:val="18"/>
          <w:szCs w:val="18"/>
          <w:color w:val="auto"/>
        </w:rPr>
        <w:t>Cash and cash equivalents consist of cash and interest-bearing investments with insignificant interest rate risk and original maturities of 90 days or less.</w:t>
      </w:r>
    </w:p>
    <w:p>
      <w:pPr>
        <w:spacing w:after="0" w:line="6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INVESTMENTS</w:t>
      </w:r>
    </w:p>
    <w:p>
      <w:pPr>
        <w:spacing w:after="0" w:line="201" w:lineRule="exact"/>
        <w:rPr>
          <w:sz w:val="20"/>
          <w:szCs w:val="20"/>
          <w:color w:val="auto"/>
        </w:rPr>
      </w:pPr>
    </w:p>
    <w:p>
      <w:pPr>
        <w:ind w:right="1779" w:firstLine="527"/>
        <w:spacing w:after="0" w:line="248" w:lineRule="auto"/>
        <w:rPr>
          <w:sz w:val="20"/>
          <w:szCs w:val="20"/>
          <w:color w:val="auto"/>
        </w:rPr>
      </w:pPr>
      <w:r>
        <w:rPr>
          <w:rFonts w:ascii="Courier New" w:cs="Courier New" w:eastAsia="Courier New" w:hAnsi="Courier New"/>
          <w:sz w:val="18"/>
          <w:szCs w:val="18"/>
          <w:color w:val="auto"/>
        </w:rPr>
        <w:t>When excess funds are available, the Company invests in short-term interest-bearing investments. The Company classifies all of its short-term interest-bearing investments as available-for-sale securities. Such short-term interest-bearing investments consist primarily of commercial paper, Treasury notes, Federal agency securities, corporate bonds, corporate backed obligations, mortgages and money market funds, which are stated at market value. Unrealized gains and losses are comprised of the difference between market value and amortized costs of such securities and are reflected, net of tax, as "accumulated other comprehensive income (loss)" in shareholders' equity. Realized gains and losses on short-term interest-bearing investments are included in earnings and are derived using the specific identification method for determining the cost of securities.</w:t>
      </w:r>
    </w:p>
    <w:p>
      <w:pPr>
        <w:spacing w:after="0" w:line="105" w:lineRule="exact"/>
        <w:rPr>
          <w:sz w:val="20"/>
          <w:szCs w:val="20"/>
          <w:color w:val="auto"/>
        </w:rPr>
      </w:pPr>
    </w:p>
    <w:p>
      <w:pPr>
        <w:ind w:right="1779" w:firstLine="527"/>
        <w:spacing w:after="0" w:line="265" w:lineRule="auto"/>
        <w:rPr>
          <w:sz w:val="20"/>
          <w:szCs w:val="20"/>
          <w:color w:val="auto"/>
        </w:rPr>
      </w:pPr>
      <w:r>
        <w:rPr>
          <w:rFonts w:ascii="Courier New" w:cs="Courier New" w:eastAsia="Courier New" w:hAnsi="Courier New"/>
          <w:sz w:val="18"/>
          <w:szCs w:val="18"/>
          <w:color w:val="auto"/>
        </w:rPr>
        <w:t>From time to time the Company also makes certain investments in non-publicly traded companies. Such investments are included in other noncurrent assets in the Company's consolidated balance sheet and are generally carried at cost. The Company monitors such investments for impairment and makes appropriate reductions in carrying values if necessary.</w:t>
      </w:r>
    </w:p>
    <w:p>
      <w:pPr>
        <w:spacing w:after="0" w:line="9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F-8</w:t>
      </w:r>
    </w:p>
    <w:p>
      <w:pPr>
        <w:sectPr>
          <w:pgSz w:w="11900" w:h="16838" w:orient="portrait"/>
          <w:cols w:equalWidth="0" w:num="1">
            <w:col w:w="10219"/>
          </w:cols>
          <w:pgMar w:left="240" w:top="691" w:right="1440" w:bottom="1440" w:gutter="0" w:footer="0" w:header="0"/>
        </w:sectPr>
      </w:pPr>
    </w:p>
    <w:bookmarkStart w:id="87" w:name="page88"/>
    <w:bookmarkEnd w:id="87"/>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3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(IN THOUSANDS, EXCEPT PER SHARE DATA)</w:t>
      </w:r>
    </w:p>
    <w:p>
      <w:pPr>
        <w:spacing w:after="0" w:line="16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EQUIPMENT, VEHICLES AND LEASEHOLD IMPROVEMENTS</w:t>
      </w:r>
    </w:p>
    <w:p>
      <w:pPr>
        <w:spacing w:after="0" w:line="201" w:lineRule="exact"/>
        <w:rPr>
          <w:sz w:val="20"/>
          <w:szCs w:val="20"/>
          <w:color w:val="auto"/>
        </w:rPr>
      </w:pPr>
    </w:p>
    <w:p>
      <w:pPr>
        <w:ind w:right="1999" w:firstLine="527"/>
        <w:spacing w:after="0" w:line="250" w:lineRule="auto"/>
        <w:rPr>
          <w:sz w:val="20"/>
          <w:szCs w:val="20"/>
          <w:color w:val="auto"/>
        </w:rPr>
      </w:pPr>
      <w:r>
        <w:rPr>
          <w:rFonts w:ascii="Courier New" w:cs="Courier New" w:eastAsia="Courier New" w:hAnsi="Courier New"/>
          <w:sz w:val="18"/>
          <w:szCs w:val="18"/>
          <w:color w:val="auto"/>
        </w:rPr>
        <w:t>Equipment, vehicles and leasehold improvements are stated at cost. Assets under capital leases are recorded at the present value of the future minimum lease payments at the date of acquisition. Depreciation is computed using the straight-line method over the estimated useful life of the asset, which ranges from 2 to 10 years and includes the amortization of assets under capitalized leases. Leasehold improvements are amortized over the shorter of the estimated useful lives or the term of the related lease. Management reviews property and equipment and other long-lived assets on a periodic basis to determine whether events or changes in circumstances indicate that the carrying amount of such assets may not be recoverable.</w:t>
      </w:r>
    </w:p>
    <w:p>
      <w:pPr>
        <w:spacing w:after="0" w:line="1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GOODWILL AND OTHER INTANGIBLE ASSETS</w:t>
      </w:r>
    </w:p>
    <w:p>
      <w:pPr>
        <w:spacing w:after="0" w:line="201" w:lineRule="exact"/>
        <w:rPr>
          <w:sz w:val="20"/>
          <w:szCs w:val="20"/>
          <w:color w:val="auto"/>
        </w:rPr>
      </w:pPr>
    </w:p>
    <w:p>
      <w:pPr>
        <w:ind w:right="1779" w:firstLine="527"/>
        <w:spacing w:after="0" w:line="252" w:lineRule="auto"/>
        <w:rPr>
          <w:sz w:val="20"/>
          <w:szCs w:val="20"/>
          <w:color w:val="auto"/>
        </w:rPr>
      </w:pPr>
      <w:r>
        <w:rPr>
          <w:rFonts w:ascii="Courier New" w:cs="Courier New" w:eastAsia="Courier New" w:hAnsi="Courier New"/>
          <w:sz w:val="18"/>
          <w:szCs w:val="18"/>
          <w:color w:val="auto"/>
        </w:rPr>
        <w:t>The total purchase price of product line or business acquisitions accounted for using the purchase method is allocated first to identifiable assets and liabilities based on estimated fair values. The excess of the purchase price over the fair value of net assets of purchased businesses is recorded as goodwill. Goodwill associated with acquisitions completed prior to July 1, 2001 was amortized on a straight-line basis over its estimated useful life. Commencing October 1, 2002 goodwill is no longer amortized, but is subject to periodical impairment tests. See the discussion below under the caption "Adoption of New Accounting Standards".</w:t>
      </w:r>
    </w:p>
    <w:p>
      <w:pPr>
        <w:spacing w:after="0" w:line="99" w:lineRule="exact"/>
        <w:rPr>
          <w:sz w:val="20"/>
          <w:szCs w:val="20"/>
          <w:color w:val="auto"/>
        </w:rPr>
      </w:pPr>
    </w:p>
    <w:p>
      <w:pPr>
        <w:ind w:right="1999" w:firstLine="527"/>
        <w:spacing w:after="0" w:line="402" w:lineRule="auto"/>
        <w:rPr>
          <w:sz w:val="20"/>
          <w:szCs w:val="20"/>
          <w:color w:val="auto"/>
        </w:rPr>
      </w:pPr>
      <w:r>
        <w:rPr>
          <w:rFonts w:ascii="Courier New" w:cs="Courier New" w:eastAsia="Courier New" w:hAnsi="Courier New"/>
          <w:sz w:val="16"/>
          <w:szCs w:val="16"/>
          <w:color w:val="auto"/>
        </w:rPr>
        <w:t>Other intangible assets consist primarily of purchased computer software, intellectual property rights, core technology and customer arrangements.</w:t>
      </w:r>
    </w:p>
    <w:p>
      <w:pPr>
        <w:spacing w:after="0" w:line="1" w:lineRule="exact"/>
        <w:rPr>
          <w:sz w:val="20"/>
          <w:szCs w:val="20"/>
          <w:color w:val="auto"/>
        </w:rPr>
      </w:pPr>
    </w:p>
    <w:p>
      <w:pPr>
        <w:ind w:right="1879" w:firstLine="527"/>
        <w:spacing w:after="0" w:line="256" w:lineRule="auto"/>
        <w:rPr>
          <w:sz w:val="20"/>
          <w:szCs w:val="20"/>
          <w:color w:val="auto"/>
        </w:rPr>
      </w:pPr>
      <w:r>
        <w:rPr>
          <w:rFonts w:ascii="Courier New" w:cs="Courier New" w:eastAsia="Courier New" w:hAnsi="Courier New"/>
          <w:sz w:val="18"/>
          <w:szCs w:val="18"/>
          <w:color w:val="auto"/>
        </w:rPr>
        <w:t>Intellectual property rights, purchased computer software and core technology acquired by the Company are amortized over their estimated useful lives on a straight-line basis. Workforce-in-place acquired by the Company was amortized over their estimated useful lives on a straight-line basis through fiscal 2002. Commencing October 1, 2002, workforce-in-place is considered goodwill and no longer is amortized. See the discussion below under the caption "Adoption of New Accounting Standards".</w:t>
      </w:r>
    </w:p>
    <w:p>
      <w:pPr>
        <w:spacing w:after="0" w:line="98" w:lineRule="exact"/>
        <w:rPr>
          <w:sz w:val="20"/>
          <w:szCs w:val="20"/>
          <w:color w:val="auto"/>
        </w:rPr>
      </w:pPr>
    </w:p>
    <w:p>
      <w:pPr>
        <w:ind w:right="1999" w:firstLine="527"/>
        <w:spacing w:after="0" w:line="298" w:lineRule="auto"/>
        <w:rPr>
          <w:sz w:val="20"/>
          <w:szCs w:val="20"/>
          <w:color w:val="auto"/>
        </w:rPr>
      </w:pPr>
      <w:r>
        <w:rPr>
          <w:rFonts w:ascii="Courier New" w:cs="Courier New" w:eastAsia="Courier New" w:hAnsi="Courier New"/>
          <w:sz w:val="16"/>
          <w:szCs w:val="16"/>
          <w:color w:val="auto"/>
        </w:rPr>
        <w:t>Some of acquired customer arrangements are amortized over their estimated useful lives based on the pro-rata amount of the future revenue expected to be realized from the customer arrangements. This accounting policy results in accelerated amortization of purchased computer software as compared to the straight-line method. All other acquired customer arrangements are amortized over their estimated useful lives on a straight-line basis.</w:t>
      </w:r>
    </w:p>
    <w:p>
      <w:pPr>
        <w:spacing w:after="0" w:line="6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LONG-LIVED ASSETS</w:t>
      </w:r>
    </w:p>
    <w:p>
      <w:pPr>
        <w:spacing w:after="0" w:line="201" w:lineRule="exact"/>
        <w:rPr>
          <w:sz w:val="20"/>
          <w:szCs w:val="20"/>
          <w:color w:val="auto"/>
        </w:rPr>
      </w:pPr>
    </w:p>
    <w:p>
      <w:pPr>
        <w:ind w:right="1779" w:firstLine="527"/>
        <w:spacing w:after="0" w:line="252" w:lineRule="auto"/>
        <w:rPr>
          <w:sz w:val="20"/>
          <w:szCs w:val="20"/>
          <w:color w:val="auto"/>
        </w:rPr>
      </w:pPr>
      <w:r>
        <w:rPr>
          <w:rFonts w:ascii="Courier New" w:cs="Courier New" w:eastAsia="Courier New" w:hAnsi="Courier New"/>
          <w:sz w:val="18"/>
          <w:szCs w:val="18"/>
          <w:color w:val="auto"/>
        </w:rPr>
        <w:t>The Company considers whether there are indicators of impairment that would require the comparison of the estimated net realizable value of intangible assets with finite lives, equipment, leasehold improvements and vehicles and other long-lived assets, using a discounted cash flow analysis, to their carrying value under Statement of Financial Accounting Standards ("SFAS") No. 144, "Accounting for the Impairment or Disposal of Long-Lived Assets". Any impairment would be recognized when the fair market value of such long-lived assets is less than their carrying value. No impairments were identified as of September 30, 2003.</w:t>
      </w:r>
    </w:p>
    <w:p>
      <w:pPr>
        <w:spacing w:after="0" w:line="9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COMPREHENSIVE INCOME</w:t>
      </w:r>
    </w:p>
    <w:p>
      <w:pPr>
        <w:spacing w:after="0" w:line="201" w:lineRule="exact"/>
        <w:rPr>
          <w:sz w:val="20"/>
          <w:szCs w:val="20"/>
          <w:color w:val="auto"/>
        </w:rPr>
      </w:pPr>
    </w:p>
    <w:p>
      <w:pPr>
        <w:ind w:right="1779" w:firstLine="527"/>
        <w:spacing w:after="0" w:line="256" w:lineRule="auto"/>
        <w:rPr>
          <w:sz w:val="20"/>
          <w:szCs w:val="20"/>
          <w:color w:val="auto"/>
        </w:rPr>
      </w:pPr>
      <w:r>
        <w:rPr>
          <w:rFonts w:ascii="Courier New" w:cs="Courier New" w:eastAsia="Courier New" w:hAnsi="Courier New"/>
          <w:sz w:val="18"/>
          <w:szCs w:val="18"/>
          <w:color w:val="auto"/>
        </w:rPr>
        <w:t>The Company accounts for comprehensive income under the provisions of SFAS No. 130, "Reporting Comprehensive Income", which established standards for the reporting and display of comprehensive income and its components. Comprehensive income represents the change in shareholders' equity during a period from transactions and other events and circumstances from nonowner sources. It includes all changes in equity except those resulting from investments by owners and distributions to owners.</w:t>
      </w:r>
    </w:p>
    <w:p>
      <w:pPr>
        <w:spacing w:after="0" w:line="9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F-9</w:t>
      </w:r>
    </w:p>
    <w:p>
      <w:pPr>
        <w:sectPr>
          <w:pgSz w:w="11900" w:h="16838" w:orient="portrait"/>
          <w:cols w:equalWidth="0" w:num="1">
            <w:col w:w="10219"/>
          </w:cols>
          <w:pgMar w:left="240" w:top="488" w:right="1440" w:bottom="1440" w:gutter="0" w:footer="0" w:header="0"/>
        </w:sectPr>
      </w:pPr>
    </w:p>
    <w:bookmarkStart w:id="88" w:name="page89"/>
    <w:bookmarkEnd w:id="88"/>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3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(IN THOUSANDS, EXCEPT PER SHARE DATA)</w:t>
      </w:r>
    </w:p>
    <w:p>
      <w:pPr>
        <w:spacing w:after="0" w:line="16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CONVERTIBLE NOTES</w:t>
      </w:r>
    </w:p>
    <w:p>
      <w:pPr>
        <w:spacing w:after="0" w:line="201" w:lineRule="exact"/>
        <w:rPr>
          <w:sz w:val="20"/>
          <w:szCs w:val="20"/>
          <w:color w:val="auto"/>
        </w:rPr>
      </w:pPr>
    </w:p>
    <w:p>
      <w:pPr>
        <w:ind w:right="1779" w:firstLine="527"/>
        <w:spacing w:after="0" w:line="285" w:lineRule="auto"/>
        <w:rPr>
          <w:sz w:val="20"/>
          <w:szCs w:val="20"/>
          <w:color w:val="auto"/>
        </w:rPr>
      </w:pPr>
      <w:r>
        <w:rPr>
          <w:rFonts w:ascii="Courier New" w:cs="Courier New" w:eastAsia="Courier New" w:hAnsi="Courier New"/>
          <w:sz w:val="16"/>
          <w:szCs w:val="16"/>
          <w:color w:val="auto"/>
        </w:rPr>
        <w:t>The Company presents the outstanding principal amount of the convertible notes as part of current liabilities. Accrued interest on the convertible notes is included in "accrued expenses and other current liabilities". The Company amortizes the issuance costs related to the convertible notes on a straight-line basis over the term of the convertible notes. Gain or loss on repurchase of convertible notes represents the difference between the principal amount and the purchase price. Such gains, aggregating $448 and $6,012, are included in "interest income and other, net" in fiscal 2003 and 2002, respectively. The amortized issuance cost calculated on a pro-rata basis, related to the repurchased convertible notes, is included in "interest income and other, net".</w:t>
      </w:r>
    </w:p>
    <w:p>
      <w:pPr>
        <w:spacing w:after="0" w:line="29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TREASURY STOCK</w:t>
      </w:r>
    </w:p>
    <w:p>
      <w:pPr>
        <w:spacing w:after="0" w:line="201" w:lineRule="exact"/>
        <w:rPr>
          <w:sz w:val="20"/>
          <w:szCs w:val="20"/>
          <w:color w:val="auto"/>
        </w:rPr>
      </w:pPr>
    </w:p>
    <w:p>
      <w:pPr>
        <w:ind w:right="1779" w:firstLine="527"/>
        <w:spacing w:after="0" w:line="292" w:lineRule="auto"/>
        <w:rPr>
          <w:sz w:val="20"/>
          <w:szCs w:val="20"/>
          <w:color w:val="auto"/>
        </w:rPr>
      </w:pPr>
      <w:r>
        <w:rPr>
          <w:rFonts w:ascii="Courier New" w:cs="Courier New" w:eastAsia="Courier New" w:hAnsi="Courier New"/>
          <w:sz w:val="18"/>
          <w:szCs w:val="18"/>
          <w:color w:val="auto"/>
        </w:rPr>
        <w:t>The Company repurchases its Ordinary Shares from time to time on the open market and holds such shares as treasury stock. The Company presents the cost to repurchase treasury stock as a reduction of shareholders' equity.</w:t>
      </w:r>
    </w:p>
    <w:p>
      <w:pPr>
        <w:spacing w:after="0" w:line="6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INCOME TAXES</w:t>
      </w:r>
    </w:p>
    <w:p>
      <w:pPr>
        <w:spacing w:after="0" w:line="201" w:lineRule="exact"/>
        <w:rPr>
          <w:sz w:val="20"/>
          <w:szCs w:val="20"/>
          <w:color w:val="auto"/>
        </w:rPr>
      </w:pPr>
    </w:p>
    <w:p>
      <w:pPr>
        <w:ind w:right="1779" w:firstLine="527"/>
        <w:spacing w:after="0" w:line="249" w:lineRule="auto"/>
        <w:rPr>
          <w:sz w:val="20"/>
          <w:szCs w:val="20"/>
          <w:color w:val="auto"/>
        </w:rPr>
      </w:pPr>
      <w:r>
        <w:rPr>
          <w:rFonts w:ascii="Courier New" w:cs="Courier New" w:eastAsia="Courier New" w:hAnsi="Courier New"/>
          <w:sz w:val="18"/>
          <w:szCs w:val="18"/>
          <w:color w:val="auto"/>
        </w:rPr>
        <w:t>The Company records deferred income taxes to reflect the net tax effects of temporary differences between the carrying amounts of assets and liabilities for financial reporting and tax purposes. Deferred taxes are computed based on tax rates anticipated to be in effect (under applicable laws at the time the financial statements are prepared) when the deferred taxes are expected to be paid or realized. A valuation allowance is provided for deferred tax assets if it is more likely than not these items will either expire before the Company is able to realize their benefit, or that future deductibility is uncertain. In the event that a valuation allowance relating to a business acquisition is subsequently reduced, the adjustment will reduce the original amount allocated to goodwill.</w:t>
      </w:r>
    </w:p>
    <w:p>
      <w:pPr>
        <w:spacing w:after="0" w:line="104" w:lineRule="exact"/>
        <w:rPr>
          <w:sz w:val="20"/>
          <w:szCs w:val="20"/>
          <w:color w:val="auto"/>
        </w:rPr>
      </w:pPr>
    </w:p>
    <w:p>
      <w:pPr>
        <w:ind w:right="1779" w:firstLine="527"/>
        <w:spacing w:after="0" w:line="260" w:lineRule="auto"/>
        <w:rPr>
          <w:sz w:val="20"/>
          <w:szCs w:val="20"/>
          <w:color w:val="auto"/>
        </w:rPr>
      </w:pPr>
      <w:r>
        <w:rPr>
          <w:rFonts w:ascii="Courier New" w:cs="Courier New" w:eastAsia="Courier New" w:hAnsi="Courier New"/>
          <w:sz w:val="18"/>
          <w:szCs w:val="18"/>
          <w:color w:val="auto"/>
        </w:rPr>
        <w:t>Deferred tax liabilities and assets are classified as current or noncurrent based on the classification of the related asset or liability for financial reporting, or according to the expected reversal dates of the specific temporary differences if not related to an asset or liability for financial reporting, and also include anticipated withholding taxes due on subsidiaries' earnings when paid as dividends to the Company.</w:t>
      </w:r>
    </w:p>
    <w:p>
      <w:pPr>
        <w:spacing w:after="0" w:line="9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REVENUE RECOGNITION</w:t>
      </w:r>
    </w:p>
    <w:p>
      <w:pPr>
        <w:spacing w:after="0" w:line="201" w:lineRule="exact"/>
        <w:rPr>
          <w:sz w:val="20"/>
          <w:szCs w:val="20"/>
          <w:color w:val="auto"/>
        </w:rPr>
      </w:pPr>
    </w:p>
    <w:p>
      <w:pPr>
        <w:ind w:right="1779" w:firstLine="527"/>
        <w:spacing w:after="0" w:line="243" w:lineRule="auto"/>
        <w:rPr>
          <w:sz w:val="20"/>
          <w:szCs w:val="20"/>
          <w:color w:val="auto"/>
        </w:rPr>
      </w:pPr>
      <w:r>
        <w:rPr>
          <w:rFonts w:ascii="Courier New" w:cs="Courier New" w:eastAsia="Courier New" w:hAnsi="Courier New"/>
          <w:sz w:val="18"/>
          <w:szCs w:val="18"/>
          <w:color w:val="auto"/>
        </w:rPr>
        <w:t>The Company usually sells its software as part of an overall solution offered to a customer, in which significant modification to the Company's software is required. As a result, revenue generally is recognized over the course of these long-term projects in conformity with Accounting Research Bulletin ("ARB") No. 45 "Long Term Construction-Type Contracts", Statement of Position ("SOP") 81-1 "Accounting for Performance of Construction-Type and Certain Production-Type Contracts" and SOP 97-2 "Software Revenue Recognition". Losses are recognized on contracts in the period in which the loss is identified in accordance with SOP 81-1. Initial license fee for software revenue is recognized as work is performed, under the percentage of completion method of accounting. Subsequent license fee revenue is recognized upon completion of the specified conditions in each contract. Service revenue that involves significant ongoing obligations, including fees for customization, implementation and modification, is recognized as work is performed, under the percentage of completion method of accounting. In cases where extended payment terms exist, license and related customization fees are recognized when payments are due, in accordance with SOP 97-2. Revenue from software solutions that does not require significant customization and modification, is recognized upon delivery, in accordance with the principles emphasized in Staff Accounting Bulletin ("SAB") 101 "Revenue Recognition in Financial Statements" and SOP 97-2. In Managed Services contracts, revenue from the operation of a customer's system is recognized either ratably over the service period or as services are performed. Revenue from ongoing support services is recognized as work is performed. Revenue from third-</w:t>
      </w:r>
    </w:p>
    <w:p>
      <w:pPr>
        <w:spacing w:after="0" w:line="1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F-10</w:t>
      </w:r>
    </w:p>
    <w:p>
      <w:pPr>
        <w:sectPr>
          <w:pgSz w:w="11900" w:h="16838" w:orient="portrait"/>
          <w:cols w:equalWidth="0" w:num="1">
            <w:col w:w="10219"/>
          </w:cols>
          <w:pgMar w:left="240" w:top="488" w:right="1440" w:bottom="996" w:gutter="0" w:footer="0" w:header="0"/>
        </w:sectPr>
      </w:pPr>
    </w:p>
    <w:bookmarkStart w:id="89" w:name="page90"/>
    <w:bookmarkEnd w:id="89"/>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3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(IN THOUSANDS, EXCEPT PER SHARE DATA)</w:t>
      </w:r>
    </w:p>
    <w:p>
      <w:pPr>
        <w:spacing w:after="0" w:line="169" w:lineRule="exact"/>
        <w:rPr>
          <w:sz w:val="20"/>
          <w:szCs w:val="20"/>
          <w:color w:val="auto"/>
        </w:rPr>
      </w:pPr>
    </w:p>
    <w:p>
      <w:pPr>
        <w:ind w:right="1779"/>
        <w:spacing w:after="0" w:line="250" w:lineRule="auto"/>
        <w:rPr>
          <w:sz w:val="20"/>
          <w:szCs w:val="20"/>
          <w:color w:val="auto"/>
        </w:rPr>
      </w:pPr>
      <w:r>
        <w:rPr>
          <w:rFonts w:ascii="Courier New" w:cs="Courier New" w:eastAsia="Courier New" w:hAnsi="Courier New"/>
          <w:sz w:val="18"/>
          <w:szCs w:val="18"/>
          <w:color w:val="auto"/>
        </w:rPr>
        <w:t>party hardware and software sales is recognized upon delivery and installation, and recorded at gross or net amount according to the criteria established in Emerging Issues Task Force ("EITF") 99-19 "Recording Revenue Gross as a Principal versus Net as an Agent" and SAB 101. Maintenance revenue is recognized ratably over the term of the maintenance agreement, which in most cases is one year or less. As a result of a significant portion of the Company's revenue being subject to the percentage of completion accounting method, the Company's annual and quarterly operating results may be significantly affected by the size and timing of customer projects and the Company's progress in completing such projects.</w:t>
      </w:r>
    </w:p>
    <w:p>
      <w:pPr>
        <w:spacing w:after="0" w:line="104" w:lineRule="exact"/>
        <w:rPr>
          <w:sz w:val="20"/>
          <w:szCs w:val="20"/>
          <w:color w:val="auto"/>
        </w:rPr>
      </w:pPr>
    </w:p>
    <w:p>
      <w:pPr>
        <w:ind w:right="1999" w:firstLine="527"/>
        <w:spacing w:after="0" w:line="306" w:lineRule="auto"/>
        <w:rPr>
          <w:sz w:val="20"/>
          <w:szCs w:val="20"/>
          <w:color w:val="auto"/>
        </w:rPr>
      </w:pPr>
      <w:r>
        <w:rPr>
          <w:rFonts w:ascii="Courier New" w:cs="Courier New" w:eastAsia="Courier New" w:hAnsi="Courier New"/>
          <w:sz w:val="16"/>
          <w:szCs w:val="16"/>
          <w:color w:val="auto"/>
        </w:rPr>
        <w:t>Many of the Company's agreements include multiple deliverables. For these multiple elements arrangements, the fair value of each component is determined based on specific objective evidence for that element and revenue is allocated to each component based upon its fair value. The revenue associated with each element is recognized using the respective methodology discussed above.</w:t>
      </w:r>
    </w:p>
    <w:p>
      <w:pPr>
        <w:spacing w:after="0" w:line="60" w:lineRule="exact"/>
        <w:rPr>
          <w:sz w:val="20"/>
          <w:szCs w:val="20"/>
          <w:color w:val="auto"/>
        </w:rPr>
      </w:pPr>
    </w:p>
    <w:p>
      <w:pPr>
        <w:ind w:right="1779" w:firstLine="527"/>
        <w:spacing w:after="0" w:line="289" w:lineRule="auto"/>
        <w:rPr>
          <w:sz w:val="20"/>
          <w:szCs w:val="20"/>
          <w:color w:val="auto"/>
        </w:rPr>
      </w:pPr>
      <w:r>
        <w:rPr>
          <w:rFonts w:ascii="Courier New" w:cs="Courier New" w:eastAsia="Courier New" w:hAnsi="Courier New"/>
          <w:sz w:val="16"/>
          <w:szCs w:val="16"/>
          <w:color w:val="auto"/>
        </w:rPr>
        <w:t>In circumstances where the Company enters into a contract with a customer for the provision of Managed Services for a defined period of time, the Company defers, in accordance with SAB 101, certain costs incurred by the Company at the inception of the contract. These costs include costs associated with migration of data and the establishment of software interfaces. The deferred costs are amortized on a straight-line basis over the life of the respective customer contract. Revenue associated with these capitalized costs is deferred and will be recognized over the life of the respective customer contract.</w:t>
      </w:r>
    </w:p>
    <w:p>
      <w:pPr>
        <w:spacing w:after="0" w:line="77" w:lineRule="exact"/>
        <w:rPr>
          <w:sz w:val="20"/>
          <w:szCs w:val="20"/>
          <w:color w:val="auto"/>
        </w:rPr>
      </w:pPr>
    </w:p>
    <w:p>
      <w:pPr>
        <w:ind w:right="1999" w:firstLine="527"/>
        <w:spacing w:after="0" w:line="402" w:lineRule="auto"/>
        <w:rPr>
          <w:sz w:val="20"/>
          <w:szCs w:val="20"/>
          <w:color w:val="auto"/>
        </w:rPr>
      </w:pPr>
      <w:r>
        <w:rPr>
          <w:rFonts w:ascii="Courier New" w:cs="Courier New" w:eastAsia="Courier New" w:hAnsi="Courier New"/>
          <w:sz w:val="16"/>
          <w:szCs w:val="16"/>
          <w:color w:val="auto"/>
        </w:rPr>
        <w:t>In cases where extended payment terms exist and revenue is deferred until payments are due, related costs are capitalized and recognized accordingly.</w:t>
      </w:r>
    </w:p>
    <w:p>
      <w:pPr>
        <w:spacing w:after="0" w:line="1" w:lineRule="exact"/>
        <w:rPr>
          <w:sz w:val="20"/>
          <w:szCs w:val="20"/>
          <w:color w:val="auto"/>
        </w:rPr>
      </w:pPr>
    </w:p>
    <w:p>
      <w:pPr>
        <w:ind w:right="2099" w:firstLine="527"/>
        <w:spacing w:after="0" w:line="298" w:lineRule="auto"/>
        <w:rPr>
          <w:sz w:val="20"/>
          <w:szCs w:val="20"/>
          <w:color w:val="auto"/>
        </w:rPr>
      </w:pPr>
      <w:r>
        <w:rPr>
          <w:rFonts w:ascii="Courier New" w:cs="Courier New" w:eastAsia="Courier New" w:hAnsi="Courier New"/>
          <w:sz w:val="16"/>
          <w:szCs w:val="16"/>
          <w:color w:val="auto"/>
        </w:rPr>
        <w:t>Deferred revenue represents billings to customers for licenses, services and third-party products for which revenue has not been recognized. Unbilled accounts receivable include all amounts that had not been billed as of the balance sheet date due to contractual or other arrangements with customers. Allowances that are netted against accounts receivable represent amounts provided for accounts, which their collectibility is not reasonably assured.</w:t>
      </w:r>
    </w:p>
    <w:p>
      <w:pPr>
        <w:spacing w:after="0" w:line="68" w:lineRule="exact"/>
        <w:rPr>
          <w:sz w:val="20"/>
          <w:szCs w:val="20"/>
          <w:color w:val="auto"/>
        </w:rPr>
      </w:pPr>
    </w:p>
    <w:p>
      <w:pPr>
        <w:ind w:right="1779" w:firstLine="527"/>
        <w:spacing w:after="0" w:line="274" w:lineRule="auto"/>
        <w:rPr>
          <w:sz w:val="20"/>
          <w:szCs w:val="20"/>
          <w:color w:val="auto"/>
        </w:rPr>
      </w:pPr>
      <w:r>
        <w:rPr>
          <w:rFonts w:ascii="Courier New" w:cs="Courier New" w:eastAsia="Courier New" w:hAnsi="Courier New"/>
          <w:sz w:val="18"/>
          <w:szCs w:val="18"/>
          <w:color w:val="auto"/>
        </w:rPr>
        <w:t>Included in service revenue are sales of third-party products. Revenue from sales of such products includes third-party computer hardware and computer software products and was less than 10% of total revenue in each of fiscal 2003, 2002 and 2001.</w:t>
      </w:r>
    </w:p>
    <w:p>
      <w:pPr>
        <w:spacing w:after="0" w:line="8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COST OF LICENSE AND COST OF SERVICE</w:t>
      </w:r>
    </w:p>
    <w:p>
      <w:pPr>
        <w:spacing w:after="0" w:line="201" w:lineRule="exact"/>
        <w:rPr>
          <w:sz w:val="20"/>
          <w:szCs w:val="20"/>
          <w:color w:val="auto"/>
        </w:rPr>
      </w:pPr>
    </w:p>
    <w:p>
      <w:pPr>
        <w:ind w:right="1779" w:firstLine="527"/>
        <w:spacing w:after="0" w:line="289" w:lineRule="auto"/>
        <w:rPr>
          <w:sz w:val="20"/>
          <w:szCs w:val="20"/>
          <w:color w:val="auto"/>
        </w:rPr>
      </w:pPr>
      <w:r>
        <w:rPr>
          <w:rFonts w:ascii="Courier New" w:cs="Courier New" w:eastAsia="Courier New" w:hAnsi="Courier New"/>
          <w:sz w:val="16"/>
          <w:szCs w:val="16"/>
          <w:color w:val="auto"/>
        </w:rPr>
        <w:t>Cost of license and service consists of all costs associated with providing services to customers, including identified losses on contracts and warranty expense. Estimated losses on contracts are recognized in the period in which the loss is identified in accordance with SOP 81-1. Estimated costs related to warranty obligations are initially provided at the time the product is delivered and are revised to reflect subsequent changes in circumstances and estimates. Cost of license includes royalty payments to software suppliers, amortization of purchased computer software and intellectual property rights.</w:t>
      </w:r>
    </w:p>
    <w:p>
      <w:pPr>
        <w:spacing w:after="0" w:line="77" w:lineRule="exact"/>
        <w:rPr>
          <w:sz w:val="20"/>
          <w:szCs w:val="20"/>
          <w:color w:val="auto"/>
        </w:rPr>
      </w:pPr>
    </w:p>
    <w:p>
      <w:pPr>
        <w:ind w:right="1779" w:firstLine="527"/>
        <w:spacing w:after="0" w:line="265" w:lineRule="auto"/>
        <w:rPr>
          <w:sz w:val="20"/>
          <w:szCs w:val="20"/>
          <w:color w:val="auto"/>
        </w:rPr>
      </w:pPr>
      <w:r>
        <w:rPr>
          <w:rFonts w:ascii="Courier New" w:cs="Courier New" w:eastAsia="Courier New" w:hAnsi="Courier New"/>
          <w:sz w:val="18"/>
          <w:szCs w:val="18"/>
          <w:color w:val="auto"/>
        </w:rPr>
        <w:t>Included in cost of service are costs of third-party products associated with reselling third-party computer hardware and software products to customers, when revenue from third-party products is recorded at the gross amount. Customers purchasing third-party products from the Company generally do so in conjunction with the purchase of services.</w:t>
      </w:r>
    </w:p>
    <w:p>
      <w:pPr>
        <w:spacing w:after="0" w:line="9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RESEARCH AND DEVELOPMENT</w:t>
      </w:r>
    </w:p>
    <w:p>
      <w:pPr>
        <w:spacing w:after="0" w:line="201" w:lineRule="exact"/>
        <w:rPr>
          <w:sz w:val="20"/>
          <w:szCs w:val="20"/>
          <w:color w:val="auto"/>
        </w:rPr>
      </w:pPr>
    </w:p>
    <w:p>
      <w:pPr>
        <w:ind w:right="1779" w:firstLine="527"/>
        <w:spacing w:after="0" w:line="292" w:lineRule="auto"/>
        <w:rPr>
          <w:sz w:val="20"/>
          <w:szCs w:val="20"/>
          <w:color w:val="auto"/>
        </w:rPr>
      </w:pPr>
      <w:r>
        <w:rPr>
          <w:rFonts w:ascii="Courier New" w:cs="Courier New" w:eastAsia="Courier New" w:hAnsi="Courier New"/>
          <w:sz w:val="18"/>
          <w:szCs w:val="18"/>
          <w:color w:val="auto"/>
        </w:rPr>
        <w:t>Research and development expenditures consist of costs incurred in the development of new software modules and product offerings, either in conjunction with customer projects or as part of the Company's</w:t>
      </w:r>
    </w:p>
    <w:p>
      <w:pPr>
        <w:spacing w:after="0" w:line="6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F-11</w:t>
      </w:r>
    </w:p>
    <w:p>
      <w:pPr>
        <w:sectPr>
          <w:pgSz w:w="11900" w:h="16838" w:orient="portrait"/>
          <w:cols w:equalWidth="0" w:num="1">
            <w:col w:w="10219"/>
          </w:cols>
          <w:pgMar w:left="240" w:top="488" w:right="1440" w:bottom="1440" w:gutter="0" w:footer="0" w:header="0"/>
        </w:sectPr>
      </w:pPr>
    </w:p>
    <w:bookmarkStart w:id="90" w:name="page91"/>
    <w:bookmarkEnd w:id="90"/>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3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(IN THOUSANDS, EXCEPT PER SHARE DATA)</w:t>
      </w:r>
    </w:p>
    <w:p>
      <w:pPr>
        <w:spacing w:after="0" w:line="169" w:lineRule="exact"/>
        <w:rPr>
          <w:sz w:val="20"/>
          <w:szCs w:val="20"/>
          <w:color w:val="auto"/>
        </w:rPr>
      </w:pPr>
    </w:p>
    <w:p>
      <w:pPr>
        <w:ind w:right="1779"/>
        <w:spacing w:after="0" w:line="347" w:lineRule="auto"/>
        <w:rPr>
          <w:sz w:val="20"/>
          <w:szCs w:val="20"/>
          <w:color w:val="auto"/>
        </w:rPr>
      </w:pPr>
      <w:r>
        <w:rPr>
          <w:rFonts w:ascii="Courier New" w:cs="Courier New" w:eastAsia="Courier New" w:hAnsi="Courier New"/>
          <w:sz w:val="18"/>
          <w:szCs w:val="18"/>
          <w:color w:val="auto"/>
        </w:rPr>
        <w:t>internal product development programs. Research and development costs, which are incurred in conjunction with a customer project, are expensed as incurred.</w:t>
      </w:r>
    </w:p>
    <w:p>
      <w:pPr>
        <w:spacing w:after="0" w:line="18" w:lineRule="exact"/>
        <w:rPr>
          <w:sz w:val="20"/>
          <w:szCs w:val="20"/>
          <w:color w:val="auto"/>
        </w:rPr>
      </w:pPr>
    </w:p>
    <w:p>
      <w:pPr>
        <w:ind w:right="1879" w:firstLine="527"/>
        <w:spacing w:after="0" w:line="256" w:lineRule="auto"/>
        <w:rPr>
          <w:sz w:val="20"/>
          <w:szCs w:val="20"/>
          <w:color w:val="auto"/>
        </w:rPr>
      </w:pPr>
      <w:r>
        <w:rPr>
          <w:rFonts w:ascii="Courier New" w:cs="Courier New" w:eastAsia="Courier New" w:hAnsi="Courier New"/>
          <w:sz w:val="18"/>
          <w:szCs w:val="18"/>
          <w:color w:val="auto"/>
        </w:rPr>
        <w:t>Based on the Company's product development process, technological feasibility, as defined in SFAS No. 86, "Accounting for the Costs of Computer Software to be Sold, Leased or Otherwise Marketed", is established upon completion of a detailed program design or, in the absence thereof, completion of a working model. Costs incurred by the Company after achieving technological feasibility and before the product is ready for customer release have been insignificant.</w:t>
      </w:r>
    </w:p>
    <w:p>
      <w:pPr>
        <w:spacing w:after="0" w:line="98"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EMPLOYEE BENEFIT PLANS</w:t>
      </w:r>
    </w:p>
    <w:p>
      <w:pPr>
        <w:spacing w:after="0" w:line="201" w:lineRule="exact"/>
        <w:rPr>
          <w:sz w:val="20"/>
          <w:szCs w:val="20"/>
          <w:color w:val="auto"/>
        </w:rPr>
      </w:pPr>
    </w:p>
    <w:p>
      <w:pPr>
        <w:jc w:val="both"/>
        <w:ind w:right="2099" w:firstLine="527"/>
        <w:spacing w:after="0" w:line="282" w:lineRule="auto"/>
        <w:rPr>
          <w:sz w:val="20"/>
          <w:szCs w:val="20"/>
          <w:color w:val="auto"/>
        </w:rPr>
      </w:pPr>
      <w:r>
        <w:rPr>
          <w:rFonts w:ascii="Courier New" w:cs="Courier New" w:eastAsia="Courier New" w:hAnsi="Courier New"/>
          <w:sz w:val="16"/>
          <w:szCs w:val="16"/>
          <w:color w:val="auto"/>
        </w:rPr>
        <w:t>The Company maintains a non-contributory defined benefit plan for one of its Canadian subsidiaries that provide for pensions for substantially all of that subsidiary's employees based on length of service and rate of pay.</w:t>
      </w:r>
    </w:p>
    <w:p>
      <w:pPr>
        <w:spacing w:after="0" w:line="1" w:lineRule="exact"/>
        <w:rPr>
          <w:sz w:val="20"/>
          <w:szCs w:val="20"/>
          <w:color w:val="auto"/>
        </w:rPr>
      </w:pPr>
    </w:p>
    <w:p>
      <w:pPr>
        <w:ind w:right="1879"/>
        <w:spacing w:after="0" w:line="295" w:lineRule="auto"/>
        <w:rPr>
          <w:sz w:val="20"/>
          <w:szCs w:val="20"/>
          <w:color w:val="auto"/>
        </w:rPr>
      </w:pPr>
      <w:r>
        <w:rPr>
          <w:rFonts w:ascii="Courier New" w:cs="Courier New" w:eastAsia="Courier New" w:hAnsi="Courier New"/>
          <w:sz w:val="16"/>
          <w:szCs w:val="16"/>
          <w:color w:val="auto"/>
        </w:rPr>
        <w:t>Additionally, the Company provides to these employees other retirement benefits such as certain health care and life insurance benefits on retirement and various disability plans, workers' compensation and medical benefits to former or inactive employees, their beneficiaries and covered dependants, after employment but before retirement, under specified circumstances.</w:t>
      </w:r>
    </w:p>
    <w:p>
      <w:pPr>
        <w:spacing w:after="0" w:line="70" w:lineRule="exact"/>
        <w:rPr>
          <w:sz w:val="20"/>
          <w:szCs w:val="20"/>
          <w:color w:val="auto"/>
        </w:rPr>
      </w:pPr>
    </w:p>
    <w:p>
      <w:pPr>
        <w:ind w:right="1879" w:firstLine="527"/>
        <w:spacing w:after="0" w:line="298" w:lineRule="auto"/>
        <w:rPr>
          <w:sz w:val="20"/>
          <w:szCs w:val="20"/>
          <w:color w:val="auto"/>
        </w:rPr>
      </w:pPr>
      <w:r>
        <w:rPr>
          <w:rFonts w:ascii="Courier New" w:cs="Courier New" w:eastAsia="Courier New" w:hAnsi="Courier New"/>
          <w:sz w:val="16"/>
          <w:szCs w:val="16"/>
          <w:color w:val="auto"/>
        </w:rPr>
        <w:t>The Company accrues its obligations to these employees under employee benefit plans and the related costs net of returns on plan assets. Pension expense and other retirement benefits earned by employees are actuarially determined using the projected benefit method pro-rated on service and based on management's best estimates of expected plan investments performance, salary escalation, retirement ages of employees and expected health care costs.</w:t>
      </w:r>
    </w:p>
    <w:p>
      <w:pPr>
        <w:spacing w:after="0" w:line="68" w:lineRule="exact"/>
        <w:rPr>
          <w:sz w:val="20"/>
          <w:szCs w:val="20"/>
          <w:color w:val="auto"/>
        </w:rPr>
      </w:pPr>
    </w:p>
    <w:p>
      <w:pPr>
        <w:ind w:right="1879" w:firstLine="527"/>
        <w:spacing w:after="0" w:line="252" w:lineRule="auto"/>
        <w:rPr>
          <w:sz w:val="20"/>
          <w:szCs w:val="20"/>
          <w:color w:val="auto"/>
        </w:rPr>
      </w:pPr>
      <w:r>
        <w:rPr>
          <w:rFonts w:ascii="Courier New" w:cs="Courier New" w:eastAsia="Courier New" w:hAnsi="Courier New"/>
          <w:sz w:val="18"/>
          <w:szCs w:val="18"/>
          <w:color w:val="auto"/>
        </w:rPr>
        <w:t>The fair value of the employee benefit plans assets is based on market values. The plan assets are valued at market-related value for the purpose of calculating the expected return on plan assets and the amortization of experience gains and losses. Past service costs, which may arise from plan amendments, are amortized on a straight-line basis over the average remaining service period of the employees active at the date of amendment. The excess of the net actuarial gain (loss) over 10% of the greater of the benefit obligation and the market-related value of plan assets is amortized over the average remaining service period of active employees.</w:t>
      </w:r>
    </w:p>
    <w:p>
      <w:pPr>
        <w:spacing w:after="0" w:line="9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STOCK-BASED COMPENSATION</w:t>
      </w:r>
    </w:p>
    <w:p>
      <w:pPr>
        <w:spacing w:after="0" w:line="201" w:lineRule="exact"/>
        <w:rPr>
          <w:sz w:val="20"/>
          <w:szCs w:val="20"/>
          <w:color w:val="auto"/>
        </w:rPr>
      </w:pPr>
    </w:p>
    <w:p>
      <w:pPr>
        <w:ind w:right="1779" w:firstLine="527"/>
        <w:spacing w:after="0" w:line="277" w:lineRule="auto"/>
        <w:rPr>
          <w:sz w:val="20"/>
          <w:szCs w:val="20"/>
          <w:color w:val="auto"/>
        </w:rPr>
      </w:pPr>
      <w:r>
        <w:rPr>
          <w:rFonts w:ascii="Courier New" w:cs="Courier New" w:eastAsia="Courier New" w:hAnsi="Courier New"/>
          <w:sz w:val="16"/>
          <w:szCs w:val="16"/>
          <w:color w:val="auto"/>
        </w:rPr>
        <w:t>The Company accounts for stock-based compensation in accordance with Accounting Principles Board ("APB") Opinion No. 25, "Accounting for Stock Issued to Employees". Pursuant to this accounting standard, the Company records deferred compensation for share options granted to employees at the date of grant based on the difference between the exercise price of the options and the market value of the underlying shares at that date. Deferred compensation is amortized to compensation expense over the vesting period of the underlying options. No compensation expense is recorded for stock options that are granted to employees and directors at an exercise price equal to the fair market value of the Ordinary Shares at the time of the grant. Net income (loss) for the years ended September 30, 2003, 2002 and 2001, reflect employee stock-based compensation cost of $0, $185 and $979, respectively. Compensation expenses that are deductible in a tax return in a period different from the one in which they are reported as expenses in measuring net income are temporary differences that result in deferred taxes. To the extent that compensation is not recorded for stock-based compensation, the benefit of the related tax deduction is recorded as an increase to additional paid-in capital in the period of the tax reduction.</w:t>
      </w:r>
    </w:p>
    <w:p>
      <w:pPr>
        <w:spacing w:after="0" w:line="299" w:lineRule="exact"/>
        <w:rPr>
          <w:sz w:val="20"/>
          <w:szCs w:val="20"/>
          <w:color w:val="auto"/>
        </w:rPr>
      </w:pPr>
    </w:p>
    <w:p>
      <w:pPr>
        <w:ind w:right="1879" w:firstLine="527"/>
        <w:spacing w:after="0" w:line="274" w:lineRule="auto"/>
        <w:rPr>
          <w:sz w:val="20"/>
          <w:szCs w:val="20"/>
          <w:color w:val="auto"/>
        </w:rPr>
      </w:pPr>
      <w:r>
        <w:rPr>
          <w:rFonts w:ascii="Courier New" w:cs="Courier New" w:eastAsia="Courier New" w:hAnsi="Courier New"/>
          <w:sz w:val="18"/>
          <w:szCs w:val="18"/>
          <w:color w:val="auto"/>
        </w:rPr>
        <w:t>In December 2002, the Financial Accounting Standards Board ("FASB") issued SFAS No. 148, "Accounting for Stock-Based Compensation -- Transition and Disclosure -- an Amendment of FASB Statement No. 123". SFAS No. 148 amends SFAS No. 123 to provide alternative methods of transition for a</w:t>
      </w:r>
    </w:p>
    <w:p>
      <w:pPr>
        <w:spacing w:after="0" w:line="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F-12</w:t>
      </w:r>
    </w:p>
    <w:p>
      <w:pPr>
        <w:sectPr>
          <w:pgSz w:w="11900" w:h="16838" w:orient="portrait"/>
          <w:cols w:equalWidth="0" w:num="1">
            <w:col w:w="10219"/>
          </w:cols>
          <w:pgMar w:left="240" w:top="488" w:right="1440" w:bottom="1440" w:gutter="0" w:footer="0" w:header="0"/>
        </w:sectPr>
      </w:pPr>
    </w:p>
    <w:bookmarkStart w:id="91" w:name="page92"/>
    <w:bookmarkEnd w:id="91"/>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3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(IN THOUSANDS, EXCEPT PER SHARE DATA)</w:t>
      </w:r>
    </w:p>
    <w:p>
      <w:pPr>
        <w:spacing w:after="0" w:line="169" w:lineRule="exact"/>
        <w:rPr>
          <w:sz w:val="20"/>
          <w:szCs w:val="20"/>
          <w:color w:val="auto"/>
        </w:rPr>
      </w:pPr>
    </w:p>
    <w:p>
      <w:pPr>
        <w:ind w:right="1779"/>
        <w:spacing w:after="0" w:line="249" w:lineRule="auto"/>
        <w:rPr>
          <w:sz w:val="20"/>
          <w:szCs w:val="20"/>
          <w:color w:val="auto"/>
        </w:rPr>
      </w:pPr>
      <w:r>
        <w:rPr>
          <w:rFonts w:ascii="Courier New" w:cs="Courier New" w:eastAsia="Courier New" w:hAnsi="Courier New"/>
          <w:sz w:val="18"/>
          <w:szCs w:val="18"/>
          <w:color w:val="auto"/>
        </w:rPr>
        <w:t>voluntary change to the fair value-based method of accounting for stock-based employee compensation. In addition, SFAS No. 148 amends the disclosure requirements of SFAS No. 123 to require more prominent disclosures in both annual and interim financial statements regarding the method of accounting for stock-based employee compensation and the effect of the method used on reported results. The alternative methods of transition of SFAS No. 148 are effective for fiscal years ending after December 15, 2002. The disclosure provision of SFAS No. 148 is effective for interim periods beginning after December 15, 2002. The transition and annual disclosure requirements of SFAS No. 148 were effective for the Company commencing January 1, 2003. The Company adopted the disclosure provision during fiscal 2003.</w:t>
      </w:r>
    </w:p>
    <w:p>
      <w:pPr>
        <w:spacing w:after="0" w:line="104" w:lineRule="exact"/>
        <w:rPr>
          <w:sz w:val="20"/>
          <w:szCs w:val="20"/>
          <w:color w:val="auto"/>
        </w:rPr>
      </w:pPr>
    </w:p>
    <w:p>
      <w:pPr>
        <w:ind w:right="1779" w:firstLine="527"/>
        <w:spacing w:after="0" w:line="248" w:lineRule="auto"/>
        <w:rPr>
          <w:sz w:val="20"/>
          <w:szCs w:val="20"/>
          <w:color w:val="auto"/>
        </w:rPr>
      </w:pPr>
      <w:r>
        <w:rPr>
          <w:rFonts w:ascii="Courier New" w:cs="Courier New" w:eastAsia="Courier New" w:hAnsi="Courier New"/>
          <w:sz w:val="18"/>
          <w:szCs w:val="18"/>
          <w:color w:val="auto"/>
        </w:rPr>
        <w:t>The Company determined pro forma net income (loss) and earnings (loss) per share information as if the fair value method described in SFAS No. 123, as amended by SFAS No. 148, had been applied to its employee stock-based compensation. The Company utilized the Black-Scholes option-pricing model to estimate fair value, which is one of several methods that can be used under SFAS No. 123. The Black-Scholes option valuation model was developed for use in estimating the fair value of traded options that have no vesting restrictions and are fully transferable. Option valuation models require the input of highly subjective assumptions, including the expected share price volatility. The Company's options have characteristics significantly different from those of traded options, and changes in the subjective input assumptions can materially affect the fair value estimates.</w:t>
      </w:r>
    </w:p>
    <w:p>
      <w:pPr>
        <w:spacing w:after="0" w:line="105" w:lineRule="exact"/>
        <w:rPr>
          <w:sz w:val="20"/>
          <w:szCs w:val="20"/>
          <w:color w:val="auto"/>
        </w:rPr>
      </w:pPr>
    </w:p>
    <w:p>
      <w:pPr>
        <w:ind w:right="1779" w:firstLine="527"/>
        <w:spacing w:after="0" w:line="292" w:lineRule="auto"/>
        <w:rPr>
          <w:sz w:val="20"/>
          <w:szCs w:val="20"/>
          <w:color w:val="auto"/>
        </w:rPr>
      </w:pPr>
      <w:r>
        <w:rPr>
          <w:rFonts w:ascii="Courier New" w:cs="Courier New" w:eastAsia="Courier New" w:hAnsi="Courier New"/>
          <w:sz w:val="18"/>
          <w:szCs w:val="18"/>
          <w:color w:val="auto"/>
        </w:rPr>
        <w:t>The fair value of options granted was estimated at the date of grant using the Black-Scholes pricing model with the following assumptions for the presented periods (all in weighted averages):</w:t>
      </w:r>
    </w:p>
    <w:p>
      <w:pPr>
        <w:spacing w:after="0" w:line="66"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YEAR ENDED SEPTEMBER 30, ----------</w:t>
      </w:r>
    </w:p>
    <w:p>
      <w:pPr>
        <w:spacing w:after="0" w:line="29"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-------------- 2003 2002 2001 -----</w:t>
      </w:r>
    </w:p>
    <w:p>
      <w:pPr>
        <w:ind w:left="220" w:right="6539" w:hanging="112"/>
        <w:spacing w:after="0" w:line="268" w:lineRule="auto"/>
        <w:tabs>
          <w:tab w:leader="none" w:pos="325"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Risk-free interest rate............................</w:t>
      </w:r>
    </w:p>
    <w:p>
      <w:pPr>
        <w:ind w:left="100"/>
        <w:spacing w:after="0"/>
        <w:rPr>
          <w:sz w:val="20"/>
          <w:szCs w:val="20"/>
          <w:color w:val="auto"/>
        </w:rPr>
      </w:pPr>
      <w:r>
        <w:rPr>
          <w:rFonts w:ascii="Courier New" w:cs="Courier New" w:eastAsia="Courier New" w:hAnsi="Courier New"/>
          <w:sz w:val="18"/>
          <w:szCs w:val="18"/>
          <w:color w:val="auto"/>
        </w:rPr>
        <w:t>2.70% 2.85% 5.15% Expected life of</w:t>
      </w:r>
    </w:p>
    <w:p>
      <w:pPr>
        <w:ind w:left="100"/>
        <w:spacing w:after="0" w:line="238" w:lineRule="auto"/>
        <w:rPr>
          <w:sz w:val="20"/>
          <w:szCs w:val="20"/>
          <w:color w:val="auto"/>
        </w:rPr>
      </w:pPr>
      <w:r>
        <w:rPr>
          <w:rFonts w:ascii="Courier New" w:cs="Courier New" w:eastAsia="Courier New" w:hAnsi="Courier New"/>
          <w:sz w:val="18"/>
          <w:szCs w:val="18"/>
          <w:color w:val="auto"/>
        </w:rPr>
        <w:t>options...........................</w:t>
      </w:r>
    </w:p>
    <w:p>
      <w:pPr>
        <w:jc w:val="center"/>
        <w:ind w:right="6419"/>
        <w:spacing w:after="0"/>
        <w:rPr>
          <w:sz w:val="20"/>
          <w:szCs w:val="20"/>
          <w:color w:val="auto"/>
        </w:rPr>
      </w:pPr>
      <w:r>
        <w:rPr>
          <w:rFonts w:ascii="Courier New" w:cs="Courier New" w:eastAsia="Courier New" w:hAnsi="Courier New"/>
          <w:sz w:val="18"/>
          <w:szCs w:val="18"/>
          <w:color w:val="auto"/>
        </w:rPr>
        <w:t>2.93 2.89 3.26 Expected annual</w:t>
      </w:r>
    </w:p>
    <w:p>
      <w:pPr>
        <w:ind w:left="60"/>
        <w:spacing w:after="0" w:line="238" w:lineRule="auto"/>
        <w:rPr>
          <w:sz w:val="20"/>
          <w:szCs w:val="20"/>
          <w:color w:val="auto"/>
        </w:rPr>
      </w:pPr>
      <w:r>
        <w:rPr>
          <w:rFonts w:ascii="Courier New" w:cs="Courier New" w:eastAsia="Courier New" w:hAnsi="Courier New"/>
          <w:sz w:val="18"/>
          <w:szCs w:val="18"/>
          <w:color w:val="auto"/>
        </w:rPr>
        <w:t>volatility.........................</w:t>
      </w:r>
    </w:p>
    <w:p>
      <w:pPr>
        <w:jc w:val="center"/>
        <w:ind w:right="6419"/>
        <w:spacing w:after="0"/>
        <w:rPr>
          <w:sz w:val="20"/>
          <w:szCs w:val="20"/>
          <w:color w:val="auto"/>
        </w:rPr>
      </w:pPr>
      <w:r>
        <w:rPr>
          <w:rFonts w:ascii="Courier New" w:cs="Courier New" w:eastAsia="Courier New" w:hAnsi="Courier New"/>
          <w:sz w:val="18"/>
          <w:szCs w:val="18"/>
          <w:color w:val="auto"/>
        </w:rPr>
        <w:t>0.568 0.756 0.660 Expected dividend</w:t>
      </w:r>
    </w:p>
    <w:p>
      <w:pPr>
        <w:ind w:left="160"/>
        <w:spacing w:after="0" w:line="238" w:lineRule="auto"/>
        <w:rPr>
          <w:sz w:val="20"/>
          <w:szCs w:val="20"/>
          <w:color w:val="auto"/>
        </w:rPr>
      </w:pPr>
      <w:r>
        <w:rPr>
          <w:rFonts w:ascii="Courier New" w:cs="Courier New" w:eastAsia="Courier New" w:hAnsi="Courier New"/>
          <w:sz w:val="18"/>
          <w:szCs w:val="18"/>
          <w:color w:val="auto"/>
        </w:rPr>
        <w:t>yield............................</w:t>
      </w:r>
    </w:p>
    <w:p>
      <w:pPr>
        <w:jc w:val="center"/>
        <w:ind w:right="6419"/>
        <w:spacing w:after="0"/>
        <w:rPr>
          <w:sz w:val="20"/>
          <w:szCs w:val="20"/>
          <w:color w:val="auto"/>
        </w:rPr>
      </w:pPr>
      <w:r>
        <w:rPr>
          <w:rFonts w:ascii="Courier New" w:cs="Courier New" w:eastAsia="Courier New" w:hAnsi="Courier New"/>
          <w:sz w:val="18"/>
          <w:szCs w:val="18"/>
          <w:color w:val="auto"/>
        </w:rPr>
        <w:t>None None None Fair value per</w:t>
      </w:r>
    </w:p>
    <w:p>
      <w:pPr>
        <w:spacing w:after="0" w:line="238" w:lineRule="auto"/>
        <w:rPr>
          <w:sz w:val="20"/>
          <w:szCs w:val="20"/>
          <w:color w:val="auto"/>
        </w:rPr>
      </w:pPr>
      <w:r>
        <w:rPr>
          <w:rFonts w:ascii="Courier New" w:cs="Courier New" w:eastAsia="Courier New" w:hAnsi="Courier New"/>
          <w:sz w:val="18"/>
          <w:szCs w:val="18"/>
          <w:color w:val="auto"/>
        </w:rPr>
        <w:t>option..............................</w:t>
      </w:r>
    </w:p>
    <w:p>
      <w:pPr>
        <w:ind w:left="840"/>
        <w:spacing w:after="0"/>
        <w:rPr>
          <w:sz w:val="20"/>
          <w:szCs w:val="20"/>
          <w:color w:val="auto"/>
        </w:rPr>
      </w:pPr>
      <w:r>
        <w:rPr>
          <w:rFonts w:ascii="Courier New" w:cs="Courier New" w:eastAsia="Courier New" w:hAnsi="Courier New"/>
          <w:sz w:val="18"/>
          <w:szCs w:val="18"/>
          <w:color w:val="auto"/>
        </w:rPr>
        <w:t>$ 4.00 $10.93 $23.07</w:t>
      </w:r>
    </w:p>
    <w:p>
      <w:pPr>
        <w:spacing w:after="0" w:line="372" w:lineRule="exact"/>
        <w:rPr>
          <w:sz w:val="20"/>
          <w:szCs w:val="20"/>
          <w:color w:val="auto"/>
        </w:rPr>
      </w:pPr>
    </w:p>
    <w:p>
      <w:pPr>
        <w:ind w:right="1879" w:firstLine="527"/>
        <w:spacing w:after="0" w:line="347" w:lineRule="auto"/>
        <w:rPr>
          <w:sz w:val="20"/>
          <w:szCs w:val="20"/>
          <w:color w:val="auto"/>
        </w:rPr>
      </w:pPr>
      <w:r>
        <w:rPr>
          <w:rFonts w:ascii="Courier New" w:cs="Courier New" w:eastAsia="Courier New" w:hAnsi="Courier New"/>
          <w:sz w:val="18"/>
          <w:szCs w:val="18"/>
          <w:color w:val="auto"/>
        </w:rPr>
        <w:t>The pro forma effect on net income (loss) and earnings (loss) per share is as follows for the presented periods:</w:t>
      </w:r>
    </w:p>
    <w:p>
      <w:pPr>
        <w:spacing w:after="0" w:line="18"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YEAR ENDED SEPTEMBER 30, ------------------</w:t>
      </w:r>
    </w:p>
    <w:tbl>
      <w:tblPr>
        <w:tblLayout w:type="fixed"/>
        <w:tblInd w:w="60" w:type="dxa"/>
        <w:tblCellMar>
          <w:top w:w="0" w:type="dxa"/>
          <w:left w:w="0" w:type="dxa"/>
          <w:bottom w:w="0" w:type="dxa"/>
          <w:right w:w="0" w:type="dxa"/>
        </w:tblCellMar>
      </w:tblPr>
      <w:tr>
        <w:trPr>
          <w:trHeight w:val="201"/>
        </w:trPr>
        <w:tc>
          <w:tcPr>
            <w:tcW w:w="1260" w:type="dxa"/>
            <w:vAlign w:val="bottom"/>
          </w:tcPr>
          <w:p>
            <w:pPr>
              <w:spacing w:after="0" w:line="201" w:lineRule="exact"/>
              <w:rPr>
                <w:sz w:val="20"/>
                <w:szCs w:val="20"/>
                <w:color w:val="auto"/>
              </w:rPr>
            </w:pPr>
            <w:r>
              <w:rPr>
                <w:rFonts w:ascii="Courier New" w:cs="Courier New" w:eastAsia="Courier New" w:hAnsi="Courier New"/>
                <w:sz w:val="18"/>
                <w:szCs w:val="18"/>
                <w:color w:val="auto"/>
              </w:rPr>
              <w:t>-----------</w:t>
            </w:r>
          </w:p>
        </w:tc>
        <w:tc>
          <w:tcPr>
            <w:tcW w:w="2320" w:type="dxa"/>
            <w:vAlign w:val="bottom"/>
          </w:tcPr>
          <w:p>
            <w:pPr>
              <w:jc w:val="right"/>
              <w:spacing w:after="0" w:line="201" w:lineRule="exact"/>
              <w:rPr>
                <w:sz w:val="20"/>
                <w:szCs w:val="20"/>
                <w:color w:val="auto"/>
              </w:rPr>
            </w:pPr>
            <w:r>
              <w:rPr>
                <w:rFonts w:ascii="Courier New" w:cs="Courier New" w:eastAsia="Courier New" w:hAnsi="Courier New"/>
                <w:sz w:val="18"/>
                <w:szCs w:val="18"/>
                <w:color w:val="auto"/>
                <w:w w:val="92"/>
              </w:rPr>
              <w:t>2003 2002 2001 --------</w:t>
            </w:r>
          </w:p>
        </w:tc>
        <w:tc>
          <w:tcPr>
            <w:tcW w:w="940" w:type="dxa"/>
            <w:vAlign w:val="bottom"/>
          </w:tcPr>
          <w:p>
            <w:pPr>
              <w:jc w:val="right"/>
              <w:spacing w:after="0" w:line="201" w:lineRule="exact"/>
              <w:rPr>
                <w:sz w:val="20"/>
                <w:szCs w:val="20"/>
                <w:color w:val="auto"/>
              </w:rPr>
            </w:pPr>
            <w:r>
              <w:rPr>
                <w:rFonts w:ascii="Courier New" w:cs="Courier New" w:eastAsia="Courier New" w:hAnsi="Courier New"/>
                <w:sz w:val="18"/>
                <w:szCs w:val="18"/>
                <w:color w:val="auto"/>
              </w:rPr>
              <w:t>-------</w:t>
            </w:r>
          </w:p>
        </w:tc>
      </w:tr>
      <w:tr>
        <w:trPr>
          <w:trHeight w:val="203"/>
        </w:trPr>
        <w:tc>
          <w:tcPr>
            <w:tcW w:w="4520" w:type="dxa"/>
            <w:vAlign w:val="bottom"/>
            <w:gridSpan w:val="3"/>
          </w:tcPr>
          <w:p>
            <w:pPr>
              <w:ind w:left="640"/>
              <w:spacing w:after="0" w:line="203" w:lineRule="exact"/>
              <w:rPr>
                <w:sz w:val="20"/>
                <w:szCs w:val="20"/>
                <w:color w:val="auto"/>
              </w:rPr>
            </w:pPr>
            <w:r>
              <w:rPr>
                <w:rFonts w:ascii="Courier New" w:cs="Courier New" w:eastAsia="Courier New" w:hAnsi="Courier New"/>
                <w:sz w:val="18"/>
                <w:szCs w:val="18"/>
                <w:color w:val="auto"/>
              </w:rPr>
              <w:t>- ------- Net income (loss), as</w:t>
            </w:r>
          </w:p>
        </w:tc>
      </w:tr>
      <w:tr>
        <w:trPr>
          <w:trHeight w:val="235"/>
        </w:trPr>
        <w:tc>
          <w:tcPr>
            <w:tcW w:w="1260" w:type="dxa"/>
            <w:vAlign w:val="bottom"/>
          </w:tcPr>
          <w:p>
            <w:pPr>
              <w:spacing w:after="0"/>
              <w:rPr>
                <w:sz w:val="20"/>
                <w:szCs w:val="20"/>
                <w:color w:val="auto"/>
              </w:rPr>
            </w:pPr>
            <w:r>
              <w:rPr>
                <w:rFonts w:ascii="Courier New" w:cs="Courier New" w:eastAsia="Courier New" w:hAnsi="Courier New"/>
                <w:sz w:val="12"/>
                <w:szCs w:val="12"/>
                <w:color w:val="auto"/>
                <w:w w:val="71"/>
              </w:rPr>
              <w:t>reported................</w:t>
            </w:r>
          </w:p>
        </w:tc>
        <w:tc>
          <w:tcPr>
            <w:tcW w:w="23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$168,883</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w w:val="94"/>
              </w:rPr>
              <w:t>$ (5,061)</w:t>
            </w:r>
          </w:p>
        </w:tc>
      </w:tr>
    </w:tbl>
    <w:p>
      <w:pPr>
        <w:jc w:val="center"/>
        <w:ind w:right="5579"/>
        <w:spacing w:after="0" w:line="238" w:lineRule="auto"/>
        <w:rPr>
          <w:sz w:val="20"/>
          <w:szCs w:val="20"/>
          <w:color w:val="auto"/>
        </w:rPr>
      </w:pPr>
      <w:r>
        <w:rPr>
          <w:rFonts w:ascii="Courier New" w:cs="Courier New" w:eastAsia="Courier New" w:hAnsi="Courier New"/>
          <w:sz w:val="18"/>
          <w:szCs w:val="18"/>
          <w:color w:val="auto"/>
        </w:rPr>
        <w:t>$66,386 Add: Stock-based employee</w:t>
      </w:r>
    </w:p>
    <w:p>
      <w:pPr>
        <w:jc w:val="center"/>
        <w:ind w:right="5579"/>
        <w:spacing w:after="0"/>
        <w:rPr>
          <w:sz w:val="20"/>
          <w:szCs w:val="20"/>
          <w:color w:val="auto"/>
        </w:rPr>
      </w:pPr>
      <w:r>
        <w:rPr>
          <w:rFonts w:ascii="Courier New" w:cs="Courier New" w:eastAsia="Courier New" w:hAnsi="Courier New"/>
          <w:sz w:val="16"/>
          <w:szCs w:val="16"/>
          <w:color w:val="auto"/>
        </w:rPr>
        <w:t>compensation expense included in net income</w:t>
      </w:r>
    </w:p>
    <w:tbl>
      <w:tblPr>
        <w:tblLayout w:type="fixed"/>
        <w:tblInd w:w="60" w:type="dxa"/>
        <w:tblCellMar>
          <w:top w:w="0" w:type="dxa"/>
          <w:left w:w="0" w:type="dxa"/>
          <w:bottom w:w="0" w:type="dxa"/>
          <w:right w:w="0" w:type="dxa"/>
        </w:tblCellMar>
      </w:tblPr>
      <w:tr>
        <w:trPr>
          <w:trHeight w:val="192"/>
        </w:trPr>
        <w:tc>
          <w:tcPr>
            <w:tcW w:w="640" w:type="dxa"/>
            <w:vAlign w:val="bottom"/>
            <w:vMerge w:val="restart"/>
          </w:tcPr>
          <w:p>
            <w:pPr>
              <w:spacing w:after="0"/>
              <w:rPr>
                <w:sz w:val="20"/>
                <w:szCs w:val="20"/>
                <w:color w:val="auto"/>
              </w:rPr>
            </w:pPr>
            <w:r>
              <w:rPr>
                <w:rFonts w:ascii="Courier New" w:cs="Courier New" w:eastAsia="Courier New" w:hAnsi="Courier New"/>
                <w:sz w:val="18"/>
                <w:szCs w:val="18"/>
                <w:color w:val="auto"/>
                <w:w w:val="95"/>
              </w:rPr>
              <w:t>effect</w:t>
            </w:r>
          </w:p>
        </w:tc>
        <w:tc>
          <w:tcPr>
            <w:tcW w:w="3880" w:type="dxa"/>
            <w:vAlign w:val="bottom"/>
          </w:tcPr>
          <w:p>
            <w:pPr>
              <w:jc w:val="right"/>
              <w:ind w:right="792"/>
              <w:spacing w:after="0" w:line="192" w:lineRule="exact"/>
              <w:rPr>
                <w:sz w:val="20"/>
                <w:szCs w:val="20"/>
                <w:color w:val="auto"/>
              </w:rPr>
            </w:pPr>
            <w:r>
              <w:rPr>
                <w:rFonts w:ascii="Courier New" w:cs="Courier New" w:eastAsia="Courier New" w:hAnsi="Courier New"/>
                <w:sz w:val="18"/>
                <w:szCs w:val="18"/>
                <w:color w:val="auto"/>
              </w:rPr>
              <w:t>(loss), net of related tax</w:t>
            </w:r>
          </w:p>
        </w:tc>
        <w:tc>
          <w:tcPr>
            <w:tcW w:w="0" w:type="dxa"/>
            <w:vAlign w:val="bottom"/>
          </w:tcPr>
          <w:p>
            <w:pPr>
              <w:spacing w:after="0"/>
              <w:rPr>
                <w:sz w:val="1"/>
                <w:szCs w:val="1"/>
                <w:color w:val="auto"/>
              </w:rPr>
            </w:pPr>
          </w:p>
        </w:tc>
      </w:tr>
      <w:tr>
        <w:trPr>
          <w:trHeight w:val="235"/>
        </w:trPr>
        <w:tc>
          <w:tcPr>
            <w:tcW w:w="640" w:type="dxa"/>
            <w:vAlign w:val="bottom"/>
            <w:vMerge w:val="continue"/>
          </w:tcPr>
          <w:p>
            <w:pPr>
              <w:spacing w:after="0"/>
              <w:rPr>
                <w:sz w:val="20"/>
                <w:szCs w:val="20"/>
                <w:color w:val="auto"/>
              </w:rPr>
            </w:pPr>
          </w:p>
        </w:tc>
        <w:tc>
          <w:tcPr>
            <w:tcW w:w="3880" w:type="dxa"/>
            <w:vAlign w:val="bottom"/>
          </w:tcPr>
          <w:p>
            <w:pPr>
              <w:jc w:val="right"/>
              <w:spacing w:after="0"/>
              <w:rPr>
                <w:sz w:val="20"/>
                <w:szCs w:val="20"/>
                <w:color w:val="auto"/>
              </w:rPr>
            </w:pPr>
            <w:r>
              <w:rPr>
                <w:rFonts w:ascii="Courier New" w:cs="Courier New" w:eastAsia="Courier New" w:hAnsi="Courier New"/>
                <w:sz w:val="18"/>
                <w:szCs w:val="18"/>
                <w:color w:val="auto"/>
                <w:w w:val="96"/>
              </w:rPr>
              <w:t>.......................... -- 185 979</w:t>
            </w:r>
          </w:p>
        </w:tc>
        <w:tc>
          <w:tcPr>
            <w:tcW w:w="0" w:type="dxa"/>
            <w:vAlign w:val="bottom"/>
          </w:tcPr>
          <w:p>
            <w:pPr>
              <w:spacing w:after="0"/>
              <w:rPr>
                <w:sz w:val="1"/>
                <w:szCs w:val="1"/>
                <w:color w:val="auto"/>
              </w:rPr>
            </w:pPr>
          </w:p>
        </w:tc>
      </w:tr>
    </w:tbl>
    <w:p>
      <w:pPr>
        <w:jc w:val="center"/>
        <w:ind w:right="5579"/>
        <w:spacing w:after="0" w:line="238" w:lineRule="auto"/>
        <w:rPr>
          <w:sz w:val="20"/>
          <w:szCs w:val="20"/>
          <w:color w:val="auto"/>
        </w:rPr>
      </w:pPr>
      <w:r>
        <w:rPr>
          <w:rFonts w:ascii="Courier New" w:cs="Courier New" w:eastAsia="Courier New" w:hAnsi="Courier New"/>
          <w:sz w:val="18"/>
          <w:szCs w:val="18"/>
          <w:color w:val="auto"/>
        </w:rPr>
        <w:t>Less: Total stock-based employee</w:t>
      </w:r>
    </w:p>
    <w:p>
      <w:pPr>
        <w:ind w:left="120"/>
        <w:spacing w:after="0"/>
        <w:rPr>
          <w:sz w:val="20"/>
          <w:szCs w:val="20"/>
          <w:color w:val="auto"/>
        </w:rPr>
      </w:pPr>
      <w:r>
        <w:rPr>
          <w:rFonts w:ascii="Courier New" w:cs="Courier New" w:eastAsia="Courier New" w:hAnsi="Courier New"/>
          <w:sz w:val="18"/>
          <w:szCs w:val="18"/>
          <w:color w:val="auto"/>
        </w:rPr>
        <w:t>compensation expense determined under fair</w:t>
      </w:r>
    </w:p>
    <w:p>
      <w:pPr>
        <w:ind w:left="60"/>
        <w:spacing w:after="0" w:line="238" w:lineRule="auto"/>
        <w:rPr>
          <w:sz w:val="20"/>
          <w:szCs w:val="20"/>
          <w:color w:val="auto"/>
        </w:rPr>
      </w:pPr>
      <w:r>
        <w:rPr>
          <w:rFonts w:ascii="Courier New" w:cs="Courier New" w:eastAsia="Courier New" w:hAnsi="Courier New"/>
          <w:sz w:val="18"/>
          <w:szCs w:val="18"/>
          <w:color w:val="auto"/>
        </w:rPr>
        <w:t>value method for all awards, net of related</w:t>
      </w:r>
    </w:p>
    <w:tbl>
      <w:tblPr>
        <w:tblLayout w:type="fixed"/>
        <w:tblInd w:w="0" w:type="dxa"/>
        <w:tblCellMar>
          <w:top w:w="0" w:type="dxa"/>
          <w:left w:w="0" w:type="dxa"/>
          <w:bottom w:w="0" w:type="dxa"/>
          <w:right w:w="0" w:type="dxa"/>
        </w:tblCellMar>
      </w:tblPr>
      <w:tr>
        <w:trPr>
          <w:trHeight w:val="171"/>
        </w:trPr>
        <w:tc>
          <w:tcPr>
            <w:tcW w:w="3280" w:type="dxa"/>
            <w:vAlign w:val="bottom"/>
          </w:tcPr>
          <w:p>
            <w:pPr>
              <w:jc w:val="center"/>
              <w:ind w:left="1276"/>
              <w:spacing w:after="0" w:line="171" w:lineRule="exact"/>
              <w:rPr>
                <w:sz w:val="20"/>
                <w:szCs w:val="20"/>
                <w:color w:val="auto"/>
              </w:rPr>
            </w:pPr>
            <w:r>
              <w:rPr>
                <w:rFonts w:ascii="Courier New" w:cs="Courier New" w:eastAsia="Courier New" w:hAnsi="Courier New"/>
                <w:sz w:val="18"/>
                <w:szCs w:val="18"/>
                <w:color w:val="auto"/>
                <w:w w:val="98"/>
              </w:rPr>
              <w:t>tax</w:t>
            </w: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280" w:type="dxa"/>
            <w:vAlign w:val="bottom"/>
          </w:tcPr>
          <w:p>
            <w:pPr>
              <w:jc w:val="right"/>
              <w:spacing w:after="0" w:line="202" w:lineRule="exact"/>
              <w:rPr>
                <w:sz w:val="20"/>
                <w:szCs w:val="20"/>
                <w:color w:val="auto"/>
              </w:rPr>
            </w:pPr>
            <w:r>
              <w:rPr>
                <w:rFonts w:ascii="Courier New" w:cs="Courier New" w:eastAsia="Courier New" w:hAnsi="Courier New"/>
                <w:sz w:val="13"/>
                <w:szCs w:val="13"/>
                <w:color w:val="auto"/>
                <w:w w:val="78"/>
              </w:rPr>
              <w:t>effects.....................................</w:t>
            </w:r>
            <w:r>
              <w:rPr>
                <w:rFonts w:ascii="Courier New" w:cs="Courier New" w:eastAsia="Courier New" w:hAnsi="Courier New"/>
                <w:sz w:val="23"/>
                <w:szCs w:val="23"/>
                <w:color w:val="auto"/>
                <w:w w:val="78"/>
                <w:vertAlign w:val="subscript"/>
              </w:rPr>
              <w:t>--------</w:t>
            </w:r>
          </w:p>
        </w:tc>
        <w:tc>
          <w:tcPr>
            <w:tcW w:w="13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280" w:type="dxa"/>
            <w:vAlign w:val="bottom"/>
          </w:tcPr>
          <w:p>
            <w:pPr>
              <w:jc w:val="right"/>
              <w:ind w:right="396"/>
              <w:spacing w:after="0" w:line="203" w:lineRule="exact"/>
              <w:rPr>
                <w:sz w:val="20"/>
                <w:szCs w:val="20"/>
                <w:color w:val="auto"/>
              </w:rPr>
            </w:pPr>
            <w:r>
              <w:rPr>
                <w:rFonts w:ascii="Courier New" w:cs="Courier New" w:eastAsia="Courier New" w:hAnsi="Courier New"/>
                <w:sz w:val="18"/>
                <w:szCs w:val="18"/>
                <w:color w:val="auto"/>
                <w:w w:val="98"/>
              </w:rPr>
              <w:t>(23,539) (94,559) (62,331)</w:t>
            </w:r>
          </w:p>
        </w:tc>
        <w:tc>
          <w:tcPr>
            <w:tcW w:w="13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 ------- Pro forma net income</w:t>
            </w:r>
          </w:p>
        </w:tc>
        <w:tc>
          <w:tcPr>
            <w:tcW w:w="0" w:type="dxa"/>
            <w:vAlign w:val="bottom"/>
          </w:tcPr>
          <w:p>
            <w:pPr>
              <w:spacing w:after="0"/>
              <w:rPr>
                <w:sz w:val="1"/>
                <w:szCs w:val="1"/>
                <w:color w:val="auto"/>
              </w:rPr>
            </w:pPr>
          </w:p>
        </w:tc>
      </w:tr>
      <w:tr>
        <w:trPr>
          <w:trHeight w:val="235"/>
        </w:trPr>
        <w:tc>
          <w:tcPr>
            <w:tcW w:w="3280" w:type="dxa"/>
            <w:vAlign w:val="bottom"/>
          </w:tcPr>
          <w:p>
            <w:pPr>
              <w:jc w:val="right"/>
              <w:ind w:right="36"/>
              <w:spacing w:after="0"/>
              <w:rPr>
                <w:sz w:val="20"/>
                <w:szCs w:val="20"/>
                <w:color w:val="auto"/>
              </w:rPr>
            </w:pPr>
            <w:r>
              <w:rPr>
                <w:rFonts w:ascii="Courier New" w:cs="Courier New" w:eastAsia="Courier New" w:hAnsi="Courier New"/>
                <w:sz w:val="18"/>
                <w:szCs w:val="18"/>
                <w:color w:val="auto"/>
              </w:rPr>
              <w:t>(loss)...................</w:t>
            </w:r>
          </w:p>
        </w:tc>
        <w:tc>
          <w:tcPr>
            <w:tcW w:w="1300" w:type="dxa"/>
            <w:vAlign w:val="bottom"/>
          </w:tcPr>
          <w:p>
            <w:pPr>
              <w:jc w:val="right"/>
              <w:ind w:right="372"/>
              <w:spacing w:after="0"/>
              <w:rPr>
                <w:sz w:val="20"/>
                <w:szCs w:val="20"/>
                <w:color w:val="auto"/>
              </w:rPr>
            </w:pPr>
            <w:r>
              <w:rPr>
                <w:rFonts w:ascii="Courier New" w:cs="Courier New" w:eastAsia="Courier New" w:hAnsi="Courier New"/>
                <w:sz w:val="18"/>
                <w:szCs w:val="18"/>
                <w:color w:val="auto"/>
                <w:w w:val="94"/>
              </w:rPr>
              <w:t>$145,344</w:t>
            </w:r>
          </w:p>
        </w:tc>
        <w:tc>
          <w:tcPr>
            <w:tcW w:w="0" w:type="dxa"/>
            <w:vAlign w:val="bottom"/>
          </w:tcPr>
          <w:p>
            <w:pPr>
              <w:spacing w:after="0"/>
              <w:rPr>
                <w:sz w:val="1"/>
                <w:szCs w:val="1"/>
                <w:color w:val="auto"/>
              </w:rPr>
            </w:pPr>
          </w:p>
        </w:tc>
      </w:tr>
    </w:tbl>
    <w:p>
      <w:pPr>
        <w:jc w:val="center"/>
        <w:ind w:right="5579"/>
        <w:spacing w:after="0"/>
        <w:rPr>
          <w:sz w:val="20"/>
          <w:szCs w:val="20"/>
          <w:color w:val="auto"/>
        </w:rPr>
      </w:pPr>
      <w:r>
        <w:rPr>
          <w:rFonts w:ascii="Courier New" w:cs="Courier New" w:eastAsia="Courier New" w:hAnsi="Courier New"/>
          <w:sz w:val="16"/>
          <w:szCs w:val="16"/>
          <w:color w:val="auto"/>
        </w:rPr>
        <w:t>$(99,435) $ 5,034 ======== ======== =======</w:t>
      </w:r>
    </w:p>
    <w:p>
      <w:pPr>
        <w:spacing w:after="0" w:line="20" w:lineRule="exact"/>
        <w:rPr>
          <w:sz w:val="20"/>
          <w:szCs w:val="20"/>
          <w:color w:val="auto"/>
        </w:rPr>
      </w:pPr>
    </w:p>
    <w:p>
      <w:pPr>
        <w:jc w:val="center"/>
        <w:ind w:right="5579"/>
        <w:spacing w:after="0"/>
        <w:rPr>
          <w:sz w:val="20"/>
          <w:szCs w:val="20"/>
          <w:color w:val="auto"/>
        </w:rPr>
      </w:pPr>
      <w:r>
        <w:rPr>
          <w:rFonts w:ascii="Courier New" w:cs="Courier New" w:eastAsia="Courier New" w:hAnsi="Courier New"/>
          <w:sz w:val="18"/>
          <w:szCs w:val="18"/>
          <w:color w:val="auto"/>
        </w:rPr>
        <w:t>Basic earnings (loss) per share: As</w:t>
      </w:r>
    </w:p>
    <w:tbl>
      <w:tblPr>
        <w:tblLayout w:type="fixed"/>
        <w:tblInd w:w="60" w:type="dxa"/>
        <w:tblCellMar>
          <w:top w:w="0" w:type="dxa"/>
          <w:left w:w="0" w:type="dxa"/>
          <w:bottom w:w="0" w:type="dxa"/>
          <w:right w:w="0" w:type="dxa"/>
        </w:tblCellMar>
      </w:tblPr>
      <w:tr>
        <w:trPr>
          <w:trHeight w:val="171"/>
        </w:trPr>
        <w:tc>
          <w:tcPr>
            <w:tcW w:w="168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4"/>
              </w:rPr>
              <w:t>reported.................................</w:t>
            </w:r>
          </w:p>
        </w:tc>
        <w:tc>
          <w:tcPr>
            <w:tcW w:w="7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$ 0.30</w:t>
            </w:r>
          </w:p>
        </w:tc>
        <w:tc>
          <w:tcPr>
            <w:tcW w:w="2100" w:type="dxa"/>
            <w:vAlign w:val="bottom"/>
          </w:tcPr>
          <w:p>
            <w:pPr>
              <w:jc w:val="right"/>
              <w:spacing w:after="0" w:line="170"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780" w:type="dxa"/>
            <w:vAlign w:val="bottom"/>
          </w:tcPr>
          <w:p>
            <w:pPr>
              <w:jc w:val="right"/>
              <w:ind w:right="31"/>
              <w:spacing w:after="0" w:line="203" w:lineRule="exact"/>
              <w:rPr>
                <w:sz w:val="20"/>
                <w:szCs w:val="20"/>
                <w:color w:val="auto"/>
              </w:rPr>
            </w:pPr>
            <w:r>
              <w:rPr>
                <w:rFonts w:ascii="Courier New" w:cs="Courier New" w:eastAsia="Courier New" w:hAnsi="Courier New"/>
                <w:sz w:val="18"/>
                <w:szCs w:val="18"/>
                <w:color w:val="auto"/>
              </w:rPr>
              <w:t>0.78</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 (0.02)</w:t>
            </w:r>
          </w:p>
        </w:tc>
        <w:tc>
          <w:tcPr>
            <w:tcW w:w="740" w:type="dxa"/>
            <w:vAlign w:val="bottom"/>
            <w:vMerge w:val="continue"/>
          </w:tcPr>
          <w:p>
            <w:pPr>
              <w:spacing w:after="0"/>
              <w:rPr>
                <w:sz w:val="17"/>
                <w:szCs w:val="17"/>
                <w:color w:val="auto"/>
              </w:rPr>
            </w:pPr>
          </w:p>
        </w:tc>
        <w:tc>
          <w:tcPr>
            <w:tcW w:w="2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9"/>
              </w:rPr>
              <w:t>======== ========</w:t>
            </w:r>
          </w:p>
        </w:tc>
        <w:tc>
          <w:tcPr>
            <w:tcW w:w="0" w:type="dxa"/>
            <w:vAlign w:val="bottom"/>
          </w:tcPr>
          <w:p>
            <w:pPr>
              <w:spacing w:after="0"/>
              <w:rPr>
                <w:sz w:val="1"/>
                <w:szCs w:val="1"/>
                <w:color w:val="auto"/>
              </w:rPr>
            </w:pPr>
          </w:p>
        </w:tc>
      </w:tr>
      <w:tr>
        <w:trPr>
          <w:trHeight w:val="203"/>
        </w:trPr>
        <w:tc>
          <w:tcPr>
            <w:tcW w:w="1680" w:type="dxa"/>
            <w:vAlign w:val="bottom"/>
            <w:gridSpan w:val="2"/>
            <w:vMerge w:val="restart"/>
          </w:tcPr>
          <w:p>
            <w:pPr>
              <w:jc w:val="right"/>
              <w:spacing w:after="0"/>
              <w:rPr>
                <w:sz w:val="20"/>
                <w:szCs w:val="20"/>
                <w:color w:val="auto"/>
              </w:rPr>
            </w:pPr>
            <w:r>
              <w:rPr>
                <w:rFonts w:ascii="Courier New" w:cs="Courier New" w:eastAsia="Courier New" w:hAnsi="Courier New"/>
                <w:sz w:val="9"/>
                <w:szCs w:val="9"/>
                <w:color w:val="auto"/>
                <w:w w:val="76"/>
              </w:rPr>
              <w:t>forma...................................</w:t>
            </w:r>
          </w:p>
        </w:tc>
        <w:tc>
          <w:tcPr>
            <w:tcW w:w="2840" w:type="dxa"/>
            <w:vAlign w:val="bottom"/>
            <w:gridSpan w:val="2"/>
          </w:tcPr>
          <w:p>
            <w:pPr>
              <w:jc w:val="right"/>
              <w:ind w:right="1592"/>
              <w:spacing w:after="0" w:line="203" w:lineRule="exact"/>
              <w:rPr>
                <w:sz w:val="20"/>
                <w:szCs w:val="20"/>
                <w:color w:val="auto"/>
              </w:rPr>
            </w:pPr>
            <w:r>
              <w:rPr>
                <w:rFonts w:ascii="Courier New" w:cs="Courier New" w:eastAsia="Courier New" w:hAnsi="Courier New"/>
                <w:sz w:val="18"/>
                <w:szCs w:val="18"/>
                <w:color w:val="auto"/>
                <w:w w:val="95"/>
              </w:rPr>
              <w:t>======= Pro</w:t>
            </w:r>
          </w:p>
        </w:tc>
        <w:tc>
          <w:tcPr>
            <w:tcW w:w="0" w:type="dxa"/>
            <w:vAlign w:val="bottom"/>
          </w:tcPr>
          <w:p>
            <w:pPr>
              <w:spacing w:after="0"/>
              <w:rPr>
                <w:sz w:val="1"/>
                <w:szCs w:val="1"/>
                <w:color w:val="auto"/>
              </w:rPr>
            </w:pPr>
          </w:p>
        </w:tc>
      </w:tr>
      <w:tr>
        <w:trPr>
          <w:trHeight w:val="203"/>
        </w:trPr>
        <w:tc>
          <w:tcPr>
            <w:tcW w:w="780" w:type="dxa"/>
            <w:vAlign w:val="bottom"/>
            <w:vMerge w:val="continue"/>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7"/>
              </w:rPr>
              <w:t>$ (0.45)</w:t>
            </w:r>
          </w:p>
        </w:tc>
        <w:tc>
          <w:tcPr>
            <w:tcW w:w="7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$ 0.02</w:t>
            </w:r>
          </w:p>
        </w:tc>
        <w:tc>
          <w:tcPr>
            <w:tcW w:w="2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780" w:type="dxa"/>
            <w:vAlign w:val="bottom"/>
          </w:tcPr>
          <w:p>
            <w:pPr>
              <w:jc w:val="right"/>
              <w:ind w:right="31"/>
              <w:spacing w:after="0" w:line="203" w:lineRule="exact"/>
              <w:rPr>
                <w:sz w:val="20"/>
                <w:szCs w:val="20"/>
                <w:color w:val="auto"/>
              </w:rPr>
            </w:pPr>
            <w:r>
              <w:rPr>
                <w:rFonts w:ascii="Courier New" w:cs="Courier New" w:eastAsia="Courier New" w:hAnsi="Courier New"/>
                <w:sz w:val="18"/>
                <w:szCs w:val="18"/>
                <w:color w:val="auto"/>
              </w:rPr>
              <w:t>0.67</w:t>
            </w:r>
          </w:p>
        </w:tc>
        <w:tc>
          <w:tcPr>
            <w:tcW w:w="90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2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9"/>
              </w:rPr>
              <w:t>======== ========</w:t>
            </w:r>
          </w:p>
        </w:tc>
        <w:tc>
          <w:tcPr>
            <w:tcW w:w="0" w:type="dxa"/>
            <w:vAlign w:val="bottom"/>
          </w:tcPr>
          <w:p>
            <w:pPr>
              <w:spacing w:after="0"/>
              <w:rPr>
                <w:sz w:val="1"/>
                <w:szCs w:val="1"/>
                <w:color w:val="auto"/>
              </w:rPr>
            </w:pPr>
          </w:p>
        </w:tc>
      </w:tr>
      <w:tr>
        <w:trPr>
          <w:trHeight w:val="203"/>
        </w:trPr>
        <w:tc>
          <w:tcPr>
            <w:tcW w:w="1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 Diluted</w:t>
            </w:r>
          </w:p>
        </w:tc>
        <w:tc>
          <w:tcPr>
            <w:tcW w:w="2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earnings (loss) per share:</w:t>
            </w:r>
          </w:p>
        </w:tc>
        <w:tc>
          <w:tcPr>
            <w:tcW w:w="0" w:type="dxa"/>
            <w:vAlign w:val="bottom"/>
          </w:tcPr>
          <w:p>
            <w:pPr>
              <w:spacing w:after="0"/>
              <w:rPr>
                <w:sz w:val="1"/>
                <w:szCs w:val="1"/>
                <w:color w:val="auto"/>
              </w:rPr>
            </w:pPr>
          </w:p>
        </w:tc>
      </w:tr>
      <w:tr>
        <w:trPr>
          <w:trHeight w:val="296"/>
        </w:trPr>
        <w:tc>
          <w:tcPr>
            <w:tcW w:w="1680" w:type="dxa"/>
            <w:vAlign w:val="bottom"/>
            <w:gridSpan w:val="2"/>
            <w:vMerge w:val="restart"/>
          </w:tcPr>
          <w:p>
            <w:pPr>
              <w:jc w:val="right"/>
              <w:spacing w:after="0"/>
              <w:rPr>
                <w:sz w:val="20"/>
                <w:szCs w:val="20"/>
                <w:color w:val="auto"/>
              </w:rPr>
            </w:pPr>
            <w:r>
              <w:rPr>
                <w:rFonts w:ascii="Courier New" w:cs="Courier New" w:eastAsia="Courier New" w:hAnsi="Courier New"/>
                <w:sz w:val="9"/>
                <w:szCs w:val="9"/>
                <w:color w:val="auto"/>
                <w:w w:val="74"/>
              </w:rPr>
              <w:t>reported.................................</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As</w:t>
            </w:r>
          </w:p>
        </w:tc>
        <w:tc>
          <w:tcPr>
            <w:tcW w:w="21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1680" w:type="dxa"/>
            <w:vAlign w:val="bottom"/>
            <w:gridSpan w:val="2"/>
            <w:vMerge w:val="continue"/>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$ 0.29</w:t>
            </w:r>
          </w:p>
        </w:tc>
        <w:tc>
          <w:tcPr>
            <w:tcW w:w="2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96"/>
        </w:trPr>
        <w:tc>
          <w:tcPr>
            <w:tcW w:w="780" w:type="dxa"/>
            <w:vAlign w:val="bottom"/>
          </w:tcPr>
          <w:p>
            <w:pPr>
              <w:jc w:val="right"/>
              <w:ind w:right="31"/>
              <w:spacing w:after="0"/>
              <w:rPr>
                <w:sz w:val="20"/>
                <w:szCs w:val="20"/>
                <w:color w:val="auto"/>
              </w:rPr>
            </w:pPr>
            <w:r>
              <w:rPr>
                <w:rFonts w:ascii="Courier New" w:cs="Courier New" w:eastAsia="Courier New" w:hAnsi="Courier New"/>
                <w:sz w:val="18"/>
                <w:szCs w:val="18"/>
                <w:color w:val="auto"/>
              </w:rPr>
              <w:t>0.77</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w w:val="97"/>
              </w:rPr>
              <w:t>$ (0.02)</w:t>
            </w:r>
          </w:p>
        </w:tc>
        <w:tc>
          <w:tcPr>
            <w:tcW w:w="740" w:type="dxa"/>
            <w:vAlign w:val="bottom"/>
            <w:vMerge w:val="continue"/>
          </w:tcPr>
          <w:p>
            <w:pPr>
              <w:spacing w:after="0"/>
              <w:rPr>
                <w:sz w:val="24"/>
                <w:szCs w:val="24"/>
                <w:color w:val="auto"/>
              </w:rPr>
            </w:pPr>
          </w:p>
        </w:tc>
        <w:tc>
          <w:tcPr>
            <w:tcW w:w="210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9"/>
              </w:rPr>
              <w:t>======== ========</w:t>
            </w:r>
          </w:p>
        </w:tc>
        <w:tc>
          <w:tcPr>
            <w:tcW w:w="0" w:type="dxa"/>
            <w:vAlign w:val="bottom"/>
          </w:tcPr>
          <w:p>
            <w:pPr>
              <w:spacing w:after="0"/>
              <w:rPr>
                <w:sz w:val="1"/>
                <w:szCs w:val="1"/>
                <w:color w:val="auto"/>
              </w:rPr>
            </w:pPr>
          </w:p>
        </w:tc>
      </w:tr>
    </w:tbl>
    <w:p>
      <w:pPr>
        <w:sectPr>
          <w:pgSz w:w="11900" w:h="16838" w:orient="portrait"/>
          <w:cols w:equalWidth="0" w:num="1">
            <w:col w:w="10219"/>
          </w:cols>
          <w:pgMar w:left="240" w:top="488" w:right="1440" w:bottom="0" w:gutter="0" w:footer="0" w:header="0"/>
        </w:sectPr>
      </w:pPr>
    </w:p>
    <w:bookmarkStart w:id="92" w:name="page93"/>
    <w:bookmarkEnd w:id="92"/>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1600" w:type="dxa"/>
            <w:vAlign w:val="bottom"/>
            <w:gridSpan w:val="2"/>
            <w:vMerge w:val="restart"/>
          </w:tcPr>
          <w:p>
            <w:pPr>
              <w:jc w:val="right"/>
              <w:spacing w:after="0"/>
              <w:rPr>
                <w:sz w:val="20"/>
                <w:szCs w:val="20"/>
                <w:color w:val="auto"/>
              </w:rPr>
            </w:pPr>
            <w:r>
              <w:rPr>
                <w:rFonts w:ascii="Courier New" w:cs="Courier New" w:eastAsia="Courier New" w:hAnsi="Courier New"/>
                <w:sz w:val="9"/>
                <w:szCs w:val="9"/>
                <w:color w:val="auto"/>
                <w:w w:val="73"/>
              </w:rPr>
              <w:t>forma...................................</w:t>
            </w:r>
          </w:p>
        </w:tc>
        <w:tc>
          <w:tcPr>
            <w:tcW w:w="2820" w:type="dxa"/>
            <w:vAlign w:val="bottom"/>
          </w:tcPr>
          <w:p>
            <w:pPr>
              <w:jc w:val="center"/>
              <w:ind w:right="1532"/>
              <w:spacing w:after="0"/>
              <w:rPr>
                <w:sz w:val="20"/>
                <w:szCs w:val="20"/>
                <w:color w:val="auto"/>
              </w:rPr>
            </w:pPr>
            <w:r>
              <w:rPr>
                <w:rFonts w:ascii="Courier New" w:cs="Courier New" w:eastAsia="Courier New" w:hAnsi="Courier New"/>
                <w:sz w:val="18"/>
                <w:szCs w:val="18"/>
                <w:color w:val="auto"/>
                <w:w w:val="97"/>
              </w:rPr>
              <w:t>======= Pro</w:t>
            </w:r>
          </w:p>
        </w:tc>
        <w:tc>
          <w:tcPr>
            <w:tcW w:w="0" w:type="dxa"/>
            <w:vAlign w:val="bottom"/>
          </w:tcPr>
          <w:p>
            <w:pPr>
              <w:spacing w:after="0"/>
              <w:rPr>
                <w:sz w:val="1"/>
                <w:szCs w:val="1"/>
                <w:color w:val="auto"/>
              </w:rPr>
            </w:pPr>
          </w:p>
        </w:tc>
      </w:tr>
      <w:tr>
        <w:trPr>
          <w:trHeight w:val="203"/>
        </w:trPr>
        <w:tc>
          <w:tcPr>
            <w:tcW w:w="720" w:type="dxa"/>
            <w:vAlign w:val="bottom"/>
            <w:vMerge w:val="continue"/>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7"/>
              </w:rPr>
              <w:t>$ (0.45)</w:t>
            </w:r>
          </w:p>
        </w:tc>
        <w:tc>
          <w:tcPr>
            <w:tcW w:w="28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720" w:type="dxa"/>
            <w:vAlign w:val="bottom"/>
          </w:tcPr>
          <w:p>
            <w:pPr>
              <w:jc w:val="right"/>
              <w:ind w:right="34"/>
              <w:spacing w:after="0" w:line="203" w:lineRule="exact"/>
              <w:rPr>
                <w:sz w:val="20"/>
                <w:szCs w:val="20"/>
                <w:color w:val="auto"/>
              </w:rPr>
            </w:pPr>
            <w:r>
              <w:rPr>
                <w:rFonts w:ascii="Courier New" w:cs="Courier New" w:eastAsia="Courier New" w:hAnsi="Courier New"/>
                <w:sz w:val="18"/>
                <w:szCs w:val="18"/>
                <w:color w:val="auto"/>
              </w:rPr>
              <w:t>0.67</w:t>
            </w:r>
          </w:p>
        </w:tc>
        <w:tc>
          <w:tcPr>
            <w:tcW w:w="880" w:type="dxa"/>
            <w:vAlign w:val="bottom"/>
            <w:vMerge w:val="continue"/>
          </w:tcPr>
          <w:p>
            <w:pPr>
              <w:spacing w:after="0"/>
              <w:rPr>
                <w:sz w:val="17"/>
                <w:szCs w:val="17"/>
                <w:color w:val="auto"/>
              </w:rPr>
            </w:pPr>
          </w:p>
        </w:tc>
        <w:tc>
          <w:tcPr>
            <w:tcW w:w="28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$ 0.02 ======== ========</w:t>
            </w:r>
          </w:p>
        </w:tc>
        <w:tc>
          <w:tcPr>
            <w:tcW w:w="0" w:type="dxa"/>
            <w:vAlign w:val="bottom"/>
          </w:tcPr>
          <w:p>
            <w:pPr>
              <w:spacing w:after="0"/>
              <w:rPr>
                <w:sz w:val="1"/>
                <w:szCs w:val="1"/>
                <w:color w:val="auto"/>
              </w:rPr>
            </w:pPr>
          </w:p>
        </w:tc>
      </w:tr>
      <w:tr>
        <w:trPr>
          <w:trHeight w:val="296"/>
        </w:trPr>
        <w:tc>
          <w:tcPr>
            <w:tcW w:w="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20" w:type="dxa"/>
            <w:vAlign w:val="bottom"/>
          </w:tcPr>
          <w:p>
            <w:pPr>
              <w:jc w:val="right"/>
              <w:ind w:right="175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right="1779" w:firstLine="527"/>
        <w:spacing w:after="0" w:line="292" w:lineRule="auto"/>
        <w:rPr>
          <w:sz w:val="20"/>
          <w:szCs w:val="20"/>
          <w:color w:val="auto"/>
        </w:rPr>
      </w:pPr>
      <w:r>
        <w:rPr>
          <w:rFonts w:ascii="Courier New" w:cs="Courier New" w:eastAsia="Courier New" w:hAnsi="Courier New"/>
          <w:sz w:val="18"/>
          <w:szCs w:val="18"/>
          <w:color w:val="auto"/>
        </w:rPr>
        <w:t>The pro forma results for fiscal years 2002 and 2001 have been modified due to a recalculation of the amounts for such years. These recalculations resulted in a reduction of pro forma stock-based</w:t>
      </w:r>
    </w:p>
    <w:p>
      <w:pPr>
        <w:spacing w:after="0" w:line="6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F-13</w:t>
      </w:r>
    </w:p>
    <w:p>
      <w:pPr>
        <w:sectPr>
          <w:pgSz w:w="11900" w:h="16838" w:orient="portrait"/>
          <w:cols w:equalWidth="0" w:num="1">
            <w:col w:w="10219"/>
          </w:cols>
          <w:pgMar w:left="240" w:top="108" w:right="1440" w:bottom="1440" w:gutter="0" w:footer="0" w:header="0"/>
        </w:sectPr>
      </w:pPr>
    </w:p>
    <w:bookmarkStart w:id="93" w:name="page94"/>
    <w:bookmarkEnd w:id="93"/>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3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(IN THOUSANDS, EXCEPT PER SHARE DATA)</w:t>
      </w:r>
    </w:p>
    <w:p>
      <w:pPr>
        <w:spacing w:after="0" w:line="169" w:lineRule="exact"/>
        <w:rPr>
          <w:sz w:val="20"/>
          <w:szCs w:val="20"/>
          <w:color w:val="auto"/>
        </w:rPr>
      </w:pPr>
    </w:p>
    <w:p>
      <w:pPr>
        <w:ind w:right="1779"/>
        <w:spacing w:after="0" w:line="274" w:lineRule="auto"/>
        <w:rPr>
          <w:sz w:val="20"/>
          <w:szCs w:val="20"/>
          <w:color w:val="auto"/>
        </w:rPr>
      </w:pPr>
      <w:r>
        <w:rPr>
          <w:rFonts w:ascii="Courier New" w:cs="Courier New" w:eastAsia="Courier New" w:hAnsi="Courier New"/>
          <w:sz w:val="18"/>
          <w:szCs w:val="18"/>
          <w:color w:val="auto"/>
        </w:rPr>
        <w:t>compensation expense, net of tax, of $15,789 and $8,536 in fiscal 2002 and 2001, respectively, and increased pro forma diluted earnings per share, or decreased pro forma diluted loss per share, by $0.07 and $0.04 in fiscal 2002 and 2001, respectively.</w:t>
      </w:r>
    </w:p>
    <w:p>
      <w:pPr>
        <w:spacing w:after="0" w:line="8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FAIR VALUE OF FINANCIAL INSTRUMENTS</w:t>
      </w:r>
    </w:p>
    <w:p>
      <w:pPr>
        <w:spacing w:after="0" w:line="201" w:lineRule="exact"/>
        <w:rPr>
          <w:sz w:val="20"/>
          <w:szCs w:val="20"/>
          <w:color w:val="auto"/>
        </w:rPr>
      </w:pPr>
    </w:p>
    <w:p>
      <w:pPr>
        <w:ind w:right="1779" w:firstLine="527"/>
        <w:spacing w:after="0" w:line="253" w:lineRule="auto"/>
        <w:rPr>
          <w:sz w:val="20"/>
          <w:szCs w:val="20"/>
          <w:color w:val="auto"/>
        </w:rPr>
      </w:pPr>
      <w:r>
        <w:rPr>
          <w:rFonts w:ascii="Courier New" w:cs="Courier New" w:eastAsia="Courier New" w:hAnsi="Courier New"/>
          <w:sz w:val="18"/>
          <w:szCs w:val="18"/>
          <w:color w:val="auto"/>
        </w:rPr>
        <w:t>The financial instruments of the Company consist mainly of cash and cash equivalents, short-term interest-bearing investments, accounts receivable, accounts payable, short-term financing arrangements, forward exchange contracts, lease obligations and convertible notes. In view of their nature, the fair value of the financial instruments, including the convertible notes, included in the accounts of the Company does not significantly vary from their carrying amount. The fair values of the Company's foreign currency exchange contracts are estimated based on quoted market prices of comparable contracts.</w:t>
      </w:r>
    </w:p>
    <w:p>
      <w:pPr>
        <w:spacing w:after="0" w:line="1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CONCENTRATION OF CREDIT RISK</w:t>
      </w:r>
    </w:p>
    <w:p>
      <w:pPr>
        <w:spacing w:after="0" w:line="201" w:lineRule="exact"/>
        <w:rPr>
          <w:sz w:val="20"/>
          <w:szCs w:val="20"/>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Financial instruments that potentially subject the Company to concentration of credit risk consist principally of cash and cash equivalents, short-term interest-bearing investments and trade receivables. The Company invests its excess cash primarily in highly liquid U.S. dollar-denominated securities with major U.S. institutions. The Company does not expect any credit losses with respect to these items. The Company's revenue is generated primarily in North America and Europe. To a lesser extent, revenue is generated in the Asia-Pacific region and Latin America. Most customers are among the largest communications and directory publishing companies in the world (or are owned by them). The Company's business is subject to the effects of general global economic conditions and, in particular, market conditions in the communications industry. The Company performs ongoing credit analyses of its customer base and generally does not require collateral. As of September 30, 2003 the Company had two customers that had accounts receivable balances of more than 10% of total accounts receivable, aggregating 27.4% (16.7% and 10.7%).</w:t>
      </w:r>
    </w:p>
    <w:p>
      <w:pPr>
        <w:spacing w:after="0" w:line="29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EARNINGS PER SHARE</w:t>
      </w:r>
    </w:p>
    <w:p>
      <w:pPr>
        <w:spacing w:after="0" w:line="201" w:lineRule="exact"/>
        <w:rPr>
          <w:sz w:val="20"/>
          <w:szCs w:val="20"/>
          <w:color w:val="auto"/>
        </w:rPr>
      </w:pPr>
    </w:p>
    <w:p>
      <w:pPr>
        <w:ind w:right="1779" w:firstLine="527"/>
        <w:spacing w:after="0" w:line="252" w:lineRule="auto"/>
        <w:rPr>
          <w:sz w:val="20"/>
          <w:szCs w:val="20"/>
          <w:color w:val="auto"/>
        </w:rPr>
      </w:pPr>
      <w:r>
        <w:rPr>
          <w:rFonts w:ascii="Courier New" w:cs="Courier New" w:eastAsia="Courier New" w:hAnsi="Courier New"/>
          <w:sz w:val="18"/>
          <w:szCs w:val="18"/>
          <w:color w:val="auto"/>
        </w:rPr>
        <w:t>The Company accounts for earnings per share based on SFAS No. 128 "Earnings per Share". SFAS No. 128 requires companies to compute earnings per share under two different methods, basic and diluted earnings per share, and to disclose the methodology used for the calculations. Basic earnings per share are calculated using the weighted average number of shares outstanding during the period. Diluted earnings per share is computed on the basis of the weighted average number of shares outstanding and the effect of dilutive outstanding stock options using the treasury stock method and the effect of dilutive outstanding convertible notes using the if-converted method.</w:t>
      </w:r>
    </w:p>
    <w:p>
      <w:pPr>
        <w:spacing w:after="0" w:line="9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DERIVATIVES AND HEDGING</w:t>
      </w:r>
    </w:p>
    <w:p>
      <w:pPr>
        <w:spacing w:after="0" w:line="201" w:lineRule="exact"/>
        <w:rPr>
          <w:sz w:val="20"/>
          <w:szCs w:val="20"/>
          <w:color w:val="auto"/>
        </w:rPr>
      </w:pPr>
    </w:p>
    <w:p>
      <w:pPr>
        <w:ind w:right="1779" w:firstLine="527"/>
        <w:spacing w:after="0" w:line="250" w:lineRule="auto"/>
        <w:rPr>
          <w:sz w:val="20"/>
          <w:szCs w:val="20"/>
          <w:color w:val="auto"/>
        </w:rPr>
      </w:pPr>
      <w:r>
        <w:rPr>
          <w:rFonts w:ascii="Courier New" w:cs="Courier New" w:eastAsia="Courier New" w:hAnsi="Courier New"/>
          <w:sz w:val="18"/>
          <w:szCs w:val="18"/>
          <w:color w:val="auto"/>
        </w:rPr>
        <w:t>The Company accounts for derivatives and hedging based on SFAS No. 133, "Accounting for Derivative Instruments and Hedging Activities", as amended and related Interpretations. SFAS No. 133 requires the Company to recognize all derivatives on the balance sheet at fair value. If a derivative meets the definition of a hedge and is so designated, depending on the nature of the hedge, changes in the fair value of the derivative will either be offset against the change in fair value of the hedged assets, liabilities, or firm commitments through earnings or recognized in other comprehensive income until the hedged item is recognized in earnings. The ineffective portion of a derivative's change in fair value is recognized in earnings.</w:t>
      </w:r>
    </w:p>
    <w:p>
      <w:pPr>
        <w:spacing w:after="0" w:line="1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F-14</w:t>
      </w:r>
    </w:p>
    <w:p>
      <w:pPr>
        <w:sectPr>
          <w:pgSz w:w="11900" w:h="16838" w:orient="portrait"/>
          <w:cols w:equalWidth="0" w:num="1">
            <w:col w:w="10219"/>
          </w:cols>
          <w:pgMar w:left="240" w:top="488" w:right="1440" w:bottom="1440" w:gutter="0" w:footer="0" w:header="0"/>
        </w:sectPr>
      </w:pPr>
    </w:p>
    <w:bookmarkStart w:id="94" w:name="page95"/>
    <w:bookmarkEnd w:id="94"/>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3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(IN THOUSANDS, EXCEPT PER SHARE DATA)</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RECLASSIFICATIONS</w:t>
      </w:r>
    </w:p>
    <w:p>
      <w:pPr>
        <w:spacing w:after="0" w:line="201" w:lineRule="exact"/>
        <w:rPr>
          <w:sz w:val="20"/>
          <w:szCs w:val="20"/>
          <w:color w:val="auto"/>
        </w:rPr>
      </w:pPr>
    </w:p>
    <w:p>
      <w:pPr>
        <w:ind w:right="1779" w:firstLine="527"/>
        <w:spacing w:after="0" w:line="347" w:lineRule="auto"/>
        <w:rPr>
          <w:sz w:val="20"/>
          <w:szCs w:val="20"/>
          <w:color w:val="auto"/>
        </w:rPr>
      </w:pPr>
      <w:r>
        <w:rPr>
          <w:rFonts w:ascii="Courier New" w:cs="Courier New" w:eastAsia="Courier New" w:hAnsi="Courier New"/>
          <w:sz w:val="18"/>
          <w:szCs w:val="18"/>
          <w:color w:val="auto"/>
        </w:rPr>
        <w:t>Certain amounts in prior years' financial statements have been reclassified to conform to the current year's presentation.</w:t>
      </w:r>
    </w:p>
    <w:p>
      <w:pPr>
        <w:spacing w:after="0" w:line="18"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ADOPTION OF NEW ACCOUNTING STANDARDS</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Accounting for Revenue Arrangements with Multiple Deliverables</w:t>
      </w:r>
    </w:p>
    <w:p>
      <w:pPr>
        <w:spacing w:after="0" w:line="201" w:lineRule="exact"/>
        <w:rPr>
          <w:sz w:val="20"/>
          <w:szCs w:val="20"/>
          <w:color w:val="auto"/>
        </w:rPr>
      </w:pPr>
    </w:p>
    <w:p>
      <w:pPr>
        <w:ind w:right="1779" w:firstLine="527"/>
        <w:spacing w:after="0" w:line="252" w:lineRule="auto"/>
        <w:rPr>
          <w:sz w:val="20"/>
          <w:szCs w:val="20"/>
          <w:color w:val="auto"/>
        </w:rPr>
      </w:pPr>
      <w:r>
        <w:rPr>
          <w:rFonts w:ascii="Courier New" w:cs="Courier New" w:eastAsia="Courier New" w:hAnsi="Courier New"/>
          <w:sz w:val="18"/>
          <w:szCs w:val="18"/>
          <w:color w:val="auto"/>
        </w:rPr>
        <w:t>In November 2002, the Emerging Issues Task Force ("EITF") reached a consensus on EITF Issue No. 00-21, "Revenue Arrangements With Multiple Deliverables" ("Issue 00-21"). Issue 00-21 provides guidance for determining the unit(s) of accounting in arrangements that include multiple products, services, and/or rights to use assets. Issue 00-21 is effective for revenue arrangements entered into in fiscal periods beginning after June 15, 2003. The Company has adopted Issue 00-21 effective July 1, 2003. The guidance in EITF 00-21 did not modify our previous accounting for transactions that includes multiple deliverables.</w:t>
      </w:r>
    </w:p>
    <w:p>
      <w:pPr>
        <w:spacing w:after="0" w:line="9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Goodwill and Purchased Intangible Assets</w:t>
      </w:r>
    </w:p>
    <w:p>
      <w:pPr>
        <w:spacing w:after="0" w:line="201" w:lineRule="exact"/>
        <w:rPr>
          <w:sz w:val="20"/>
          <w:szCs w:val="20"/>
          <w:color w:val="auto"/>
        </w:rPr>
      </w:pPr>
    </w:p>
    <w:p>
      <w:pPr>
        <w:ind w:right="1779" w:firstLine="527"/>
        <w:spacing w:after="0" w:line="283" w:lineRule="auto"/>
        <w:rPr>
          <w:sz w:val="20"/>
          <w:szCs w:val="20"/>
          <w:color w:val="auto"/>
        </w:rPr>
      </w:pPr>
      <w:r>
        <w:rPr>
          <w:rFonts w:ascii="Courier New" w:cs="Courier New" w:eastAsia="Courier New" w:hAnsi="Courier New"/>
          <w:sz w:val="16"/>
          <w:szCs w:val="16"/>
          <w:color w:val="auto"/>
        </w:rPr>
        <w:t>In June 2001, the FASB issued SFAS No. 141, "Business Combinations", and SFAS No. 142, "Goodwill and Other Intangible Assets". SFAS No. 141 requires that the purchase method of accounting be used for all business combinations initiated after June 30, 2001. SFAS No. 142 is effective for fiscal years beginning after December 15, 2001. Under SFAS No. 142, goodwill and intangible assets deemed to have indefinite lives will no longer be amortized but will be subject to periodic impairment tests in accordance with the Statement. Goodwill impairment is deemed to exist if the net book value of a reporting unit exceeds its estimated fair value. Other intangible assets will continue to be amortized over their useful lives. According to SFAS No. 141's new definition of intangible assets, workforce-in-place was reclassified to goodwill.</w:t>
      </w:r>
    </w:p>
    <w:p>
      <w:pPr>
        <w:spacing w:after="0" w:line="294" w:lineRule="exact"/>
        <w:rPr>
          <w:sz w:val="20"/>
          <w:szCs w:val="20"/>
          <w:color w:val="auto"/>
        </w:rPr>
      </w:pPr>
    </w:p>
    <w:p>
      <w:pPr>
        <w:ind w:right="1779" w:firstLine="527"/>
        <w:spacing w:after="0" w:line="287" w:lineRule="auto"/>
        <w:rPr>
          <w:sz w:val="20"/>
          <w:szCs w:val="20"/>
          <w:color w:val="auto"/>
        </w:rPr>
      </w:pPr>
      <w:r>
        <w:rPr>
          <w:rFonts w:ascii="Courier New" w:cs="Courier New" w:eastAsia="Courier New" w:hAnsi="Courier New"/>
          <w:sz w:val="16"/>
          <w:szCs w:val="16"/>
          <w:color w:val="auto"/>
        </w:rPr>
        <w:t>Effective October 1, 2002 the Company adopted SFAS No. 142. At which time the Company performed the transitional tests of goodwill recorded as of October 1, 2002. Thereafter, an annual impairment test will be performed in the fourth quarter of each fiscal year, or more frequently if impairment indicators are present. As discussed in Note 1 above, the Company and its subsidiaries operate in one operating segment, and this segment comprises its only reporting unit. In calculating the fair value of the operating unit, the Company used a discounted cash flow methodology. There was no impairment of goodwill upon adoption of SFAS No. 142 and there was no impairment at the annual impairment test date.</w:t>
      </w:r>
    </w:p>
    <w:p>
      <w:pPr>
        <w:spacing w:after="0" w:line="75" w:lineRule="exact"/>
        <w:rPr>
          <w:sz w:val="20"/>
          <w:szCs w:val="20"/>
          <w:color w:val="auto"/>
        </w:rPr>
      </w:pPr>
    </w:p>
    <w:p>
      <w:pPr>
        <w:ind w:right="1879" w:firstLine="527"/>
        <w:spacing w:after="0" w:line="292" w:lineRule="auto"/>
        <w:rPr>
          <w:sz w:val="20"/>
          <w:szCs w:val="20"/>
          <w:color w:val="auto"/>
        </w:rPr>
      </w:pPr>
      <w:r>
        <w:rPr>
          <w:rFonts w:ascii="Courier New" w:cs="Courier New" w:eastAsia="Courier New" w:hAnsi="Courier New"/>
          <w:sz w:val="18"/>
          <w:szCs w:val="18"/>
          <w:color w:val="auto"/>
        </w:rPr>
        <w:t>Prior to fiscal 2003, goodwill and workforce-in-place were amortized using the straight-line method over their estimated period of benefit. Net (loss) income and earnings (loss) per share for the twelve</w:t>
      </w:r>
    </w:p>
    <w:p>
      <w:pPr>
        <w:spacing w:after="0" w:line="6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F-15</w:t>
      </w:r>
    </w:p>
    <w:p>
      <w:pPr>
        <w:sectPr>
          <w:pgSz w:w="11900" w:h="16838" w:orient="portrait"/>
          <w:cols w:equalWidth="0" w:num="1">
            <w:col w:w="10219"/>
          </w:cols>
          <w:pgMar w:left="240" w:top="488" w:right="1440" w:bottom="1440" w:gutter="0" w:footer="0" w:header="0"/>
        </w:sectPr>
      </w:pPr>
    </w:p>
    <w:bookmarkStart w:id="95" w:name="page96"/>
    <w:bookmarkEnd w:id="95"/>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3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(IN THOUSANDS, EXCEPT PER SHARE DATA)</w:t>
      </w:r>
    </w:p>
    <w:p>
      <w:pPr>
        <w:spacing w:after="0" w:line="169" w:lineRule="exact"/>
        <w:rPr>
          <w:sz w:val="20"/>
          <w:szCs w:val="20"/>
          <w:color w:val="auto"/>
        </w:rPr>
      </w:pPr>
    </w:p>
    <w:p>
      <w:pPr>
        <w:ind w:right="2199"/>
        <w:spacing w:after="0" w:line="347" w:lineRule="auto"/>
        <w:rPr>
          <w:sz w:val="20"/>
          <w:szCs w:val="20"/>
          <w:color w:val="auto"/>
        </w:rPr>
      </w:pPr>
      <w:r>
        <w:rPr>
          <w:rFonts w:ascii="Courier New" w:cs="Courier New" w:eastAsia="Courier New" w:hAnsi="Courier New"/>
          <w:sz w:val="18"/>
          <w:szCs w:val="18"/>
          <w:color w:val="auto"/>
        </w:rPr>
        <w:t>months ended September 30, 2002 and 2001 adjusted to exclude amortization of goodwill and workforce-in-place, net of tax, are as follows:</w:t>
      </w:r>
    </w:p>
    <w:p>
      <w:pPr>
        <w:spacing w:after="0" w:line="1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YEAR ENDED SEPTEMBER 30, -------------------------</w:t>
      </w:r>
    </w:p>
    <w:tbl>
      <w:tblPr>
        <w:tblLayout w:type="fixed"/>
        <w:tblInd w:w="60" w:type="dxa"/>
        <w:tblCellMar>
          <w:top w:w="0" w:type="dxa"/>
          <w:left w:w="0" w:type="dxa"/>
          <w:bottom w:w="0" w:type="dxa"/>
          <w:right w:w="0" w:type="dxa"/>
        </w:tblCellMar>
      </w:tblPr>
      <w:tr>
        <w:trPr>
          <w:trHeight w:val="201"/>
        </w:trPr>
        <w:tc>
          <w:tcPr>
            <w:tcW w:w="1000" w:type="dxa"/>
            <w:vAlign w:val="bottom"/>
          </w:tcPr>
          <w:p>
            <w:pPr>
              <w:jc w:val="right"/>
              <w:spacing w:after="0" w:line="201" w:lineRule="exact"/>
              <w:rPr>
                <w:sz w:val="20"/>
                <w:szCs w:val="20"/>
                <w:color w:val="auto"/>
              </w:rPr>
            </w:pPr>
            <w:r>
              <w:rPr>
                <w:rFonts w:ascii="Courier New" w:cs="Courier New" w:eastAsia="Courier New" w:hAnsi="Courier New"/>
                <w:sz w:val="18"/>
                <w:szCs w:val="18"/>
                <w:color w:val="auto"/>
                <w:w w:val="94"/>
              </w:rPr>
              <w:t>2002 2001</w:t>
            </w:r>
          </w:p>
        </w:tc>
        <w:tc>
          <w:tcPr>
            <w:tcW w:w="4580" w:type="dxa"/>
            <w:vAlign w:val="bottom"/>
          </w:tcPr>
          <w:p>
            <w:pPr>
              <w:jc w:val="right"/>
              <w:spacing w:after="0" w:line="201" w:lineRule="exact"/>
              <w:rPr>
                <w:sz w:val="20"/>
                <w:szCs w:val="20"/>
                <w:color w:val="auto"/>
              </w:rPr>
            </w:pPr>
            <w:r>
              <w:rPr>
                <w:rFonts w:ascii="Courier New" w:cs="Courier New" w:eastAsia="Courier New" w:hAnsi="Courier New"/>
                <w:sz w:val="18"/>
                <w:szCs w:val="18"/>
                <w:color w:val="auto"/>
                <w:w w:val="98"/>
              </w:rPr>
              <w:t>----------- ----------- Reported net (loss)</w:t>
            </w:r>
          </w:p>
        </w:tc>
      </w:tr>
      <w:tr>
        <w:trPr>
          <w:trHeight w:val="203"/>
        </w:trPr>
        <w:tc>
          <w:tcPr>
            <w:tcW w:w="1000" w:type="dxa"/>
            <w:vAlign w:val="bottom"/>
          </w:tcPr>
          <w:p>
            <w:pPr>
              <w:ind w:left="260"/>
              <w:spacing w:after="0"/>
              <w:rPr>
                <w:sz w:val="20"/>
                <w:szCs w:val="20"/>
                <w:color w:val="auto"/>
              </w:rPr>
            </w:pPr>
            <w:r>
              <w:rPr>
                <w:rFonts w:ascii="Courier New" w:cs="Courier New" w:eastAsia="Courier New" w:hAnsi="Courier New"/>
                <w:sz w:val="4"/>
                <w:szCs w:val="4"/>
                <w:color w:val="auto"/>
                <w:w w:val="83"/>
              </w:rPr>
              <w:t>income..............................</w:t>
            </w:r>
          </w:p>
        </w:tc>
        <w:tc>
          <w:tcPr>
            <w:tcW w:w="4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(5,061) $</w:t>
            </w:r>
          </w:p>
        </w:tc>
      </w:tr>
      <w:tr>
        <w:trPr>
          <w:trHeight w:val="235"/>
        </w:trPr>
        <w:tc>
          <w:tcPr>
            <w:tcW w:w="1000" w:type="dxa"/>
            <w:vAlign w:val="bottom"/>
          </w:tcPr>
          <w:p>
            <w:pPr>
              <w:ind w:left="260"/>
              <w:spacing w:after="0"/>
              <w:rPr>
                <w:sz w:val="20"/>
                <w:szCs w:val="20"/>
                <w:color w:val="auto"/>
              </w:rPr>
            </w:pPr>
            <w:r>
              <w:rPr>
                <w:rFonts w:ascii="Courier New" w:cs="Courier New" w:eastAsia="Courier New" w:hAnsi="Courier New"/>
                <w:sz w:val="18"/>
                <w:szCs w:val="18"/>
                <w:color w:val="auto"/>
              </w:rPr>
              <w:t>66,386</w:t>
            </w:r>
          </w:p>
        </w:tc>
        <w:tc>
          <w:tcPr>
            <w:tcW w:w="458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7"/>
              </w:rPr>
              <w:t>Add back: goodwill and workforce-in-place</w:t>
            </w:r>
          </w:p>
        </w:tc>
      </w:tr>
    </w:tbl>
    <w:p>
      <w:pPr>
        <w:spacing w:after="0" w:line="238" w:lineRule="auto"/>
        <w:rPr>
          <w:sz w:val="20"/>
          <w:szCs w:val="20"/>
          <w:color w:val="auto"/>
        </w:rPr>
      </w:pPr>
      <w:r>
        <w:rPr>
          <w:rFonts w:ascii="Courier New" w:cs="Courier New" w:eastAsia="Courier New" w:hAnsi="Courier New"/>
          <w:sz w:val="18"/>
          <w:szCs w:val="18"/>
          <w:color w:val="auto"/>
        </w:rPr>
        <w:t>amortizations.........................................</w:t>
      </w:r>
    </w:p>
    <w:p>
      <w:pPr>
        <w:ind w:left="1160"/>
        <w:spacing w:after="0"/>
        <w:rPr>
          <w:sz w:val="20"/>
          <w:szCs w:val="20"/>
          <w:color w:val="auto"/>
        </w:rPr>
      </w:pPr>
      <w:r>
        <w:rPr>
          <w:rFonts w:ascii="Courier New" w:cs="Courier New" w:eastAsia="Courier New" w:hAnsi="Courier New"/>
          <w:sz w:val="18"/>
          <w:szCs w:val="18"/>
          <w:color w:val="auto"/>
        </w:rPr>
        <w:t>204,561 204,566 Attributable tax</w:t>
      </w:r>
    </w:p>
    <w:tbl>
      <w:tblPr>
        <w:tblLayout w:type="fixed"/>
        <w:tblInd w:w="120" w:type="dxa"/>
        <w:tblCellMar>
          <w:top w:w="0" w:type="dxa"/>
          <w:left w:w="0" w:type="dxa"/>
          <w:bottom w:w="0" w:type="dxa"/>
          <w:right w:w="0" w:type="dxa"/>
        </w:tblCellMar>
      </w:tblPr>
      <w:tr>
        <w:trPr>
          <w:trHeight w:val="171"/>
        </w:trPr>
        <w:tc>
          <w:tcPr>
            <w:tcW w:w="2520" w:type="dxa"/>
            <w:vAlign w:val="bottom"/>
          </w:tcPr>
          <w:p>
            <w:pPr>
              <w:jc w:val="right"/>
              <w:spacing w:after="0"/>
              <w:rPr>
                <w:sz w:val="20"/>
                <w:szCs w:val="20"/>
                <w:color w:val="auto"/>
              </w:rPr>
            </w:pPr>
            <w:r>
              <w:rPr>
                <w:rFonts w:ascii="Courier New" w:cs="Courier New" w:eastAsia="Courier New" w:hAnsi="Courier New"/>
                <w:sz w:val="15"/>
                <w:szCs w:val="15"/>
                <w:color w:val="auto"/>
                <w:w w:val="71"/>
              </w:rPr>
              <w:t>effect.................................</w:t>
            </w:r>
          </w:p>
        </w:tc>
        <w:tc>
          <w:tcPr>
            <w:tcW w:w="2960" w:type="dxa"/>
            <w:vAlign w:val="bottom"/>
          </w:tcPr>
          <w:p>
            <w:pPr>
              <w:jc w:val="right"/>
              <w:ind w:right="192"/>
              <w:spacing w:after="0" w:line="170" w:lineRule="exact"/>
              <w:rPr>
                <w:sz w:val="20"/>
                <w:szCs w:val="20"/>
                <w:color w:val="auto"/>
              </w:rPr>
            </w:pPr>
            <w:r>
              <w:rPr>
                <w:rFonts w:ascii="Courier New" w:cs="Courier New" w:eastAsia="Courier New" w:hAnsi="Courier New"/>
                <w:sz w:val="18"/>
                <w:szCs w:val="18"/>
                <w:color w:val="auto"/>
              </w:rPr>
              <w:t>(2,717)</w:t>
            </w:r>
          </w:p>
        </w:tc>
      </w:tr>
      <w:tr>
        <w:trPr>
          <w:trHeight w:val="203"/>
        </w:trPr>
        <w:tc>
          <w:tcPr>
            <w:tcW w:w="2520" w:type="dxa"/>
            <w:vAlign w:val="bottom"/>
          </w:tcPr>
          <w:p>
            <w:pPr>
              <w:jc w:val="right"/>
              <w:ind w:right="23"/>
              <w:spacing w:after="0" w:line="203" w:lineRule="exact"/>
              <w:rPr>
                <w:sz w:val="20"/>
                <w:szCs w:val="20"/>
                <w:color w:val="auto"/>
              </w:rPr>
            </w:pPr>
            <w:r>
              <w:rPr>
                <w:rFonts w:ascii="Courier New" w:cs="Courier New" w:eastAsia="Courier New" w:hAnsi="Courier New"/>
                <w:sz w:val="18"/>
                <w:szCs w:val="18"/>
                <w:color w:val="auto"/>
              </w:rPr>
              <w:t>(2,717) --------</w:t>
            </w:r>
          </w:p>
        </w:tc>
        <w:tc>
          <w:tcPr>
            <w:tcW w:w="29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w w:val="96"/>
              </w:rPr>
              <w:t>-------- Adjusted net</w:t>
            </w:r>
          </w:p>
        </w:tc>
      </w:tr>
      <w:tr>
        <w:trPr>
          <w:trHeight w:val="0"/>
        </w:trPr>
        <w:tc>
          <w:tcPr>
            <w:tcW w:w="2520" w:type="dxa"/>
            <w:vAlign w:val="bottom"/>
          </w:tcPr>
          <w:p>
            <w:pPr>
              <w:jc w:val="right"/>
              <w:spacing w:after="0"/>
              <w:rPr>
                <w:sz w:val="20"/>
                <w:szCs w:val="20"/>
                <w:color w:val="auto"/>
              </w:rPr>
            </w:pPr>
            <w:r>
              <w:rPr>
                <w:rFonts w:ascii="Courier New" w:cs="Courier New" w:eastAsia="Courier New" w:hAnsi="Courier New"/>
                <w:sz w:val="13"/>
                <w:szCs w:val="13"/>
                <w:color w:val="auto"/>
                <w:w w:val="74"/>
              </w:rPr>
              <w:t>income.....................................</w:t>
            </w:r>
          </w:p>
        </w:tc>
        <w:tc>
          <w:tcPr>
            <w:tcW w:w="2960" w:type="dxa"/>
            <w:vAlign w:val="bottom"/>
          </w:tcPr>
          <w:p>
            <w:pPr>
              <w:jc w:val="right"/>
              <w:spacing w:after="0"/>
              <w:rPr>
                <w:sz w:val="20"/>
                <w:szCs w:val="20"/>
                <w:color w:val="auto"/>
              </w:rPr>
            </w:pPr>
            <w:r>
              <w:rPr>
                <w:rFonts w:ascii="Courier New" w:cs="Courier New" w:eastAsia="Courier New" w:hAnsi="Courier New"/>
                <w:sz w:val="18"/>
                <w:szCs w:val="18"/>
                <w:color w:val="auto"/>
              </w:rPr>
              <w:t>$196,783</w:t>
            </w:r>
          </w:p>
        </w:tc>
      </w:tr>
    </w:tbl>
    <w:p>
      <w:pPr>
        <w:spacing w:after="0" w:line="203" w:lineRule="exact"/>
        <w:rPr>
          <w:sz w:val="20"/>
          <w:szCs w:val="20"/>
          <w:color w:val="auto"/>
        </w:rPr>
      </w:pPr>
    </w:p>
    <w:p>
      <w:pPr>
        <w:ind w:left="280" w:right="4739" w:hanging="52"/>
        <w:spacing w:after="0" w:line="265" w:lineRule="auto"/>
        <w:rPr>
          <w:sz w:val="20"/>
          <w:szCs w:val="20"/>
          <w:color w:val="auto"/>
        </w:rPr>
      </w:pPr>
      <w:r>
        <w:rPr>
          <w:rFonts w:ascii="Courier New" w:cs="Courier New" w:eastAsia="Courier New" w:hAnsi="Courier New"/>
          <w:sz w:val="18"/>
          <w:szCs w:val="18"/>
          <w:color w:val="auto"/>
        </w:rPr>
        <w:t>$268,235 ======== ======== Adjusted basic earnings per share....................... $ 0.89 $ 1.21 ======== ======== Adjusted diluted earnings per share..................... $ 0.88 $ 1.18 ======== ========</w:t>
      </w:r>
    </w:p>
    <w:p>
      <w:pPr>
        <w:spacing w:after="0" w:line="29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following table presents details of the Company's total goodwill:</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40" w:type="dxa"/>
            <w:vAlign w:val="bottom"/>
          </w:tcPr>
          <w:p>
            <w:pPr>
              <w:spacing w:after="0"/>
              <w:rPr>
                <w:sz w:val="20"/>
                <w:szCs w:val="20"/>
                <w:color w:val="auto"/>
              </w:rPr>
            </w:pPr>
            <w:r>
              <w:rPr>
                <w:rFonts w:ascii="Courier New" w:cs="Courier New" w:eastAsia="Courier New" w:hAnsi="Courier New"/>
                <w:sz w:val="18"/>
                <w:szCs w:val="18"/>
                <w:color w:val="auto"/>
                <w:w w:val="99"/>
              </w:rPr>
              <w:t>As of September 30, 2002....................................</w:t>
            </w:r>
          </w:p>
        </w:tc>
        <w:tc>
          <w:tcPr>
            <w:tcW w:w="10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$705,862</w:t>
            </w:r>
          </w:p>
        </w:tc>
        <w:tc>
          <w:tcPr>
            <w:tcW w:w="0" w:type="dxa"/>
            <w:vAlign w:val="bottom"/>
          </w:tcPr>
          <w:p>
            <w:pPr>
              <w:spacing w:after="0"/>
              <w:rPr>
                <w:sz w:val="1"/>
                <w:szCs w:val="1"/>
                <w:color w:val="auto"/>
              </w:rPr>
            </w:pP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rPr>
              <w:t>Decrease in goodwill as a result of a settlement (see Note</w:t>
            </w:r>
          </w:p>
        </w:tc>
        <w:tc>
          <w:tcPr>
            <w:tcW w:w="10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(13,524)</w:t>
            </w:r>
          </w:p>
        </w:tc>
        <w:tc>
          <w:tcPr>
            <w:tcW w:w="0" w:type="dxa"/>
            <w:vAlign w:val="bottom"/>
          </w:tcPr>
          <w:p>
            <w:pPr>
              <w:spacing w:after="0"/>
              <w:rPr>
                <w:sz w:val="1"/>
                <w:szCs w:val="1"/>
                <w:color w:val="auto"/>
              </w:rPr>
            </w:pP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3)........................................................</w:t>
            </w: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Goodwill resulted from acquisition (see Note 3).............</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104,796</w:t>
            </w:r>
          </w:p>
        </w:tc>
        <w:tc>
          <w:tcPr>
            <w:tcW w:w="0" w:type="dxa"/>
            <w:vAlign w:val="bottom"/>
          </w:tcPr>
          <w:p>
            <w:pPr>
              <w:spacing w:after="0"/>
              <w:rPr>
                <w:sz w:val="1"/>
                <w:szCs w:val="1"/>
                <w:color w:val="auto"/>
              </w:rPr>
            </w:pPr>
          </w:p>
        </w:tc>
      </w:tr>
      <w:tr>
        <w:trPr>
          <w:trHeight w:val="203"/>
        </w:trPr>
        <w:tc>
          <w:tcPr>
            <w:tcW w:w="6440" w:type="dxa"/>
            <w:vAlign w:val="bottom"/>
            <w:vMerge w:val="restart"/>
          </w:tcPr>
          <w:p>
            <w:pPr>
              <w:spacing w:after="0"/>
              <w:rPr>
                <w:sz w:val="20"/>
                <w:szCs w:val="20"/>
                <w:color w:val="auto"/>
              </w:rPr>
            </w:pPr>
            <w:r>
              <w:rPr>
                <w:rFonts w:ascii="Courier New" w:cs="Courier New" w:eastAsia="Courier New" w:hAnsi="Courier New"/>
                <w:sz w:val="18"/>
                <w:szCs w:val="18"/>
                <w:color w:val="auto"/>
                <w:w w:val="99"/>
              </w:rPr>
              <w:t>As of September 30, 2003....................................</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440" w:type="dxa"/>
            <w:vAlign w:val="bottom"/>
            <w:vMerge w:val="continue"/>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$797,134</w:t>
            </w:r>
          </w:p>
        </w:tc>
        <w:tc>
          <w:tcPr>
            <w:tcW w:w="0" w:type="dxa"/>
            <w:vAlign w:val="bottom"/>
          </w:tcPr>
          <w:p>
            <w:pPr>
              <w:spacing w:after="0"/>
              <w:rPr>
                <w:sz w:val="1"/>
                <w:szCs w:val="1"/>
                <w:color w:val="auto"/>
              </w:rPr>
            </w:pPr>
          </w:p>
        </w:tc>
      </w:tr>
      <w:tr>
        <w:trPr>
          <w:trHeight w:val="296"/>
        </w:trPr>
        <w:tc>
          <w:tcPr>
            <w:tcW w:w="6440" w:type="dxa"/>
            <w:vAlign w:val="bottom"/>
          </w:tcPr>
          <w:p>
            <w:pPr>
              <w:spacing w:after="0"/>
              <w:rPr>
                <w:sz w:val="24"/>
                <w:szCs w:val="24"/>
                <w:color w:val="auto"/>
              </w:rPr>
            </w:pPr>
          </w:p>
        </w:tc>
        <w:tc>
          <w:tcPr>
            <w:tcW w:w="10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right="1999" w:firstLine="527"/>
        <w:spacing w:after="0" w:line="402" w:lineRule="auto"/>
        <w:rPr>
          <w:sz w:val="20"/>
          <w:szCs w:val="20"/>
          <w:color w:val="auto"/>
        </w:rPr>
      </w:pPr>
      <w:r>
        <w:rPr>
          <w:rFonts w:ascii="Courier New" w:cs="Courier New" w:eastAsia="Courier New" w:hAnsi="Courier New"/>
          <w:sz w:val="16"/>
          <w:szCs w:val="16"/>
          <w:color w:val="auto"/>
        </w:rPr>
        <w:t>The following table presents details of amortization expense of purchased intangible assets as reported in the consolidated statements of operations:</w:t>
      </w:r>
    </w:p>
    <w:p>
      <w:pPr>
        <w:spacing w:after="0" w:line="1"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YEAR ENDED SEPTEMBER 30, ----------------------</w:t>
      </w:r>
    </w:p>
    <w:tbl>
      <w:tblPr>
        <w:tblLayout w:type="fixed"/>
        <w:tblInd w:w="0" w:type="dxa"/>
        <w:tblCellMar>
          <w:top w:w="0" w:type="dxa"/>
          <w:left w:w="0" w:type="dxa"/>
          <w:bottom w:w="0" w:type="dxa"/>
          <w:right w:w="0" w:type="dxa"/>
        </w:tblCellMar>
      </w:tblPr>
      <w:tr>
        <w:trPr>
          <w:trHeight w:val="201"/>
        </w:trPr>
        <w:tc>
          <w:tcPr>
            <w:tcW w:w="2400" w:type="dxa"/>
            <w:vAlign w:val="bottom"/>
            <w:gridSpan w:val="2"/>
          </w:tcPr>
          <w:p>
            <w:pPr>
              <w:jc w:val="right"/>
              <w:spacing w:after="0" w:line="201" w:lineRule="exact"/>
              <w:rPr>
                <w:sz w:val="20"/>
                <w:szCs w:val="20"/>
                <w:color w:val="auto"/>
              </w:rPr>
            </w:pPr>
            <w:r>
              <w:rPr>
                <w:rFonts w:ascii="Courier New" w:cs="Courier New" w:eastAsia="Courier New" w:hAnsi="Courier New"/>
                <w:sz w:val="18"/>
                <w:szCs w:val="18"/>
                <w:color w:val="auto"/>
              </w:rPr>
              <w:t>----- 2003 2002 2001</w:t>
            </w:r>
          </w:p>
        </w:tc>
        <w:tc>
          <w:tcPr>
            <w:tcW w:w="2600" w:type="dxa"/>
            <w:vAlign w:val="bottom"/>
          </w:tcPr>
          <w:p>
            <w:pPr>
              <w:jc w:val="right"/>
              <w:ind w:right="52"/>
              <w:spacing w:after="0" w:line="201" w:lineRule="exact"/>
              <w:rPr>
                <w:sz w:val="20"/>
                <w:szCs w:val="20"/>
                <w:color w:val="auto"/>
              </w:rPr>
            </w:pPr>
            <w:r>
              <w:rPr>
                <w:rFonts w:ascii="Courier New" w:cs="Courier New" w:eastAsia="Courier New" w:hAnsi="Courier New"/>
                <w:sz w:val="18"/>
                <w:szCs w:val="18"/>
                <w:color w:val="auto"/>
                <w:w w:val="98"/>
              </w:rPr>
              <w:t>------- ------- -------</w:t>
            </w:r>
          </w:p>
        </w:tc>
        <w:tc>
          <w:tcPr>
            <w:tcW w:w="0" w:type="dxa"/>
            <w:vAlign w:val="bottom"/>
          </w:tcPr>
          <w:p>
            <w:pPr>
              <w:spacing w:after="0"/>
              <w:rPr>
                <w:sz w:val="1"/>
                <w:szCs w:val="1"/>
                <w:color w:val="auto"/>
              </w:rPr>
            </w:pPr>
          </w:p>
        </w:tc>
      </w:tr>
      <w:tr>
        <w:trPr>
          <w:trHeight w:val="203"/>
        </w:trPr>
        <w:tc>
          <w:tcPr>
            <w:tcW w:w="1740" w:type="dxa"/>
            <w:vAlign w:val="bottom"/>
            <w:vMerge w:val="restart"/>
          </w:tcPr>
          <w:p>
            <w:pPr>
              <w:jc w:val="right"/>
              <w:spacing w:after="0"/>
              <w:rPr>
                <w:sz w:val="20"/>
                <w:szCs w:val="20"/>
                <w:color w:val="auto"/>
              </w:rPr>
            </w:pPr>
            <w:r>
              <w:rPr>
                <w:rFonts w:ascii="Courier New" w:cs="Courier New" w:eastAsia="Courier New" w:hAnsi="Courier New"/>
                <w:sz w:val="10"/>
                <w:szCs w:val="10"/>
                <w:color w:val="auto"/>
                <w:w w:val="71"/>
              </w:rPr>
              <w:t>license.................................</w:t>
            </w:r>
          </w:p>
        </w:tc>
        <w:tc>
          <w:tcPr>
            <w:tcW w:w="3260" w:type="dxa"/>
            <w:vAlign w:val="bottom"/>
            <w:gridSpan w:val="2"/>
          </w:tcPr>
          <w:p>
            <w:pPr>
              <w:jc w:val="right"/>
              <w:ind w:right="2012"/>
              <w:spacing w:after="0" w:line="203" w:lineRule="exact"/>
              <w:rPr>
                <w:sz w:val="20"/>
                <w:szCs w:val="20"/>
                <w:color w:val="auto"/>
              </w:rPr>
            </w:pPr>
            <w:r>
              <w:rPr>
                <w:rFonts w:ascii="Courier New" w:cs="Courier New" w:eastAsia="Courier New" w:hAnsi="Courier New"/>
                <w:sz w:val="18"/>
                <w:szCs w:val="18"/>
                <w:color w:val="auto"/>
              </w:rPr>
              <w:t>Cost of</w:t>
            </w:r>
          </w:p>
        </w:tc>
        <w:tc>
          <w:tcPr>
            <w:tcW w:w="0" w:type="dxa"/>
            <w:vAlign w:val="bottom"/>
          </w:tcPr>
          <w:p>
            <w:pPr>
              <w:spacing w:after="0"/>
              <w:rPr>
                <w:sz w:val="1"/>
                <w:szCs w:val="1"/>
                <w:color w:val="auto"/>
              </w:rPr>
            </w:pPr>
          </w:p>
        </w:tc>
      </w:tr>
      <w:tr>
        <w:trPr>
          <w:trHeight w:val="203"/>
        </w:trPr>
        <w:tc>
          <w:tcPr>
            <w:tcW w:w="1740" w:type="dxa"/>
            <w:vAlign w:val="bottom"/>
            <w:vMerge w:val="continue"/>
          </w:tcPr>
          <w:p>
            <w:pPr>
              <w:spacing w:after="0"/>
              <w:rPr>
                <w:sz w:val="17"/>
                <w:szCs w:val="17"/>
                <w:color w:val="auto"/>
              </w:rPr>
            </w:pPr>
          </w:p>
        </w:tc>
        <w:tc>
          <w:tcPr>
            <w:tcW w:w="660" w:type="dxa"/>
            <w:vAlign w:val="bottom"/>
          </w:tcPr>
          <w:p>
            <w:pPr>
              <w:spacing w:after="0"/>
              <w:rPr>
                <w:sz w:val="17"/>
                <w:szCs w:val="17"/>
                <w:color w:val="auto"/>
              </w:rPr>
            </w:pPr>
          </w:p>
        </w:tc>
        <w:tc>
          <w:tcPr>
            <w:tcW w:w="26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4,075 $ 3,550 $</w:t>
            </w:r>
          </w:p>
        </w:tc>
        <w:tc>
          <w:tcPr>
            <w:tcW w:w="3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5,577 Amortization of purchased</w:t>
            </w:r>
          </w:p>
        </w:tc>
        <w:tc>
          <w:tcPr>
            <w:tcW w:w="0" w:type="dxa"/>
            <w:vAlign w:val="bottom"/>
          </w:tcPr>
          <w:p>
            <w:pPr>
              <w:spacing w:after="0"/>
              <w:rPr>
                <w:sz w:val="1"/>
                <w:szCs w:val="1"/>
                <w:color w:val="auto"/>
              </w:rPr>
            </w:pPr>
          </w:p>
        </w:tc>
      </w:tr>
      <w:tr>
        <w:trPr>
          <w:trHeight w:val="203"/>
        </w:trPr>
        <w:tc>
          <w:tcPr>
            <w:tcW w:w="24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7"/>
              </w:rPr>
              <w:t>intangible assets.....</w:t>
            </w:r>
          </w:p>
        </w:tc>
        <w:tc>
          <w:tcPr>
            <w:tcW w:w="26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19,940 27,243 15,422 ---</w:t>
            </w:r>
          </w:p>
        </w:tc>
        <w:tc>
          <w:tcPr>
            <w:tcW w:w="0" w:type="dxa"/>
            <w:vAlign w:val="bottom"/>
          </w:tcPr>
          <w:p>
            <w:pPr>
              <w:spacing w:after="0"/>
              <w:rPr>
                <w:sz w:val="1"/>
                <w:szCs w:val="1"/>
                <w:color w:val="auto"/>
              </w:rPr>
            </w:pPr>
          </w:p>
        </w:tc>
      </w:tr>
      <w:tr>
        <w:trPr>
          <w:trHeight w:val="203"/>
        </w:trPr>
        <w:tc>
          <w:tcPr>
            <w:tcW w:w="5000" w:type="dxa"/>
            <w:vAlign w:val="bottom"/>
            <w:gridSpan w:val="3"/>
          </w:tcPr>
          <w:p>
            <w:pPr>
              <w:jc w:val="right"/>
              <w:ind w:right="1332"/>
              <w:spacing w:after="0" w:line="203" w:lineRule="exact"/>
              <w:rPr>
                <w:sz w:val="20"/>
                <w:szCs w:val="20"/>
                <w:color w:val="auto"/>
              </w:rPr>
            </w:pPr>
            <w:r>
              <w:rPr>
                <w:rFonts w:ascii="Courier New" w:cs="Courier New" w:eastAsia="Courier New" w:hAnsi="Courier New"/>
                <w:sz w:val="18"/>
                <w:szCs w:val="18"/>
                <w:color w:val="auto"/>
              </w:rPr>
              <w:t>---- ------- -------</w:t>
            </w:r>
          </w:p>
        </w:tc>
        <w:tc>
          <w:tcPr>
            <w:tcW w:w="0" w:type="dxa"/>
            <w:vAlign w:val="bottom"/>
          </w:tcPr>
          <w:p>
            <w:pPr>
              <w:spacing w:after="0"/>
              <w:rPr>
                <w:sz w:val="1"/>
                <w:szCs w:val="1"/>
                <w:color w:val="auto"/>
              </w:rPr>
            </w:pPr>
          </w:p>
        </w:tc>
      </w:tr>
      <w:tr>
        <w:trPr>
          <w:trHeight w:val="203"/>
        </w:trPr>
        <w:tc>
          <w:tcPr>
            <w:tcW w:w="1740" w:type="dxa"/>
            <w:vAlign w:val="bottom"/>
          </w:tcPr>
          <w:p>
            <w:pPr>
              <w:jc w:val="right"/>
              <w:spacing w:after="0"/>
              <w:rPr>
                <w:sz w:val="20"/>
                <w:szCs w:val="20"/>
                <w:color w:val="auto"/>
              </w:rPr>
            </w:pPr>
            <w:r>
              <w:rPr>
                <w:rFonts w:ascii="Courier New" w:cs="Courier New" w:eastAsia="Courier New" w:hAnsi="Courier New"/>
                <w:sz w:val="8"/>
                <w:szCs w:val="8"/>
                <w:color w:val="auto"/>
                <w:w w:val="74"/>
              </w:rPr>
              <w:t>Total...........................................</w:t>
            </w:r>
          </w:p>
        </w:tc>
        <w:tc>
          <w:tcPr>
            <w:tcW w:w="3260" w:type="dxa"/>
            <w:vAlign w:val="bottom"/>
            <w:gridSpan w:val="2"/>
            <w:vMerge w:val="restart"/>
          </w:tcPr>
          <w:p>
            <w:pPr>
              <w:jc w:val="right"/>
              <w:spacing w:after="0"/>
              <w:rPr>
                <w:sz w:val="20"/>
                <w:szCs w:val="20"/>
                <w:color w:val="auto"/>
              </w:rPr>
            </w:pPr>
            <w:r>
              <w:rPr>
                <w:rFonts w:ascii="Courier New" w:cs="Courier New" w:eastAsia="Courier New" w:hAnsi="Courier New"/>
                <w:sz w:val="18"/>
                <w:szCs w:val="18"/>
                <w:color w:val="auto"/>
                <w:w w:val="96"/>
              </w:rPr>
              <w:t>$20,999 ======= ======= =======</w:t>
            </w:r>
          </w:p>
        </w:tc>
        <w:tc>
          <w:tcPr>
            <w:tcW w:w="0" w:type="dxa"/>
            <w:vAlign w:val="bottom"/>
          </w:tcPr>
          <w:p>
            <w:pPr>
              <w:spacing w:after="0"/>
              <w:rPr>
                <w:sz w:val="1"/>
                <w:szCs w:val="1"/>
                <w:color w:val="auto"/>
              </w:rPr>
            </w:pPr>
          </w:p>
        </w:tc>
      </w:tr>
      <w:tr>
        <w:trPr>
          <w:trHeight w:val="296"/>
        </w:trPr>
        <w:tc>
          <w:tcPr>
            <w:tcW w:w="1740" w:type="dxa"/>
            <w:vAlign w:val="bottom"/>
          </w:tcPr>
          <w:p>
            <w:pPr>
              <w:ind w:left="60"/>
              <w:spacing w:after="0"/>
              <w:rPr>
                <w:sz w:val="20"/>
                <w:szCs w:val="20"/>
                <w:color w:val="auto"/>
              </w:rPr>
            </w:pPr>
            <w:r>
              <w:rPr>
                <w:rFonts w:ascii="Courier New" w:cs="Courier New" w:eastAsia="Courier New" w:hAnsi="Courier New"/>
                <w:sz w:val="18"/>
                <w:szCs w:val="18"/>
                <w:color w:val="auto"/>
              </w:rPr>
              <w:t>$24,015 $30,793</w:t>
            </w:r>
          </w:p>
        </w:tc>
        <w:tc>
          <w:tcPr>
            <w:tcW w:w="32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ind w:right="2419" w:firstLine="527"/>
        <w:spacing w:after="0" w:line="347" w:lineRule="auto"/>
        <w:rPr>
          <w:sz w:val="20"/>
          <w:szCs w:val="20"/>
          <w:color w:val="auto"/>
        </w:rPr>
      </w:pPr>
      <w:r>
        <w:rPr>
          <w:rFonts w:ascii="Courier New" w:cs="Courier New" w:eastAsia="Courier New" w:hAnsi="Courier New"/>
          <w:sz w:val="18"/>
          <w:szCs w:val="18"/>
          <w:color w:val="auto"/>
        </w:rPr>
        <w:t>The following table presents details of the Company's total purchased intangible assets:</w:t>
      </w:r>
    </w:p>
    <w:p>
      <w:pPr>
        <w:spacing w:after="0" w:line="18" w:lineRule="exact"/>
        <w:rPr>
          <w:sz w:val="20"/>
          <w:szCs w:val="20"/>
          <w:color w:val="auto"/>
        </w:rPr>
      </w:pPr>
    </w:p>
    <w:p>
      <w:pPr>
        <w:jc w:val="center"/>
        <w:ind w:right="5459"/>
        <w:spacing w:after="0"/>
        <w:rPr>
          <w:sz w:val="20"/>
          <w:szCs w:val="20"/>
          <w:color w:val="auto"/>
        </w:rPr>
      </w:pPr>
      <w:r>
        <w:rPr>
          <w:rFonts w:ascii="Courier New" w:cs="Courier New" w:eastAsia="Courier New" w:hAnsi="Courier New"/>
          <w:sz w:val="18"/>
          <w:szCs w:val="18"/>
          <w:color w:val="auto"/>
        </w:rPr>
        <w:t>ACCUMULATED GROSS AMORTIZATION NET --------</w:t>
      </w:r>
    </w:p>
    <w:p>
      <w:pPr>
        <w:spacing w:after="0" w:line="29" w:lineRule="exact"/>
        <w:rPr>
          <w:sz w:val="20"/>
          <w:szCs w:val="20"/>
          <w:color w:val="auto"/>
        </w:rPr>
      </w:pPr>
    </w:p>
    <w:p>
      <w:pPr>
        <w:jc w:val="center"/>
        <w:ind w:right="5459"/>
        <w:spacing w:after="0"/>
        <w:rPr>
          <w:sz w:val="20"/>
          <w:szCs w:val="20"/>
          <w:color w:val="auto"/>
        </w:rPr>
      </w:pPr>
      <w:r>
        <w:rPr>
          <w:rFonts w:ascii="Courier New" w:cs="Courier New" w:eastAsia="Courier New" w:hAnsi="Courier New"/>
          <w:sz w:val="18"/>
          <w:szCs w:val="18"/>
          <w:color w:val="auto"/>
        </w:rPr>
        <w:t>------------ ------- SEPTEMBER 30, 2003 Core</w:t>
      </w:r>
    </w:p>
    <w:p>
      <w:pPr>
        <w:jc w:val="center"/>
        <w:ind w:right="5459"/>
        <w:spacing w:after="0" w:line="238" w:lineRule="auto"/>
        <w:rPr>
          <w:sz w:val="20"/>
          <w:szCs w:val="20"/>
          <w:color w:val="auto"/>
        </w:rPr>
      </w:pPr>
      <w:r>
        <w:rPr>
          <w:rFonts w:ascii="Courier New" w:cs="Courier New" w:eastAsia="Courier New" w:hAnsi="Courier New"/>
          <w:sz w:val="18"/>
          <w:szCs w:val="18"/>
          <w:color w:val="auto"/>
        </w:rPr>
        <w:t>technology.............................. $</w:t>
      </w:r>
    </w:p>
    <w:p>
      <w:pPr>
        <w:jc w:val="center"/>
        <w:ind w:right="5459"/>
        <w:spacing w:after="0"/>
        <w:rPr>
          <w:sz w:val="20"/>
          <w:szCs w:val="20"/>
          <w:color w:val="auto"/>
        </w:rPr>
      </w:pPr>
      <w:r>
        <w:rPr>
          <w:rFonts w:ascii="Courier New" w:cs="Courier New" w:eastAsia="Courier New" w:hAnsi="Courier New"/>
          <w:sz w:val="18"/>
          <w:szCs w:val="18"/>
          <w:color w:val="auto"/>
        </w:rPr>
        <w:t>44,535 $ (43,418) $ 1,117 Customer</w:t>
      </w:r>
    </w:p>
    <w:p>
      <w:pPr>
        <w:jc w:val="center"/>
        <w:ind w:right="5459"/>
        <w:spacing w:after="0" w:line="238" w:lineRule="auto"/>
        <w:rPr>
          <w:sz w:val="20"/>
          <w:szCs w:val="20"/>
          <w:color w:val="auto"/>
        </w:rPr>
      </w:pPr>
      <w:r>
        <w:rPr>
          <w:rFonts w:ascii="Courier New" w:cs="Courier New" w:eastAsia="Courier New" w:hAnsi="Courier New"/>
          <w:sz w:val="18"/>
          <w:szCs w:val="18"/>
          <w:color w:val="auto"/>
        </w:rPr>
        <w:t>arrangements........................ 70,073</w:t>
      </w:r>
    </w:p>
    <w:p>
      <w:pPr>
        <w:jc w:val="center"/>
        <w:ind w:right="5459"/>
        <w:spacing w:after="0"/>
        <w:rPr>
          <w:sz w:val="20"/>
          <w:szCs w:val="20"/>
          <w:color w:val="auto"/>
        </w:rPr>
      </w:pPr>
      <w:r>
        <w:rPr>
          <w:rFonts w:ascii="Courier New" w:cs="Courier New" w:eastAsia="Courier New" w:hAnsi="Courier New"/>
          <w:sz w:val="18"/>
          <w:szCs w:val="18"/>
          <w:color w:val="auto"/>
        </w:rPr>
        <w:t>(26,653) 43,420 Intellectual property rights</w:t>
      </w:r>
    </w:p>
    <w:p>
      <w:pPr>
        <w:jc w:val="center"/>
        <w:ind w:right="5459"/>
        <w:spacing w:after="0" w:line="238" w:lineRule="auto"/>
        <w:rPr>
          <w:sz w:val="20"/>
          <w:szCs w:val="20"/>
          <w:color w:val="auto"/>
        </w:rPr>
      </w:pPr>
      <w:r>
        <w:rPr>
          <w:rFonts w:ascii="Courier New" w:cs="Courier New" w:eastAsia="Courier New" w:hAnsi="Courier New"/>
          <w:sz w:val="18"/>
          <w:szCs w:val="18"/>
          <w:color w:val="auto"/>
        </w:rPr>
        <w:t>and purchased computer</w:t>
      </w:r>
    </w:p>
    <w:tbl>
      <w:tblPr>
        <w:tblLayout w:type="fixed"/>
        <w:tblInd w:w="0" w:type="dxa"/>
        <w:tblCellMar>
          <w:top w:w="0" w:type="dxa"/>
          <w:left w:w="0" w:type="dxa"/>
          <w:bottom w:w="0" w:type="dxa"/>
          <w:right w:w="0" w:type="dxa"/>
        </w:tblCellMar>
      </w:tblPr>
      <w:tr>
        <w:trPr>
          <w:trHeight w:val="171"/>
        </w:trPr>
        <w:tc>
          <w:tcPr>
            <w:tcW w:w="2480" w:type="dxa"/>
            <w:vAlign w:val="bottom"/>
            <w:gridSpan w:val="2"/>
          </w:tcPr>
          <w:p>
            <w:pPr>
              <w:jc w:val="right"/>
              <w:spacing w:after="0" w:line="171" w:lineRule="exact"/>
              <w:rPr>
                <w:sz w:val="20"/>
                <w:szCs w:val="20"/>
                <w:color w:val="auto"/>
              </w:rPr>
            </w:pPr>
            <w:r>
              <w:rPr>
                <w:rFonts w:ascii="Courier New" w:cs="Courier New" w:eastAsia="Courier New" w:hAnsi="Courier New"/>
                <w:sz w:val="16"/>
                <w:szCs w:val="16"/>
                <w:color w:val="auto"/>
                <w:w w:val="75"/>
              </w:rPr>
              <w:t>software..........................</w:t>
            </w:r>
          </w:p>
        </w:tc>
        <w:tc>
          <w:tcPr>
            <w:tcW w:w="2160" w:type="dxa"/>
            <w:vAlign w:val="bottom"/>
          </w:tcPr>
          <w:p>
            <w:pPr>
              <w:jc w:val="right"/>
              <w:ind w:right="12"/>
              <w:spacing w:after="0" w:line="171" w:lineRule="exact"/>
              <w:rPr>
                <w:sz w:val="20"/>
                <w:szCs w:val="20"/>
                <w:color w:val="auto"/>
              </w:rPr>
            </w:pPr>
            <w:r>
              <w:rPr>
                <w:rFonts w:ascii="Courier New" w:cs="Courier New" w:eastAsia="Courier New" w:hAnsi="Courier New"/>
                <w:sz w:val="18"/>
                <w:szCs w:val="18"/>
                <w:color w:val="auto"/>
              </w:rPr>
              <w:t>51,996</w:t>
            </w:r>
          </w:p>
        </w:tc>
        <w:tc>
          <w:tcPr>
            <w:tcW w:w="0" w:type="dxa"/>
            <w:vAlign w:val="bottom"/>
          </w:tcPr>
          <w:p>
            <w:pPr>
              <w:spacing w:after="0"/>
              <w:rPr>
                <w:sz w:val="1"/>
                <w:szCs w:val="1"/>
                <w:color w:val="auto"/>
              </w:rPr>
            </w:pPr>
          </w:p>
        </w:tc>
      </w:tr>
      <w:tr>
        <w:trPr>
          <w:trHeight w:val="203"/>
        </w:trPr>
        <w:tc>
          <w:tcPr>
            <w:tcW w:w="2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4"/>
              </w:rPr>
              <w:t>(37,692) 14,304 --------</w:t>
            </w:r>
          </w:p>
        </w:tc>
        <w:tc>
          <w:tcPr>
            <w:tcW w:w="2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c>
          <w:tcPr>
            <w:tcW w:w="0" w:type="dxa"/>
            <w:vAlign w:val="bottom"/>
          </w:tcPr>
          <w:p>
            <w:pPr>
              <w:spacing w:after="0"/>
              <w:rPr>
                <w:sz w:val="1"/>
                <w:szCs w:val="1"/>
                <w:color w:val="auto"/>
              </w:rPr>
            </w:pPr>
          </w:p>
        </w:tc>
      </w:tr>
      <w:tr>
        <w:trPr>
          <w:trHeight w:val="203"/>
        </w:trPr>
        <w:tc>
          <w:tcPr>
            <w:tcW w:w="1320" w:type="dxa"/>
            <w:vAlign w:val="bottom"/>
          </w:tcPr>
          <w:p>
            <w:pPr>
              <w:jc w:val="right"/>
              <w:spacing w:after="0"/>
              <w:rPr>
                <w:sz w:val="20"/>
                <w:szCs w:val="20"/>
                <w:color w:val="auto"/>
              </w:rPr>
            </w:pPr>
            <w:r>
              <w:rPr>
                <w:rFonts w:ascii="Courier New" w:cs="Courier New" w:eastAsia="Courier New" w:hAnsi="Courier New"/>
                <w:sz w:val="5"/>
                <w:szCs w:val="5"/>
                <w:color w:val="auto"/>
                <w:w w:val="96"/>
              </w:rPr>
              <w:t>Total........................................</w:t>
            </w:r>
          </w:p>
        </w:tc>
        <w:tc>
          <w:tcPr>
            <w:tcW w:w="11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$(107,763)</w:t>
            </w:r>
          </w:p>
        </w:tc>
        <w:tc>
          <w:tcPr>
            <w:tcW w:w="2160" w:type="dxa"/>
            <w:vAlign w:val="bottom"/>
            <w:vMerge w:val="restart"/>
          </w:tcPr>
          <w:p>
            <w:pPr>
              <w:jc w:val="right"/>
              <w:ind w:right="272"/>
              <w:spacing w:after="0"/>
              <w:rPr>
                <w:sz w:val="20"/>
                <w:szCs w:val="20"/>
                <w:color w:val="auto"/>
              </w:rPr>
            </w:pPr>
            <w:r>
              <w:rPr>
                <w:rFonts w:ascii="Courier New" w:cs="Courier New" w:eastAsia="Courier New" w:hAnsi="Courier New"/>
                <w:sz w:val="18"/>
                <w:szCs w:val="18"/>
                <w:color w:val="auto"/>
              </w:rPr>
              <w:t>$58,841 ========</w:t>
            </w:r>
          </w:p>
        </w:tc>
        <w:tc>
          <w:tcPr>
            <w:tcW w:w="0" w:type="dxa"/>
            <w:vAlign w:val="bottom"/>
          </w:tcPr>
          <w:p>
            <w:pPr>
              <w:spacing w:after="0"/>
              <w:rPr>
                <w:sz w:val="1"/>
                <w:szCs w:val="1"/>
                <w:color w:val="auto"/>
              </w:rPr>
            </w:pPr>
          </w:p>
        </w:tc>
      </w:tr>
      <w:tr>
        <w:trPr>
          <w:trHeight w:val="203"/>
        </w:trPr>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$166,604</w:t>
            </w:r>
          </w:p>
        </w:tc>
        <w:tc>
          <w:tcPr>
            <w:tcW w:w="1160" w:type="dxa"/>
            <w:vAlign w:val="bottom"/>
            <w:vMerge w:val="continue"/>
          </w:tcPr>
          <w:p>
            <w:pPr>
              <w:spacing w:after="0"/>
              <w:rPr>
                <w:sz w:val="17"/>
                <w:szCs w:val="17"/>
                <w:color w:val="auto"/>
              </w:rPr>
            </w:pPr>
          </w:p>
        </w:tc>
        <w:tc>
          <w:tcPr>
            <w:tcW w:w="2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 ======= SEPTEMBER 30, 2002 Core</w:t>
            </w:r>
          </w:p>
        </w:tc>
        <w:tc>
          <w:tcPr>
            <w:tcW w:w="0" w:type="dxa"/>
            <w:vAlign w:val="bottom"/>
          </w:tcPr>
          <w:p>
            <w:pPr>
              <w:spacing w:after="0"/>
              <w:rPr>
                <w:sz w:val="1"/>
                <w:szCs w:val="1"/>
                <w:color w:val="auto"/>
              </w:rPr>
            </w:pPr>
          </w:p>
        </w:tc>
      </w:tr>
      <w:tr>
        <w:trPr>
          <w:trHeight w:val="203"/>
        </w:trPr>
        <w:tc>
          <w:tcPr>
            <w:tcW w:w="1320" w:type="dxa"/>
            <w:vAlign w:val="bottom"/>
          </w:tcPr>
          <w:p>
            <w:pPr>
              <w:jc w:val="right"/>
              <w:spacing w:after="0"/>
              <w:rPr>
                <w:sz w:val="20"/>
                <w:szCs w:val="20"/>
                <w:color w:val="auto"/>
              </w:rPr>
            </w:pPr>
            <w:r>
              <w:rPr>
                <w:rFonts w:ascii="Courier New" w:cs="Courier New" w:eastAsia="Courier New" w:hAnsi="Courier New"/>
                <w:sz w:val="7"/>
                <w:szCs w:val="7"/>
                <w:color w:val="auto"/>
                <w:w w:val="77"/>
              </w:rPr>
              <w:t>technology..............................</w:t>
            </w:r>
          </w:p>
        </w:tc>
        <w:tc>
          <w:tcPr>
            <w:tcW w:w="11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w w:val="96"/>
              </w:rPr>
              <w:t>$ (36,718)</w:t>
            </w:r>
          </w:p>
        </w:tc>
        <w:tc>
          <w:tcPr>
            <w:tcW w:w="2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320" w:type="dxa"/>
            <w:vAlign w:val="bottom"/>
          </w:tcPr>
          <w:p>
            <w:pPr>
              <w:jc w:val="right"/>
              <w:ind w:right="28"/>
              <w:spacing w:after="0" w:line="203" w:lineRule="exact"/>
              <w:rPr>
                <w:sz w:val="20"/>
                <w:szCs w:val="20"/>
                <w:color w:val="auto"/>
              </w:rPr>
            </w:pPr>
            <w:r>
              <w:rPr>
                <w:rFonts w:ascii="Courier New" w:cs="Courier New" w:eastAsia="Courier New" w:hAnsi="Courier New"/>
                <w:sz w:val="18"/>
                <w:szCs w:val="18"/>
                <w:color w:val="auto"/>
              </w:rPr>
              <w:t>44,535</w:t>
            </w:r>
          </w:p>
        </w:tc>
        <w:tc>
          <w:tcPr>
            <w:tcW w:w="1160" w:type="dxa"/>
            <w:vAlign w:val="bottom"/>
            <w:vMerge w:val="continue"/>
          </w:tcPr>
          <w:p>
            <w:pPr>
              <w:spacing w:after="0"/>
              <w:rPr>
                <w:sz w:val="17"/>
                <w:szCs w:val="17"/>
                <w:color w:val="auto"/>
              </w:rPr>
            </w:pPr>
          </w:p>
        </w:tc>
        <w:tc>
          <w:tcPr>
            <w:tcW w:w="21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w w:val="96"/>
              </w:rPr>
              <w:t>$ 7,817 Customer</w:t>
            </w:r>
          </w:p>
        </w:tc>
        <w:tc>
          <w:tcPr>
            <w:tcW w:w="0" w:type="dxa"/>
            <w:vAlign w:val="bottom"/>
          </w:tcPr>
          <w:p>
            <w:pPr>
              <w:spacing w:after="0"/>
              <w:rPr>
                <w:sz w:val="1"/>
                <w:szCs w:val="1"/>
                <w:color w:val="auto"/>
              </w:rPr>
            </w:pPr>
          </w:p>
        </w:tc>
      </w:tr>
      <w:tr>
        <w:trPr>
          <w:trHeight w:val="235"/>
        </w:trPr>
        <w:tc>
          <w:tcPr>
            <w:tcW w:w="24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1"/>
              </w:rPr>
              <w:t>arrangements........................</w:t>
            </w:r>
          </w:p>
        </w:tc>
        <w:tc>
          <w:tcPr>
            <w:tcW w:w="2160" w:type="dxa"/>
            <w:vAlign w:val="bottom"/>
          </w:tcPr>
          <w:p>
            <w:pPr>
              <w:jc w:val="right"/>
              <w:spacing w:after="0"/>
              <w:rPr>
                <w:sz w:val="20"/>
                <w:szCs w:val="20"/>
                <w:color w:val="auto"/>
              </w:rPr>
            </w:pPr>
            <w:r>
              <w:rPr>
                <w:rFonts w:ascii="Courier New" w:cs="Courier New" w:eastAsia="Courier New" w:hAnsi="Courier New"/>
                <w:sz w:val="18"/>
                <w:szCs w:val="18"/>
                <w:color w:val="auto"/>
              </w:rPr>
              <w:t>36,658</w:t>
            </w:r>
          </w:p>
        </w:tc>
        <w:tc>
          <w:tcPr>
            <w:tcW w:w="0" w:type="dxa"/>
            <w:vAlign w:val="bottom"/>
          </w:tcPr>
          <w:p>
            <w:pPr>
              <w:spacing w:after="0"/>
              <w:rPr>
                <w:sz w:val="1"/>
                <w:szCs w:val="1"/>
                <w:color w:val="auto"/>
              </w:rPr>
            </w:pPr>
          </w:p>
        </w:tc>
      </w:tr>
    </w:tbl>
    <w:p>
      <w:pPr>
        <w:jc w:val="center"/>
        <w:ind w:right="5459"/>
        <w:spacing w:after="0" w:line="238" w:lineRule="auto"/>
        <w:rPr>
          <w:sz w:val="20"/>
          <w:szCs w:val="20"/>
          <w:color w:val="auto"/>
        </w:rPr>
      </w:pPr>
      <w:r>
        <w:rPr>
          <w:rFonts w:ascii="Courier New" w:cs="Courier New" w:eastAsia="Courier New" w:hAnsi="Courier New"/>
          <w:sz w:val="18"/>
          <w:szCs w:val="18"/>
          <w:color w:val="auto"/>
        </w:rPr>
        <w:t>(13,413) 23,245 Intellectual property rights</w:t>
      </w:r>
    </w:p>
    <w:p>
      <w:pPr>
        <w:jc w:val="center"/>
        <w:ind w:right="5459"/>
        <w:spacing w:after="0"/>
        <w:rPr>
          <w:sz w:val="20"/>
          <w:szCs w:val="20"/>
          <w:color w:val="auto"/>
        </w:rPr>
      </w:pPr>
      <w:r>
        <w:rPr>
          <w:rFonts w:ascii="Courier New" w:cs="Courier New" w:eastAsia="Courier New" w:hAnsi="Courier New"/>
          <w:sz w:val="18"/>
          <w:szCs w:val="18"/>
          <w:color w:val="auto"/>
        </w:rPr>
        <w:t>and purchased computer</w:t>
      </w:r>
    </w:p>
    <w:tbl>
      <w:tblPr>
        <w:tblLayout w:type="fixed"/>
        <w:tblInd w:w="0" w:type="dxa"/>
        <w:tblCellMar>
          <w:top w:w="0" w:type="dxa"/>
          <w:left w:w="0" w:type="dxa"/>
          <w:bottom w:w="0" w:type="dxa"/>
          <w:right w:w="0" w:type="dxa"/>
        </w:tblCellMar>
      </w:tblPr>
      <w:tr>
        <w:trPr>
          <w:trHeight w:val="171"/>
        </w:trPr>
        <w:tc>
          <w:tcPr>
            <w:tcW w:w="2580" w:type="dxa"/>
            <w:vAlign w:val="bottom"/>
            <w:gridSpan w:val="2"/>
          </w:tcPr>
          <w:p>
            <w:pPr>
              <w:jc w:val="right"/>
              <w:spacing w:after="0" w:line="170" w:lineRule="exact"/>
              <w:rPr>
                <w:sz w:val="20"/>
                <w:szCs w:val="20"/>
                <w:color w:val="auto"/>
              </w:rPr>
            </w:pPr>
            <w:r>
              <w:rPr>
                <w:rFonts w:ascii="Courier New" w:cs="Courier New" w:eastAsia="Courier New" w:hAnsi="Courier New"/>
                <w:sz w:val="16"/>
                <w:szCs w:val="16"/>
                <w:color w:val="auto"/>
                <w:w w:val="78"/>
              </w:rPr>
              <w:t>software..........................</w:t>
            </w:r>
          </w:p>
        </w:tc>
        <w:tc>
          <w:tcPr>
            <w:tcW w:w="2020" w:type="dxa"/>
            <w:vAlign w:val="bottom"/>
          </w:tcPr>
          <w:p>
            <w:pPr>
              <w:jc w:val="right"/>
              <w:spacing w:after="0" w:line="170" w:lineRule="exact"/>
              <w:rPr>
                <w:sz w:val="20"/>
                <w:szCs w:val="20"/>
                <w:color w:val="auto"/>
              </w:rPr>
            </w:pPr>
            <w:r>
              <w:rPr>
                <w:rFonts w:ascii="Courier New" w:cs="Courier New" w:eastAsia="Courier New" w:hAnsi="Courier New"/>
                <w:sz w:val="18"/>
                <w:szCs w:val="18"/>
                <w:color w:val="auto"/>
              </w:rPr>
              <w:t>47,223</w:t>
            </w:r>
          </w:p>
        </w:tc>
        <w:tc>
          <w:tcPr>
            <w:tcW w:w="0" w:type="dxa"/>
            <w:vAlign w:val="bottom"/>
          </w:tcPr>
          <w:p>
            <w:pPr>
              <w:spacing w:after="0"/>
              <w:rPr>
                <w:sz w:val="1"/>
                <w:szCs w:val="1"/>
                <w:color w:val="auto"/>
              </w:rPr>
            </w:pPr>
          </w:p>
        </w:tc>
      </w:tr>
      <w:tr>
        <w:trPr>
          <w:trHeight w:val="203"/>
        </w:trPr>
        <w:tc>
          <w:tcPr>
            <w:tcW w:w="2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(33,617) 13,606 --------</w:t>
            </w:r>
          </w:p>
        </w:tc>
        <w:tc>
          <w:tcPr>
            <w:tcW w:w="2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c>
          <w:tcPr>
            <w:tcW w:w="0" w:type="dxa"/>
            <w:vAlign w:val="bottom"/>
          </w:tcPr>
          <w:p>
            <w:pPr>
              <w:spacing w:after="0"/>
              <w:rPr>
                <w:sz w:val="1"/>
                <w:szCs w:val="1"/>
                <w:color w:val="auto"/>
              </w:rPr>
            </w:pPr>
          </w:p>
        </w:tc>
      </w:tr>
      <w:tr>
        <w:trPr>
          <w:trHeight w:val="203"/>
        </w:trPr>
        <w:tc>
          <w:tcPr>
            <w:tcW w:w="1420" w:type="dxa"/>
            <w:vAlign w:val="bottom"/>
          </w:tcPr>
          <w:p>
            <w:pPr>
              <w:jc w:val="right"/>
              <w:spacing w:after="0"/>
              <w:rPr>
                <w:sz w:val="20"/>
                <w:szCs w:val="20"/>
                <w:color w:val="auto"/>
              </w:rPr>
            </w:pPr>
            <w:r>
              <w:rPr>
                <w:rFonts w:ascii="Courier New" w:cs="Courier New" w:eastAsia="Courier New" w:hAnsi="Courier New"/>
                <w:sz w:val="7"/>
                <w:szCs w:val="7"/>
                <w:color w:val="auto"/>
                <w:w w:val="74"/>
              </w:rPr>
              <w:t>Total........................................</w:t>
            </w:r>
          </w:p>
        </w:tc>
        <w:tc>
          <w:tcPr>
            <w:tcW w:w="11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w w:val="96"/>
              </w:rPr>
              <w:t>$ (83,748)</w:t>
            </w:r>
          </w:p>
        </w:tc>
        <w:tc>
          <w:tcPr>
            <w:tcW w:w="202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w w:val="97"/>
              </w:rPr>
              <w:t>$44,668 ========</w:t>
            </w:r>
          </w:p>
        </w:tc>
        <w:tc>
          <w:tcPr>
            <w:tcW w:w="0" w:type="dxa"/>
            <w:vAlign w:val="bottom"/>
          </w:tcPr>
          <w:p>
            <w:pPr>
              <w:spacing w:after="0"/>
              <w:rPr>
                <w:sz w:val="1"/>
                <w:szCs w:val="1"/>
                <w:color w:val="auto"/>
              </w:rPr>
            </w:pPr>
          </w:p>
        </w:tc>
      </w:tr>
      <w:tr>
        <w:trPr>
          <w:trHeight w:val="203"/>
        </w:trPr>
        <w:tc>
          <w:tcPr>
            <w:tcW w:w="1420" w:type="dxa"/>
            <w:vAlign w:val="bottom"/>
          </w:tcPr>
          <w:p>
            <w:pPr>
              <w:jc w:val="right"/>
              <w:ind w:right="27"/>
              <w:spacing w:after="0" w:line="203" w:lineRule="exact"/>
              <w:rPr>
                <w:sz w:val="20"/>
                <w:szCs w:val="20"/>
                <w:color w:val="auto"/>
              </w:rPr>
            </w:pPr>
            <w:r>
              <w:rPr>
                <w:rFonts w:ascii="Courier New" w:cs="Courier New" w:eastAsia="Courier New" w:hAnsi="Courier New"/>
                <w:sz w:val="18"/>
                <w:szCs w:val="18"/>
                <w:color w:val="auto"/>
              </w:rPr>
              <w:t>$128,416</w:t>
            </w:r>
          </w:p>
        </w:tc>
        <w:tc>
          <w:tcPr>
            <w:tcW w:w="1160" w:type="dxa"/>
            <w:vAlign w:val="bottom"/>
            <w:vMerge w:val="continue"/>
          </w:tcPr>
          <w:p>
            <w:pPr>
              <w:spacing w:after="0"/>
              <w:rPr>
                <w:sz w:val="17"/>
                <w:szCs w:val="17"/>
                <w:color w:val="auto"/>
              </w:rPr>
            </w:pPr>
          </w:p>
        </w:tc>
        <w:tc>
          <w:tcPr>
            <w:tcW w:w="2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420" w:type="dxa"/>
            <w:vAlign w:val="bottom"/>
          </w:tcPr>
          <w:p>
            <w:pPr>
              <w:spacing w:after="0"/>
              <w:rPr>
                <w:sz w:val="24"/>
                <w:szCs w:val="24"/>
                <w:color w:val="auto"/>
              </w:rPr>
            </w:pPr>
          </w:p>
        </w:tc>
        <w:tc>
          <w:tcPr>
            <w:tcW w:w="3180" w:type="dxa"/>
            <w:vAlign w:val="bottom"/>
            <w:gridSpan w:val="2"/>
          </w:tcPr>
          <w:p>
            <w:pPr>
              <w:jc w:val="right"/>
              <w:ind w:right="1232"/>
              <w:spacing w:after="0"/>
              <w:rPr>
                <w:sz w:val="20"/>
                <w:szCs w:val="20"/>
                <w:color w:val="auto"/>
              </w:rPr>
            </w:pPr>
            <w:r>
              <w:rPr>
                <w:rFonts w:ascii="Courier New" w:cs="Courier New" w:eastAsia="Courier New" w:hAnsi="Courier New"/>
                <w:sz w:val="18"/>
                <w:szCs w:val="18"/>
                <w:color w:val="auto"/>
              </w:rPr>
              <w:t>========= =======</w:t>
            </w:r>
          </w:p>
        </w:tc>
        <w:tc>
          <w:tcPr>
            <w:tcW w:w="0" w:type="dxa"/>
            <w:vAlign w:val="bottom"/>
          </w:tcPr>
          <w:p>
            <w:pPr>
              <w:spacing w:after="0"/>
              <w:rPr>
                <w:sz w:val="1"/>
                <w:szCs w:val="1"/>
                <w:color w:val="auto"/>
              </w:rPr>
            </w:pPr>
          </w:p>
        </w:tc>
      </w:tr>
      <w:tr>
        <w:trPr>
          <w:trHeight w:val="608"/>
        </w:trPr>
        <w:tc>
          <w:tcPr>
            <w:tcW w:w="1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20" w:type="dxa"/>
            <w:vAlign w:val="bottom"/>
          </w:tcPr>
          <w:p>
            <w:pPr>
              <w:jc w:val="right"/>
              <w:spacing w:after="0"/>
              <w:rPr>
                <w:sz w:val="20"/>
                <w:szCs w:val="20"/>
                <w:color w:val="auto"/>
              </w:rPr>
            </w:pPr>
            <w:r>
              <w:rPr>
                <w:rFonts w:ascii="Courier New" w:cs="Courier New" w:eastAsia="Courier New" w:hAnsi="Courier New"/>
                <w:sz w:val="18"/>
                <w:szCs w:val="18"/>
                <w:color w:val="auto"/>
              </w:rPr>
              <w:t>F-16</w:t>
            </w:r>
          </w:p>
        </w:tc>
        <w:tc>
          <w:tcPr>
            <w:tcW w:w="0" w:type="dxa"/>
            <w:vAlign w:val="bottom"/>
          </w:tcPr>
          <w:p>
            <w:pPr>
              <w:spacing w:after="0"/>
              <w:rPr>
                <w:sz w:val="1"/>
                <w:szCs w:val="1"/>
                <w:color w:val="auto"/>
              </w:rPr>
            </w:pPr>
          </w:p>
        </w:tc>
      </w:tr>
    </w:tbl>
    <w:p>
      <w:pPr>
        <w:sectPr>
          <w:pgSz w:w="11900" w:h="16838" w:orient="portrait"/>
          <w:cols w:equalWidth="0" w:num="1">
            <w:col w:w="10219"/>
          </w:cols>
          <w:pgMar w:left="240" w:top="488" w:right="1440" w:bottom="0" w:gutter="0" w:footer="0" w:header="0"/>
        </w:sectPr>
      </w:pPr>
    </w:p>
    <w:bookmarkStart w:id="96" w:name="page97"/>
    <w:bookmarkEnd w:id="96"/>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3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(IN THOUSANDS, EXCEPT PER SHARE DATA)</w:t>
      </w:r>
    </w:p>
    <w:p>
      <w:pPr>
        <w:spacing w:after="0" w:line="169" w:lineRule="exact"/>
        <w:rPr>
          <w:sz w:val="20"/>
          <w:szCs w:val="20"/>
          <w:color w:val="auto"/>
        </w:rPr>
      </w:pPr>
    </w:p>
    <w:p>
      <w:pPr>
        <w:ind w:right="1779" w:firstLine="527"/>
        <w:spacing w:after="0" w:line="347" w:lineRule="auto"/>
        <w:rPr>
          <w:sz w:val="20"/>
          <w:szCs w:val="20"/>
          <w:color w:val="auto"/>
        </w:rPr>
      </w:pPr>
      <w:r>
        <w:rPr>
          <w:rFonts w:ascii="Courier New" w:cs="Courier New" w:eastAsia="Courier New" w:hAnsi="Courier New"/>
          <w:sz w:val="18"/>
          <w:szCs w:val="18"/>
          <w:color w:val="auto"/>
        </w:rPr>
        <w:t>The estimated future amortization expense of purchased intangible assets as of September 30, 2003 is as follows: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440" w:type="dxa"/>
            <w:vAlign w:val="bottom"/>
          </w:tcPr>
          <w:p>
            <w:pPr>
              <w:ind w:left="1740"/>
              <w:spacing w:after="0"/>
              <w:rPr>
                <w:sz w:val="20"/>
                <w:szCs w:val="20"/>
                <w:color w:val="auto"/>
              </w:rPr>
            </w:pPr>
            <w:r>
              <w:rPr>
                <w:rFonts w:ascii="Courier New" w:cs="Courier New" w:eastAsia="Courier New" w:hAnsi="Courier New"/>
                <w:sz w:val="18"/>
                <w:szCs w:val="18"/>
                <w:color w:val="auto"/>
              </w:rPr>
              <w:t>AMOUNT</w:t>
            </w:r>
          </w:p>
        </w:tc>
        <w:tc>
          <w:tcPr>
            <w:tcW w:w="3780" w:type="dxa"/>
            <w:vAlign w:val="bottom"/>
          </w:tcPr>
          <w:p>
            <w:pPr>
              <w:jc w:val="right"/>
              <w:ind w:right="1532"/>
              <w:spacing w:after="0"/>
              <w:rPr>
                <w:sz w:val="20"/>
                <w:szCs w:val="20"/>
                <w:color w:val="auto"/>
              </w:rPr>
            </w:pPr>
            <w:r>
              <w:rPr>
                <w:rFonts w:ascii="Courier New" w:cs="Courier New" w:eastAsia="Courier New" w:hAnsi="Courier New"/>
                <w:sz w:val="18"/>
                <w:szCs w:val="18"/>
                <w:color w:val="auto"/>
                <w:w w:val="99"/>
              </w:rPr>
              <w:t>------- FISCAL YEAR:</w:t>
            </w:r>
          </w:p>
        </w:tc>
        <w:tc>
          <w:tcPr>
            <w:tcW w:w="0" w:type="dxa"/>
            <w:vAlign w:val="bottom"/>
          </w:tcPr>
          <w:p>
            <w:pPr>
              <w:spacing w:after="0"/>
              <w:rPr>
                <w:sz w:val="1"/>
                <w:szCs w:val="1"/>
                <w:color w:val="auto"/>
              </w:rPr>
            </w:pPr>
          </w:p>
        </w:tc>
      </w:tr>
      <w:tr>
        <w:trPr>
          <w:trHeight w:val="381"/>
        </w:trPr>
        <w:tc>
          <w:tcPr>
            <w:tcW w:w="2440" w:type="dxa"/>
            <w:vAlign w:val="bottom"/>
          </w:tcPr>
          <w:p>
            <w:pPr>
              <w:spacing w:after="0"/>
              <w:rPr>
                <w:sz w:val="20"/>
                <w:szCs w:val="20"/>
                <w:color w:val="auto"/>
              </w:rPr>
            </w:pPr>
            <w:r>
              <w:rPr>
                <w:rFonts w:ascii="Courier New" w:cs="Courier New" w:eastAsia="Courier New" w:hAnsi="Courier New"/>
                <w:sz w:val="3"/>
                <w:szCs w:val="3"/>
                <w:color w:val="auto"/>
                <w:w w:val="73"/>
                <w:vertAlign w:val="superscript"/>
              </w:rPr>
              <w:t>2004................................................................................................................</w:t>
            </w:r>
            <w:r>
              <w:rPr>
                <w:rFonts w:ascii="Courier New" w:cs="Courier New" w:eastAsia="Courier New" w:hAnsi="Courier New"/>
                <w:sz w:val="2"/>
                <w:szCs w:val="2"/>
                <w:color w:val="auto"/>
                <w:w w:val="73"/>
              </w:rPr>
              <w:t>........................................................</w:t>
            </w:r>
            <w:r>
              <w:rPr>
                <w:rFonts w:ascii="Courier New" w:cs="Courier New" w:eastAsia="Courier New" w:hAnsi="Courier New"/>
                <w:sz w:val="3"/>
                <w:szCs w:val="3"/>
                <w:color w:val="auto"/>
                <w:w w:val="73"/>
                <w:vertAlign w:val="subscript"/>
              </w:rPr>
              <w:t>......................................................................................................</w:t>
            </w:r>
          </w:p>
        </w:tc>
        <w:tc>
          <w:tcPr>
            <w:tcW w:w="3780" w:type="dxa"/>
            <w:vAlign w:val="bottom"/>
            <w:vMerge w:val="restart"/>
          </w:tcPr>
          <w:p>
            <w:pPr>
              <w:jc w:val="center"/>
              <w:ind w:right="2232"/>
              <w:spacing w:after="0"/>
              <w:rPr>
                <w:sz w:val="20"/>
                <w:szCs w:val="20"/>
                <w:color w:val="auto"/>
              </w:rPr>
            </w:pPr>
            <w:r>
              <w:rPr>
                <w:rFonts w:ascii="Courier New" w:cs="Courier New" w:eastAsia="Courier New" w:hAnsi="Courier New"/>
                <w:sz w:val="18"/>
                <w:szCs w:val="18"/>
                <w:color w:val="auto"/>
                <w:w w:val="97"/>
              </w:rPr>
              <w:t>$19,430</w:t>
            </w:r>
          </w:p>
        </w:tc>
        <w:tc>
          <w:tcPr>
            <w:tcW w:w="0" w:type="dxa"/>
            <w:vAlign w:val="bottom"/>
          </w:tcPr>
          <w:p>
            <w:pPr>
              <w:spacing w:after="0"/>
              <w:rPr>
                <w:sz w:val="1"/>
                <w:szCs w:val="1"/>
                <w:color w:val="auto"/>
              </w:rPr>
            </w:pPr>
          </w:p>
        </w:tc>
      </w:tr>
      <w:tr>
        <w:trPr>
          <w:trHeight w:val="118"/>
        </w:trPr>
        <w:tc>
          <w:tcPr>
            <w:tcW w:w="2440" w:type="dxa"/>
            <w:vAlign w:val="bottom"/>
            <w:vMerge w:val="restart"/>
          </w:tcPr>
          <w:p>
            <w:pPr>
              <w:spacing w:after="0"/>
              <w:rPr>
                <w:sz w:val="20"/>
                <w:szCs w:val="20"/>
                <w:color w:val="auto"/>
              </w:rPr>
            </w:pPr>
            <w:r>
              <w:rPr>
                <w:rFonts w:ascii="Courier New" w:cs="Courier New" w:eastAsia="Courier New" w:hAnsi="Courier New"/>
                <w:sz w:val="18"/>
                <w:szCs w:val="18"/>
                <w:color w:val="auto"/>
              </w:rPr>
              <w:t>2005</w:t>
            </w:r>
          </w:p>
        </w:tc>
        <w:tc>
          <w:tcPr>
            <w:tcW w:w="3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2440" w:type="dxa"/>
            <w:vAlign w:val="bottom"/>
            <w:vMerge w:val="continue"/>
          </w:tcPr>
          <w:p>
            <w:pPr>
              <w:spacing w:after="0"/>
              <w:rPr>
                <w:sz w:val="17"/>
                <w:szCs w:val="17"/>
                <w:color w:val="auto"/>
              </w:rPr>
            </w:pPr>
          </w:p>
        </w:tc>
        <w:tc>
          <w:tcPr>
            <w:tcW w:w="3780" w:type="dxa"/>
            <w:vAlign w:val="bottom"/>
            <w:vMerge w:val="restart"/>
          </w:tcPr>
          <w:p>
            <w:pPr>
              <w:jc w:val="center"/>
              <w:ind w:right="2232"/>
              <w:spacing w:after="0"/>
              <w:rPr>
                <w:sz w:val="20"/>
                <w:szCs w:val="20"/>
                <w:color w:val="auto"/>
              </w:rPr>
            </w:pPr>
            <w:r>
              <w:rPr>
                <w:rFonts w:ascii="Courier New" w:cs="Courier New" w:eastAsia="Courier New" w:hAnsi="Courier New"/>
                <w:sz w:val="18"/>
                <w:szCs w:val="18"/>
                <w:color w:val="auto"/>
                <w:w w:val="95"/>
              </w:rPr>
              <w:t>10,203</w:t>
            </w:r>
          </w:p>
        </w:tc>
        <w:tc>
          <w:tcPr>
            <w:tcW w:w="0" w:type="dxa"/>
            <w:vAlign w:val="bottom"/>
          </w:tcPr>
          <w:p>
            <w:pPr>
              <w:spacing w:after="0"/>
              <w:rPr>
                <w:sz w:val="1"/>
                <w:szCs w:val="1"/>
                <w:color w:val="auto"/>
              </w:rPr>
            </w:pPr>
          </w:p>
        </w:tc>
      </w:tr>
      <w:tr>
        <w:trPr>
          <w:trHeight w:val="203"/>
        </w:trPr>
        <w:tc>
          <w:tcPr>
            <w:tcW w:w="2440" w:type="dxa"/>
            <w:vAlign w:val="bottom"/>
            <w:vMerge w:val="restart"/>
          </w:tcPr>
          <w:p>
            <w:pPr>
              <w:spacing w:after="0"/>
              <w:rPr>
                <w:sz w:val="20"/>
                <w:szCs w:val="20"/>
                <w:color w:val="auto"/>
              </w:rPr>
            </w:pPr>
            <w:r>
              <w:rPr>
                <w:rFonts w:ascii="Courier New" w:cs="Courier New" w:eastAsia="Courier New" w:hAnsi="Courier New"/>
                <w:sz w:val="18"/>
                <w:szCs w:val="18"/>
                <w:color w:val="auto"/>
              </w:rPr>
              <w:t>2006</w:t>
            </w:r>
          </w:p>
        </w:tc>
        <w:tc>
          <w:tcPr>
            <w:tcW w:w="3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40" w:type="dxa"/>
            <w:vAlign w:val="bottom"/>
            <w:vMerge w:val="continue"/>
          </w:tcPr>
          <w:p>
            <w:pPr>
              <w:spacing w:after="0"/>
              <w:rPr>
                <w:sz w:val="17"/>
                <w:szCs w:val="17"/>
                <w:color w:val="auto"/>
              </w:rPr>
            </w:pPr>
          </w:p>
        </w:tc>
        <w:tc>
          <w:tcPr>
            <w:tcW w:w="3780" w:type="dxa"/>
            <w:vAlign w:val="bottom"/>
            <w:vMerge w:val="restart"/>
          </w:tcPr>
          <w:p>
            <w:pPr>
              <w:jc w:val="center"/>
              <w:ind w:right="2232"/>
              <w:spacing w:after="0"/>
              <w:rPr>
                <w:sz w:val="20"/>
                <w:szCs w:val="20"/>
                <w:color w:val="auto"/>
              </w:rPr>
            </w:pPr>
            <w:r>
              <w:rPr>
                <w:rFonts w:ascii="Courier New" w:cs="Courier New" w:eastAsia="Courier New" w:hAnsi="Courier New"/>
                <w:sz w:val="18"/>
                <w:szCs w:val="18"/>
                <w:color w:val="auto"/>
                <w:w w:val="99"/>
              </w:rPr>
              <w:t>7,871</w:t>
            </w:r>
          </w:p>
        </w:tc>
        <w:tc>
          <w:tcPr>
            <w:tcW w:w="0" w:type="dxa"/>
            <w:vAlign w:val="bottom"/>
          </w:tcPr>
          <w:p>
            <w:pPr>
              <w:spacing w:after="0"/>
              <w:rPr>
                <w:sz w:val="1"/>
                <w:szCs w:val="1"/>
                <w:color w:val="auto"/>
              </w:rPr>
            </w:pPr>
          </w:p>
        </w:tc>
      </w:tr>
      <w:tr>
        <w:trPr>
          <w:trHeight w:val="203"/>
        </w:trPr>
        <w:tc>
          <w:tcPr>
            <w:tcW w:w="2440" w:type="dxa"/>
            <w:vAlign w:val="bottom"/>
            <w:vMerge w:val="restart"/>
          </w:tcPr>
          <w:p>
            <w:pPr>
              <w:spacing w:after="0"/>
              <w:rPr>
                <w:sz w:val="20"/>
                <w:szCs w:val="20"/>
                <w:color w:val="auto"/>
              </w:rPr>
            </w:pPr>
            <w:r>
              <w:rPr>
                <w:rFonts w:ascii="Courier New" w:cs="Courier New" w:eastAsia="Courier New" w:hAnsi="Courier New"/>
                <w:sz w:val="18"/>
                <w:szCs w:val="18"/>
                <w:color w:val="auto"/>
              </w:rPr>
              <w:t>2007</w:t>
            </w:r>
          </w:p>
        </w:tc>
        <w:tc>
          <w:tcPr>
            <w:tcW w:w="3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40" w:type="dxa"/>
            <w:vAlign w:val="bottom"/>
            <w:vMerge w:val="continue"/>
          </w:tcPr>
          <w:p>
            <w:pPr>
              <w:spacing w:after="0"/>
              <w:rPr>
                <w:sz w:val="17"/>
                <w:szCs w:val="17"/>
                <w:color w:val="auto"/>
              </w:rPr>
            </w:pPr>
          </w:p>
        </w:tc>
        <w:tc>
          <w:tcPr>
            <w:tcW w:w="3780" w:type="dxa"/>
            <w:vAlign w:val="bottom"/>
            <w:vMerge w:val="restart"/>
          </w:tcPr>
          <w:p>
            <w:pPr>
              <w:jc w:val="right"/>
              <w:ind w:right="2232"/>
              <w:spacing w:after="0"/>
              <w:rPr>
                <w:sz w:val="20"/>
                <w:szCs w:val="20"/>
                <w:color w:val="auto"/>
              </w:rPr>
            </w:pPr>
            <w:r>
              <w:rPr>
                <w:rFonts w:ascii="Courier New" w:cs="Courier New" w:eastAsia="Courier New" w:hAnsi="Courier New"/>
                <w:sz w:val="18"/>
                <w:szCs w:val="18"/>
                <w:color w:val="auto"/>
                <w:w w:val="95"/>
              </w:rPr>
              <w:t>6,857 2008 and</w:t>
            </w:r>
          </w:p>
        </w:tc>
        <w:tc>
          <w:tcPr>
            <w:tcW w:w="0" w:type="dxa"/>
            <w:vAlign w:val="bottom"/>
          </w:tcPr>
          <w:p>
            <w:pPr>
              <w:spacing w:after="0"/>
              <w:rPr>
                <w:sz w:val="1"/>
                <w:szCs w:val="1"/>
                <w:color w:val="auto"/>
              </w:rPr>
            </w:pPr>
          </w:p>
        </w:tc>
      </w:tr>
      <w:tr>
        <w:trPr>
          <w:trHeight w:val="109"/>
        </w:trPr>
        <w:tc>
          <w:tcPr>
            <w:tcW w:w="2440" w:type="dxa"/>
            <w:vAlign w:val="bottom"/>
            <w:vMerge w:val="restart"/>
          </w:tcPr>
          <w:p>
            <w:pPr>
              <w:ind w:left="120"/>
              <w:spacing w:after="0"/>
              <w:rPr>
                <w:sz w:val="20"/>
                <w:szCs w:val="20"/>
                <w:color w:val="auto"/>
              </w:rPr>
            </w:pPr>
            <w:r>
              <w:rPr>
                <w:rFonts w:ascii="Courier New" w:cs="Courier New" w:eastAsia="Courier New" w:hAnsi="Courier New"/>
                <w:sz w:val="18"/>
                <w:szCs w:val="18"/>
                <w:color w:val="auto"/>
              </w:rPr>
              <w:t>after</w:t>
            </w:r>
          </w:p>
        </w:tc>
        <w:tc>
          <w:tcPr>
            <w:tcW w:w="3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96"/>
        </w:trPr>
        <w:tc>
          <w:tcPr>
            <w:tcW w:w="2440" w:type="dxa"/>
            <w:vAlign w:val="bottom"/>
            <w:vMerge w:val="continue"/>
          </w:tcPr>
          <w:p>
            <w:pPr>
              <w:spacing w:after="0"/>
              <w:rPr>
                <w:sz w:val="24"/>
                <w:szCs w:val="24"/>
                <w:color w:val="auto"/>
              </w:rPr>
            </w:pPr>
          </w:p>
        </w:tc>
        <w:tc>
          <w:tcPr>
            <w:tcW w:w="3780" w:type="dxa"/>
            <w:vAlign w:val="bottom"/>
          </w:tcPr>
          <w:p>
            <w:pPr>
              <w:jc w:val="right"/>
              <w:spacing w:after="0"/>
              <w:rPr>
                <w:sz w:val="20"/>
                <w:szCs w:val="20"/>
                <w:color w:val="auto"/>
              </w:rPr>
            </w:pPr>
            <w:r>
              <w:rPr>
                <w:rFonts w:ascii="Courier New" w:cs="Courier New" w:eastAsia="Courier New" w:hAnsi="Courier New"/>
                <w:sz w:val="18"/>
                <w:szCs w:val="18"/>
                <w:color w:val="auto"/>
              </w:rPr>
              <w:t>14,480</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Guarantor's Accounting and Disclosure Requirements for Guarantees</w:t>
      </w:r>
    </w:p>
    <w:p>
      <w:pPr>
        <w:spacing w:after="0" w:line="201" w:lineRule="exact"/>
        <w:rPr>
          <w:sz w:val="20"/>
          <w:szCs w:val="20"/>
          <w:color w:val="auto"/>
        </w:rPr>
      </w:pPr>
    </w:p>
    <w:p>
      <w:pPr>
        <w:ind w:right="1779" w:firstLine="527"/>
        <w:spacing w:after="0" w:line="250" w:lineRule="auto"/>
        <w:rPr>
          <w:sz w:val="20"/>
          <w:szCs w:val="20"/>
          <w:color w:val="auto"/>
        </w:rPr>
      </w:pPr>
      <w:r>
        <w:rPr>
          <w:rFonts w:ascii="Courier New" w:cs="Courier New" w:eastAsia="Courier New" w:hAnsi="Courier New"/>
          <w:sz w:val="18"/>
          <w:szCs w:val="18"/>
          <w:color w:val="auto"/>
        </w:rPr>
        <w:t>In November 2002 the FASB issued FASB Interpretation ("FIN") No. 45 "Guarantor's Accounting and Disclosure Requirements for Guarantees, Including Indirect Guarantees of Indebtedness of Others". FIN No. 45 requires that, at the inception of certain types of guarantees, the guarantor must disclose and recognize a liability for the fair value of the obligation it assumes under the guarantee. The initial recognition and measurement requirements of FIN No. 45 are effective for guarantees issued or modified after December 31, 2002. The additional disclosure requirements of FIN No. 45 are effective for interim and annual periods ending after December 15, 2002, and are applicable to certain of the Company's guarantees issued before December 31, 2002.</w:t>
      </w:r>
    </w:p>
    <w:p>
      <w:pPr>
        <w:spacing w:after="0" w:line="104" w:lineRule="exact"/>
        <w:rPr>
          <w:sz w:val="20"/>
          <w:szCs w:val="20"/>
          <w:color w:val="auto"/>
        </w:rPr>
      </w:pPr>
    </w:p>
    <w:p>
      <w:pPr>
        <w:ind w:right="1879" w:firstLine="527"/>
        <w:spacing w:after="0" w:line="293" w:lineRule="auto"/>
        <w:rPr>
          <w:sz w:val="20"/>
          <w:szCs w:val="20"/>
          <w:color w:val="auto"/>
        </w:rPr>
      </w:pPr>
      <w:r>
        <w:rPr>
          <w:rFonts w:ascii="Courier New" w:cs="Courier New" w:eastAsia="Courier New" w:hAnsi="Courier New"/>
          <w:sz w:val="16"/>
          <w:szCs w:val="16"/>
          <w:color w:val="auto"/>
        </w:rPr>
        <w:t>The Company is a party to an agreement entered into prior to December 31, 2002 that includes an indemnification of one of its customers for any withholding tax that might be required under the customer's local tax laws from certain payments made to the Company under this agreement. The indemnification under this agreement expires in December 2005. As of September 30, 2003 and September 30, 2002, the maximum potential amount of the Company's future exposure under this guarantee pursuant to FIN No. 45 was $4,717.</w:t>
      </w:r>
    </w:p>
    <w:p>
      <w:pPr>
        <w:spacing w:after="0" w:line="72" w:lineRule="exact"/>
        <w:rPr>
          <w:sz w:val="20"/>
          <w:szCs w:val="20"/>
          <w:color w:val="auto"/>
        </w:rPr>
      </w:pPr>
    </w:p>
    <w:p>
      <w:pPr>
        <w:ind w:right="1779" w:firstLine="527"/>
        <w:spacing w:after="0" w:line="260" w:lineRule="auto"/>
        <w:rPr>
          <w:sz w:val="20"/>
          <w:szCs w:val="20"/>
          <w:color w:val="auto"/>
        </w:rPr>
      </w:pPr>
      <w:r>
        <w:rPr>
          <w:rFonts w:ascii="Courier New" w:cs="Courier New" w:eastAsia="Courier New" w:hAnsi="Courier New"/>
          <w:sz w:val="18"/>
          <w:szCs w:val="18"/>
          <w:color w:val="auto"/>
        </w:rPr>
        <w:t>The Company generally sells its ClarifyCRM products with a limited warranty for a period of 90 days. The Company's policy is to accrue for warranty costs, if needed, based on historical trends in product failure. Based on the Company's experience, only minimal warranty services have been required and, as a result, the Company did not accrue any amounts for product warranty liability during fiscal 2003.</w:t>
      </w:r>
    </w:p>
    <w:p>
      <w:pPr>
        <w:spacing w:after="0" w:line="93" w:lineRule="exact"/>
        <w:rPr>
          <w:sz w:val="20"/>
          <w:szCs w:val="20"/>
          <w:color w:val="auto"/>
        </w:rPr>
      </w:pPr>
    </w:p>
    <w:p>
      <w:pPr>
        <w:ind w:right="1779" w:firstLine="527"/>
        <w:spacing w:after="0" w:line="265" w:lineRule="auto"/>
        <w:rPr>
          <w:sz w:val="20"/>
          <w:szCs w:val="20"/>
          <w:color w:val="auto"/>
        </w:rPr>
      </w:pPr>
      <w:r>
        <w:rPr>
          <w:rFonts w:ascii="Courier New" w:cs="Courier New" w:eastAsia="Courier New" w:hAnsi="Courier New"/>
          <w:sz w:val="18"/>
          <w:szCs w:val="18"/>
          <w:color w:val="auto"/>
        </w:rPr>
        <w:t>The Company generally indemnifies its customers against claims of intellectual property infringement made by third parties arising from the use of the Company's software. To date, the Company has incurred only minimal costs as a result of such obligations and has not accrued any liabilities related to such indemnification in its financial statements.</w:t>
      </w:r>
    </w:p>
    <w:p>
      <w:pPr>
        <w:spacing w:after="0" w:line="9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Gains and Losses From Extinguishment of Debt</w:t>
      </w:r>
    </w:p>
    <w:p>
      <w:pPr>
        <w:spacing w:after="0" w:line="201" w:lineRule="exact"/>
        <w:rPr>
          <w:sz w:val="20"/>
          <w:szCs w:val="20"/>
          <w:color w:val="auto"/>
        </w:rPr>
      </w:pPr>
    </w:p>
    <w:p>
      <w:pPr>
        <w:ind w:right="1779" w:firstLine="527"/>
        <w:spacing w:after="0" w:line="252" w:lineRule="auto"/>
        <w:rPr>
          <w:sz w:val="20"/>
          <w:szCs w:val="20"/>
          <w:color w:val="auto"/>
        </w:rPr>
      </w:pPr>
      <w:r>
        <w:rPr>
          <w:rFonts w:ascii="Courier New" w:cs="Courier New" w:eastAsia="Courier New" w:hAnsi="Courier New"/>
          <w:sz w:val="18"/>
          <w:szCs w:val="18"/>
          <w:color w:val="auto"/>
        </w:rPr>
        <w:t>In April 2002, the FASB issued SFAS No. 145, "Rescission of FASB Statements No. 4, 44 and 64, Amendment of FASB Statement No. 13, and Technical Corrections". SFAS No. 145 eliminates previous requirements to classify gains and losses from extinguishment of debt as extraordinary items in earnings. Gains or losses from extinguishment of debt for fiscal years beginning after May 15, 2002 shall not be classified as extraordinary items unless certain provisions are met. Early adoption was encouraged. The Company adopted SFAS No. 145 in the fourth quarter of fiscal 2002 in connection with the gains related to the repurchases of its convertible notes. See Note 12.</w:t>
      </w:r>
    </w:p>
    <w:p>
      <w:pPr>
        <w:spacing w:after="0" w:line="9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F-17</w:t>
      </w:r>
    </w:p>
    <w:p>
      <w:pPr>
        <w:sectPr>
          <w:pgSz w:w="11900" w:h="16838" w:orient="portrait"/>
          <w:cols w:equalWidth="0" w:num="1">
            <w:col w:w="10219"/>
          </w:cols>
          <w:pgMar w:left="240" w:top="488" w:right="1440" w:bottom="1440" w:gutter="0" w:footer="0" w:header="0"/>
        </w:sectPr>
      </w:pPr>
    </w:p>
    <w:bookmarkStart w:id="97" w:name="page98"/>
    <w:bookmarkEnd w:id="97"/>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3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(IN THOUSANDS, EXCEPT PER SHARE DATA)</w:t>
      </w:r>
    </w:p>
    <w:p>
      <w:pPr>
        <w:spacing w:after="0" w:line="16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RECENT ACCOUNTING PRONOUNCEMENTS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Costs Associated with Exit or Disposal Activities</w:t>
      </w:r>
    </w:p>
    <w:p>
      <w:pPr>
        <w:spacing w:after="0" w:line="201" w:lineRule="exact"/>
        <w:rPr>
          <w:sz w:val="20"/>
          <w:szCs w:val="20"/>
          <w:color w:val="auto"/>
        </w:rPr>
      </w:pPr>
    </w:p>
    <w:p>
      <w:pPr>
        <w:ind w:right="1779" w:firstLine="527"/>
        <w:spacing w:after="0" w:line="285" w:lineRule="auto"/>
        <w:rPr>
          <w:sz w:val="20"/>
          <w:szCs w:val="20"/>
          <w:color w:val="auto"/>
        </w:rPr>
      </w:pPr>
      <w:r>
        <w:rPr>
          <w:rFonts w:ascii="Courier New" w:cs="Courier New" w:eastAsia="Courier New" w:hAnsi="Courier New"/>
          <w:sz w:val="16"/>
          <w:szCs w:val="16"/>
          <w:color w:val="auto"/>
        </w:rPr>
        <w:t>In June 2002 the FASB issued SFAS No. 146, "Accounting for Costs Associated with Exit or Disposal Activities". SFAS No. 146 requires that a liability for costs associated with an exit or disposal activity, including restructuring activities, be recognized and measured at fair value when the liability is incurred, or, for certain one-time employee termination costs, over a future service period. Previously, a liability for an exit cost was recognized when a company committed to an exit plan. As a result, SFAS No. 146 may affect the timing of amounts recognized for future restructuring activities that are not associated with a business combination. SFAS No. 146 was effective for exit or disposal activities that were initiated after December 31, 2002.</w:t>
      </w:r>
    </w:p>
    <w:p>
      <w:pPr>
        <w:spacing w:after="0" w:line="7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Non-Software Elements in an Arrangement Containing Software</w:t>
      </w:r>
    </w:p>
    <w:p>
      <w:pPr>
        <w:spacing w:after="0" w:line="201" w:lineRule="exact"/>
        <w:rPr>
          <w:sz w:val="20"/>
          <w:szCs w:val="20"/>
          <w:color w:val="auto"/>
        </w:rPr>
      </w:pPr>
    </w:p>
    <w:p>
      <w:pPr>
        <w:ind w:right="1779" w:firstLine="527"/>
        <w:spacing w:after="0" w:line="249" w:lineRule="auto"/>
        <w:rPr>
          <w:sz w:val="20"/>
          <w:szCs w:val="20"/>
          <w:color w:val="auto"/>
        </w:rPr>
      </w:pPr>
      <w:r>
        <w:rPr>
          <w:rFonts w:ascii="Courier New" w:cs="Courier New" w:eastAsia="Courier New" w:hAnsi="Courier New"/>
          <w:sz w:val="18"/>
          <w:szCs w:val="18"/>
          <w:color w:val="auto"/>
        </w:rPr>
        <w:t>In July 2003, the EITF reached a consensus on EITF Issue No. 03-05, "Applicability of AICPA Statement of Position 97-2, Software Revenue Recognition, to Non-Software Deliverables in an Arrangement Containing More-Than Incidental Software" ("Issue 03-05"). Issue 03-05 is regarding whether non-software deliverables (e.g., non-software related equipment or services) included in an arrangement that contains software that is more than incidental to the products or services as a whole are included within the scope of Statement of Position 97-2, "Software Revenue Recognition". Software-related elements include software products, upgrades/enhancements, post-contract customer support, and services as well as any non-software deliverables for which a software deliverable is essential to its functionality.</w:t>
      </w:r>
    </w:p>
    <w:p>
      <w:pPr>
        <w:spacing w:after="0" w:line="104" w:lineRule="exact"/>
        <w:rPr>
          <w:sz w:val="20"/>
          <w:szCs w:val="20"/>
          <w:color w:val="auto"/>
        </w:rPr>
      </w:pPr>
    </w:p>
    <w:p>
      <w:pPr>
        <w:ind w:right="1779" w:firstLine="527"/>
        <w:spacing w:after="0" w:line="252" w:lineRule="auto"/>
        <w:rPr>
          <w:sz w:val="20"/>
          <w:szCs w:val="20"/>
          <w:color w:val="auto"/>
        </w:rPr>
      </w:pPr>
      <w:r>
        <w:rPr>
          <w:rFonts w:ascii="Courier New" w:cs="Courier New" w:eastAsia="Courier New" w:hAnsi="Courier New"/>
          <w:sz w:val="18"/>
          <w:szCs w:val="18"/>
          <w:color w:val="auto"/>
        </w:rPr>
        <w:t>Under Issue 03-05, in an arrangement that includes software, computer hardware that will contain the software, and additional unrelated equipment, if the software is essential to the functionality of the hardware, the hardware would be considered software-related and, therefore, included within the scope of SOP 97-2. Issue 03-05 is effective for arrangements entered into in the first reporting period (annual or interim) beginning after August 13, 2003. The Company is in the process of analyzing the effect of Issue 03-05 on its consolidated financial position and results of operations and believes it will not be significant.</w:t>
      </w:r>
    </w:p>
    <w:p>
      <w:pPr>
        <w:spacing w:after="0" w:line="9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USE OF ESTIMATES</w:t>
      </w:r>
    </w:p>
    <w:p>
      <w:pPr>
        <w:spacing w:after="0" w:line="201" w:lineRule="exact"/>
        <w:rPr>
          <w:sz w:val="20"/>
          <w:szCs w:val="20"/>
          <w:color w:val="auto"/>
        </w:rPr>
      </w:pPr>
    </w:p>
    <w:p>
      <w:pPr>
        <w:ind w:right="1779" w:firstLine="527"/>
        <w:spacing w:after="0" w:line="260" w:lineRule="auto"/>
        <w:rPr>
          <w:sz w:val="20"/>
          <w:szCs w:val="20"/>
          <w:color w:val="auto"/>
        </w:rPr>
      </w:pPr>
      <w:r>
        <w:rPr>
          <w:rFonts w:ascii="Courier New" w:cs="Courier New" w:eastAsia="Courier New" w:hAnsi="Courier New"/>
          <w:sz w:val="18"/>
          <w:szCs w:val="18"/>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dates of the financial statements and the reported amounts of revenue and expenses during the reporting period. Actual results could differ from those estimates.</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3 -- ACQUISITIONS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CLARIFY</w:t>
      </w:r>
    </w:p>
    <w:p>
      <w:pPr>
        <w:spacing w:after="0" w:line="201" w:lineRule="exact"/>
        <w:rPr>
          <w:sz w:val="20"/>
          <w:szCs w:val="20"/>
          <w:color w:val="auto"/>
        </w:rPr>
      </w:pPr>
    </w:p>
    <w:p>
      <w:pPr>
        <w:ind w:right="1779" w:firstLine="527"/>
        <w:spacing w:after="0" w:line="250" w:lineRule="auto"/>
        <w:rPr>
          <w:sz w:val="20"/>
          <w:szCs w:val="20"/>
          <w:color w:val="auto"/>
        </w:rPr>
      </w:pPr>
      <w:r>
        <w:rPr>
          <w:rFonts w:ascii="Courier New" w:cs="Courier New" w:eastAsia="Courier New" w:hAnsi="Courier New"/>
          <w:sz w:val="18"/>
          <w:szCs w:val="18"/>
          <w:color w:val="auto"/>
        </w:rPr>
        <w:t>On November 28, 2001, the Company purchased from Nortel Networks Corporation substantially all of the assets of its Clarify business ("Clarify"), a leading provider of Customer Relationship Management ("CRM") software to communications companies and other enterprise sectors. This acquisition positioned the Company as a leading provider of CRM software to the communications industry and, through the addition of Clarify's CRM software to the Company's portfolio of product offerings, reinforced the Company's leadership in delivering Integrated Customer Management software applications. Following the acquisition, the Company has continued to sell Clarify's CRM software to customers other than</w:t>
      </w:r>
    </w:p>
    <w:p>
      <w:pPr>
        <w:spacing w:after="0" w:line="1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F-18</w:t>
      </w:r>
    </w:p>
    <w:p>
      <w:pPr>
        <w:sectPr>
          <w:pgSz w:w="11900" w:h="16838" w:orient="portrait"/>
          <w:cols w:equalWidth="0" w:num="1">
            <w:col w:w="10219"/>
          </w:cols>
          <w:pgMar w:left="240" w:top="488" w:right="1440" w:bottom="1440" w:gutter="0" w:footer="0" w:header="0"/>
        </w:sectPr>
      </w:pPr>
    </w:p>
    <w:bookmarkStart w:id="98" w:name="page99"/>
    <w:bookmarkEnd w:id="98"/>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3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(IN THOUSANDS, EXCEPT PER SHARE DATA)</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communications service providers, although this is not the focus of the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Company's business. The aggregate initial purchase price for Clarify as of</w:t>
      </w:r>
    </w:p>
    <w:p>
      <w:pPr>
        <w:spacing w:after="0"/>
        <w:rPr>
          <w:sz w:val="20"/>
          <w:szCs w:val="20"/>
          <w:color w:val="auto"/>
        </w:rPr>
      </w:pPr>
      <w:r>
        <w:rPr>
          <w:rFonts w:ascii="Courier New" w:cs="Courier New" w:eastAsia="Courier New" w:hAnsi="Courier New"/>
          <w:sz w:val="16"/>
          <w:szCs w:val="16"/>
          <w:color w:val="auto"/>
        </w:rPr>
        <w:t>September 30, 2002 was $212,000 in cash, including transaction costs of $8,250.</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purchase price was subject to final price adjustments that were settled in</w:t>
      </w:r>
    </w:p>
    <w:p>
      <w:pPr>
        <w:spacing w:after="0" w:line="238" w:lineRule="auto"/>
        <w:rPr>
          <w:sz w:val="20"/>
          <w:szCs w:val="20"/>
          <w:color w:val="auto"/>
        </w:rPr>
      </w:pPr>
      <w:r>
        <w:rPr>
          <w:rFonts w:ascii="Courier New" w:cs="Courier New" w:eastAsia="Courier New" w:hAnsi="Courier New"/>
          <w:sz w:val="18"/>
          <w:szCs w:val="18"/>
          <w:color w:val="auto"/>
        </w:rPr>
        <w:t>October 2002 and resulted in an $11,111 reduction of the purchase price to</w:t>
      </w:r>
    </w:p>
    <w:p>
      <w:pPr>
        <w:spacing w:after="0"/>
        <w:rPr>
          <w:sz w:val="20"/>
          <w:szCs w:val="20"/>
          <w:color w:val="auto"/>
        </w:rPr>
      </w:pPr>
      <w:r>
        <w:rPr>
          <w:rFonts w:ascii="Courier New" w:cs="Courier New" w:eastAsia="Courier New" w:hAnsi="Courier New"/>
          <w:sz w:val="16"/>
          <w:szCs w:val="16"/>
          <w:color w:val="auto"/>
        </w:rPr>
        <w:t>$200,889 in the first quarter of fiscal 2003. The acquisition was accounted for</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 a business combination using the purchase method of accounting, as required</w:t>
      </w:r>
    </w:p>
    <w:p>
      <w:pPr>
        <w:spacing w:after="0" w:line="238" w:lineRule="auto"/>
        <w:rPr>
          <w:sz w:val="20"/>
          <w:szCs w:val="20"/>
          <w:color w:val="auto"/>
        </w:rPr>
      </w:pPr>
      <w:r>
        <w:rPr>
          <w:rFonts w:ascii="Courier New" w:cs="Courier New" w:eastAsia="Courier New" w:hAnsi="Courier New"/>
          <w:sz w:val="18"/>
          <w:szCs w:val="18"/>
          <w:color w:val="auto"/>
        </w:rPr>
        <w:t>by SFAS No. 141. The fair market value of Clarify's assets and liabilities has</w:t>
      </w:r>
    </w:p>
    <w:p>
      <w:pPr>
        <w:spacing w:after="0"/>
        <w:rPr>
          <w:sz w:val="20"/>
          <w:szCs w:val="20"/>
          <w:color w:val="auto"/>
        </w:rPr>
      </w:pPr>
      <w:r>
        <w:rPr>
          <w:rFonts w:ascii="Courier New" w:cs="Courier New" w:eastAsia="Courier New" w:hAnsi="Courier New"/>
          <w:sz w:val="18"/>
          <w:szCs w:val="18"/>
          <w:color w:val="auto"/>
        </w:rPr>
        <w:t>been included in the Company's consolidated balance sheet and the results of</w:t>
      </w:r>
    </w:p>
    <w:p>
      <w:pPr>
        <w:spacing w:after="0" w:line="238" w:lineRule="auto"/>
        <w:rPr>
          <w:sz w:val="20"/>
          <w:szCs w:val="20"/>
          <w:color w:val="auto"/>
        </w:rPr>
      </w:pPr>
      <w:r>
        <w:rPr>
          <w:rFonts w:ascii="Courier New" w:cs="Courier New" w:eastAsia="Courier New" w:hAnsi="Courier New"/>
          <w:sz w:val="18"/>
          <w:szCs w:val="18"/>
          <w:color w:val="auto"/>
        </w:rPr>
        <w:t>Clarify's operations are included in the Company's consolidated statements of</w:t>
      </w:r>
    </w:p>
    <w:p>
      <w:pPr>
        <w:spacing w:after="0"/>
        <w:rPr>
          <w:sz w:val="20"/>
          <w:szCs w:val="20"/>
          <w:color w:val="auto"/>
        </w:rPr>
      </w:pPr>
      <w:r>
        <w:rPr>
          <w:rFonts w:ascii="Courier New" w:cs="Courier New" w:eastAsia="Courier New" w:hAnsi="Courier New"/>
          <w:sz w:val="16"/>
          <w:szCs w:val="16"/>
          <w:color w:val="auto"/>
        </w:rPr>
        <w:t>operations, commencing on November 29, 2001. The Company obtained a valuation of</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intangible assets acquired in the Clarify transaction. The value of acquired</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technology included both existing technology and in-process research and</w:t>
      </w:r>
    </w:p>
    <w:p>
      <w:pPr>
        <w:spacing w:after="0" w:line="238" w:lineRule="auto"/>
        <w:rPr>
          <w:sz w:val="20"/>
          <w:szCs w:val="20"/>
          <w:color w:val="auto"/>
        </w:rPr>
      </w:pPr>
      <w:r>
        <w:rPr>
          <w:rFonts w:ascii="Courier New" w:cs="Courier New" w:eastAsia="Courier New" w:hAnsi="Courier New"/>
          <w:sz w:val="18"/>
          <w:szCs w:val="18"/>
          <w:color w:val="auto"/>
        </w:rPr>
        <w:t>development. The valuation of these items was made by applying the income</w:t>
      </w:r>
    </w:p>
    <w:p>
      <w:pPr>
        <w:spacing w:after="0"/>
        <w:rPr>
          <w:sz w:val="20"/>
          <w:szCs w:val="20"/>
          <w:color w:val="auto"/>
        </w:rPr>
      </w:pPr>
      <w:r>
        <w:rPr>
          <w:rFonts w:ascii="Courier New" w:cs="Courier New" w:eastAsia="Courier New" w:hAnsi="Courier New"/>
          <w:sz w:val="18"/>
          <w:szCs w:val="18"/>
          <w:color w:val="auto"/>
        </w:rPr>
        <w:t>forecast method, which considered the present value of cash flows by product</w:t>
      </w:r>
    </w:p>
    <w:p>
      <w:pPr>
        <w:spacing w:after="0" w:line="238" w:lineRule="auto"/>
        <w:rPr>
          <w:sz w:val="20"/>
          <w:szCs w:val="20"/>
          <w:color w:val="auto"/>
        </w:rPr>
      </w:pPr>
      <w:r>
        <w:rPr>
          <w:rFonts w:ascii="Courier New" w:cs="Courier New" w:eastAsia="Courier New" w:hAnsi="Courier New"/>
          <w:sz w:val="18"/>
          <w:szCs w:val="18"/>
          <w:color w:val="auto"/>
        </w:rPr>
        <w:t>lines. Of the $65,600 of acquired identifiable intangible assets, $17,400 was</w:t>
      </w:r>
    </w:p>
    <w:p>
      <w:pPr>
        <w:spacing w:after="0"/>
        <w:rPr>
          <w:sz w:val="20"/>
          <w:szCs w:val="20"/>
          <w:color w:val="auto"/>
        </w:rPr>
      </w:pPr>
      <w:r>
        <w:rPr>
          <w:rFonts w:ascii="Courier New" w:cs="Courier New" w:eastAsia="Courier New" w:hAnsi="Courier New"/>
          <w:sz w:val="18"/>
          <w:szCs w:val="18"/>
          <w:color w:val="auto"/>
        </w:rPr>
        <w:t>assigned to in-process research and development and was written off as of the</w:t>
      </w:r>
    </w:p>
    <w:p>
      <w:pPr>
        <w:spacing w:after="0" w:line="238" w:lineRule="auto"/>
        <w:rPr>
          <w:sz w:val="20"/>
          <w:szCs w:val="20"/>
          <w:color w:val="auto"/>
        </w:rPr>
      </w:pPr>
      <w:r>
        <w:rPr>
          <w:rFonts w:ascii="Courier New" w:cs="Courier New" w:eastAsia="Courier New" w:hAnsi="Courier New"/>
          <w:sz w:val="18"/>
          <w:szCs w:val="18"/>
          <w:color w:val="auto"/>
        </w:rPr>
        <w:t>closing date of the acquisition, in accordance with FASB Interpretation No. 4,</w:t>
      </w:r>
    </w:p>
    <w:p>
      <w:pPr>
        <w:spacing w:after="0"/>
        <w:rPr>
          <w:sz w:val="20"/>
          <w:szCs w:val="20"/>
          <w:color w:val="auto"/>
        </w:rPr>
      </w:pPr>
      <w:r>
        <w:rPr>
          <w:rFonts w:ascii="Courier New" w:cs="Courier New" w:eastAsia="Courier New" w:hAnsi="Courier New"/>
          <w:sz w:val="16"/>
          <w:szCs w:val="16"/>
          <w:color w:val="auto"/>
        </w:rPr>
        <w:t>"Applicability of FASB Statement No. 2 to Business Combinations Accounted for by</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Purchase Method". The fair value assigned to core technology was $13,400 and</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is being amortized over two years commencing on November 29, 2001. The fair</w:t>
      </w:r>
    </w:p>
    <w:p>
      <w:pPr>
        <w:spacing w:after="0"/>
        <w:rPr>
          <w:sz w:val="20"/>
          <w:szCs w:val="20"/>
          <w:color w:val="auto"/>
        </w:rPr>
      </w:pPr>
      <w:r>
        <w:rPr>
          <w:rFonts w:ascii="Courier New" w:cs="Courier New" w:eastAsia="Courier New" w:hAnsi="Courier New"/>
          <w:sz w:val="16"/>
          <w:szCs w:val="16"/>
          <w:color w:val="auto"/>
        </w:rPr>
        <w:t>value assigned to customer arrangements was $34,800 and is being amortized over</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three years commencing on November 29, 2001. The excess of the purchase price</w:t>
      </w:r>
    </w:p>
    <w:p>
      <w:pPr>
        <w:spacing w:after="0" w:line="238" w:lineRule="auto"/>
        <w:rPr>
          <w:sz w:val="20"/>
          <w:szCs w:val="20"/>
          <w:color w:val="auto"/>
        </w:rPr>
      </w:pPr>
      <w:r>
        <w:rPr>
          <w:rFonts w:ascii="Courier New" w:cs="Courier New" w:eastAsia="Courier New" w:hAnsi="Courier New"/>
          <w:sz w:val="18"/>
          <w:szCs w:val="18"/>
          <w:color w:val="auto"/>
        </w:rPr>
        <w:t>over the fair value of the net assets acquired, or goodwill, following the</w:t>
      </w:r>
    </w:p>
    <w:p>
      <w:pPr>
        <w:spacing w:after="0"/>
        <w:rPr>
          <w:sz w:val="20"/>
          <w:szCs w:val="20"/>
          <w:color w:val="auto"/>
        </w:rPr>
      </w:pPr>
      <w:r>
        <w:rPr>
          <w:rFonts w:ascii="Courier New" w:cs="Courier New" w:eastAsia="Courier New" w:hAnsi="Courier New"/>
          <w:sz w:val="18"/>
          <w:szCs w:val="18"/>
          <w:color w:val="auto"/>
        </w:rPr>
        <w:t>settlement was $147,734, of which $144,182 is tax deductible. The goodwill is</w:t>
      </w:r>
    </w:p>
    <w:p>
      <w:pPr>
        <w:spacing w:after="0"/>
        <w:rPr>
          <w:sz w:val="20"/>
          <w:szCs w:val="20"/>
          <w:color w:val="auto"/>
        </w:rPr>
      </w:pPr>
      <w:r>
        <w:rPr>
          <w:rFonts w:ascii="Courier New" w:cs="Courier New" w:eastAsia="Courier New" w:hAnsi="Courier New"/>
          <w:sz w:val="16"/>
          <w:szCs w:val="16"/>
          <w:color w:val="auto"/>
        </w:rPr>
        <w:t>accounted for under SFAS No. 142. In accordance with SFAS No. 142, goodwill from</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acquisitions after June 30, 2001 is no longer amortized, but is subject to</w:t>
      </w:r>
    </w:p>
    <w:p>
      <w:pPr>
        <w:spacing w:after="0"/>
        <w:rPr>
          <w:sz w:val="20"/>
          <w:szCs w:val="20"/>
          <w:color w:val="auto"/>
        </w:rPr>
      </w:pPr>
      <w:r>
        <w:rPr>
          <w:rFonts w:ascii="Courier New" w:cs="Courier New" w:eastAsia="Courier New" w:hAnsi="Courier New"/>
          <w:sz w:val="16"/>
          <w:szCs w:val="16"/>
          <w:color w:val="auto"/>
        </w:rPr>
        <w:t>periodic impairment tests. As a result, goodwill associated with the acquisition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Clarify is not amortized.</w:t>
      </w:r>
    </w:p>
    <w:p>
      <w:pPr>
        <w:spacing w:after="0" w:line="169" w:lineRule="exact"/>
        <w:rPr>
          <w:sz w:val="20"/>
          <w:szCs w:val="20"/>
          <w:color w:val="auto"/>
        </w:rPr>
      </w:pPr>
    </w:p>
    <w:p>
      <w:pPr>
        <w:ind w:right="2099" w:firstLine="527"/>
        <w:spacing w:after="0" w:line="347" w:lineRule="auto"/>
        <w:rPr>
          <w:sz w:val="20"/>
          <w:szCs w:val="20"/>
          <w:color w:val="auto"/>
        </w:rPr>
      </w:pPr>
      <w:r>
        <w:rPr>
          <w:rFonts w:ascii="Courier New" w:cs="Courier New" w:eastAsia="Courier New" w:hAnsi="Courier New"/>
          <w:sz w:val="18"/>
          <w:szCs w:val="18"/>
          <w:color w:val="auto"/>
        </w:rPr>
        <w:t>The following is the final allocation of the purchase price and deferred tax liability:</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40" w:type="dxa"/>
            <w:vAlign w:val="bottom"/>
          </w:tcPr>
          <w:p>
            <w:pPr>
              <w:spacing w:after="0"/>
              <w:rPr>
                <w:sz w:val="20"/>
                <w:szCs w:val="20"/>
                <w:color w:val="auto"/>
              </w:rPr>
            </w:pPr>
            <w:r>
              <w:rPr>
                <w:rFonts w:ascii="Courier New" w:cs="Courier New" w:eastAsia="Courier New" w:hAnsi="Courier New"/>
                <w:sz w:val="18"/>
                <w:szCs w:val="18"/>
                <w:color w:val="auto"/>
                <w:w w:val="99"/>
              </w:rPr>
              <w:t>Net liabilities acquired....................................</w:t>
            </w:r>
          </w:p>
        </w:tc>
        <w:tc>
          <w:tcPr>
            <w:tcW w:w="1040" w:type="dxa"/>
            <w:vAlign w:val="bottom"/>
          </w:tcPr>
          <w:p>
            <w:pPr>
              <w:jc w:val="right"/>
              <w:spacing w:after="0"/>
              <w:rPr>
                <w:sz w:val="20"/>
                <w:szCs w:val="20"/>
                <w:color w:val="auto"/>
              </w:rPr>
            </w:pPr>
            <w:r>
              <w:rPr>
                <w:rFonts w:ascii="Courier New" w:cs="Courier New" w:eastAsia="Courier New" w:hAnsi="Courier New"/>
                <w:sz w:val="18"/>
                <w:szCs w:val="18"/>
                <w:color w:val="auto"/>
              </w:rPr>
              <w:t>$ (9,574)</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Core technology.............................................</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13,400</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Customer arrangements.......................................</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34,800</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In-process research and development.........................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17,400</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Deferred tax liability......................................</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(2,871)</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Goodwill....................................................</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147,734</w:t>
            </w:r>
          </w:p>
        </w:tc>
      </w:tr>
      <w:tr>
        <w:trPr>
          <w:trHeight w:val="203"/>
        </w:trPr>
        <w:tc>
          <w:tcPr>
            <w:tcW w:w="644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$200,889</w:t>
            </w:r>
          </w:p>
        </w:tc>
      </w:tr>
      <w:tr>
        <w:trPr>
          <w:trHeight w:val="296"/>
        </w:trPr>
        <w:tc>
          <w:tcPr>
            <w:tcW w:w="6440" w:type="dxa"/>
            <w:vAlign w:val="bottom"/>
          </w:tcPr>
          <w:p>
            <w:pPr>
              <w:spacing w:after="0"/>
              <w:rPr>
                <w:sz w:val="24"/>
                <w:szCs w:val="24"/>
                <w:color w:val="auto"/>
              </w:rPr>
            </w:pPr>
          </w:p>
        </w:tc>
        <w:tc>
          <w:tcPr>
            <w:tcW w:w="10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r>
    </w:tbl>
    <w:p>
      <w:pPr>
        <w:spacing w:after="0" w:line="31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CERTEN</w:t>
      </w:r>
    </w:p>
    <w:p>
      <w:pPr>
        <w:spacing w:after="0" w:line="201" w:lineRule="exact"/>
        <w:rPr>
          <w:sz w:val="20"/>
          <w:szCs w:val="20"/>
          <w:color w:val="auto"/>
        </w:rPr>
      </w:pPr>
    </w:p>
    <w:p>
      <w:pPr>
        <w:ind w:right="1779" w:firstLine="527"/>
        <w:spacing w:after="0" w:line="246" w:lineRule="auto"/>
        <w:rPr>
          <w:sz w:val="20"/>
          <w:szCs w:val="20"/>
          <w:color w:val="auto"/>
        </w:rPr>
      </w:pPr>
      <w:r>
        <w:rPr>
          <w:rFonts w:ascii="Courier New" w:cs="Courier New" w:eastAsia="Courier New" w:hAnsi="Courier New"/>
          <w:sz w:val="18"/>
          <w:szCs w:val="18"/>
          <w:color w:val="auto"/>
        </w:rPr>
        <w:t>On July 2, 2003, the Company acquired from Bell Canada ("Bell") its 90% ownership interest in Certen Inc. ("Certen", which was renamed Amdocs Canada Managed Services, Inc.) for approximately $66,000 in cash. In addition the Company had related transaction costs of approximately $5,000. The Company and Bell formed Certen in January 2001 to provide customer care and billing solutions to Bell and a number of Bell's affiliated companies. This acquisition expanded the Company's Managed Services operation and positioned it as a major provider of Managed Services to the communications industry. Prior to this acquisition, Bell's ownership interest in Certen was 90% and the Company owned the remainder. As a result of the acquisition, Certen is now a wholly owned subsidiary of the Company. Since Certen's inception, the Company has provided customer care and billing software required by Certen, including related customization, installation, maintenance and other services. The Company now has a major billing operations Managed Services agreement with Bell through December 2010.</w:t>
      </w:r>
    </w:p>
    <w:p>
      <w:pPr>
        <w:spacing w:after="0" w:line="106" w:lineRule="exact"/>
        <w:rPr>
          <w:sz w:val="20"/>
          <w:szCs w:val="20"/>
          <w:color w:val="auto"/>
        </w:rPr>
      </w:pPr>
    </w:p>
    <w:p>
      <w:pPr>
        <w:ind w:right="1879" w:firstLine="527"/>
        <w:spacing w:after="0" w:line="292" w:lineRule="auto"/>
        <w:rPr>
          <w:sz w:val="20"/>
          <w:szCs w:val="20"/>
          <w:color w:val="auto"/>
        </w:rPr>
      </w:pPr>
      <w:r>
        <w:rPr>
          <w:rFonts w:ascii="Courier New" w:cs="Courier New" w:eastAsia="Courier New" w:hAnsi="Courier New"/>
          <w:sz w:val="18"/>
          <w:szCs w:val="18"/>
          <w:color w:val="auto"/>
        </w:rPr>
        <w:t>The acquisition was accounted for using the purchase method of accounting, as required by SFAS No. 141. The fair market value of Certen's assets and liabilities has been included in the Company's</w:t>
      </w:r>
    </w:p>
    <w:p>
      <w:pPr>
        <w:spacing w:after="0" w:line="6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F-19</w:t>
      </w:r>
    </w:p>
    <w:p>
      <w:pPr>
        <w:sectPr>
          <w:pgSz w:w="11900" w:h="16838" w:orient="portrait"/>
          <w:cols w:equalWidth="0" w:num="1">
            <w:col w:w="10219"/>
          </w:cols>
          <w:pgMar w:left="240" w:top="488" w:right="1440" w:bottom="793" w:gutter="0" w:footer="0" w:header="0"/>
        </w:sectPr>
      </w:pPr>
    </w:p>
    <w:bookmarkStart w:id="99" w:name="page100"/>
    <w:bookmarkEnd w:id="99"/>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3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(IN THOUSANDS, EXCEPT PER SHARE DATA)</w:t>
      </w:r>
    </w:p>
    <w:p>
      <w:pPr>
        <w:spacing w:after="0" w:line="169" w:lineRule="exact"/>
        <w:rPr>
          <w:sz w:val="20"/>
          <w:szCs w:val="20"/>
          <w:color w:val="auto"/>
        </w:rPr>
      </w:pPr>
    </w:p>
    <w:p>
      <w:pPr>
        <w:ind w:right="1779"/>
        <w:spacing w:after="0" w:line="243" w:lineRule="auto"/>
        <w:rPr>
          <w:sz w:val="20"/>
          <w:szCs w:val="20"/>
          <w:color w:val="auto"/>
        </w:rPr>
      </w:pPr>
      <w:r>
        <w:rPr>
          <w:rFonts w:ascii="Courier New" w:cs="Courier New" w:eastAsia="Courier New" w:hAnsi="Courier New"/>
          <w:sz w:val="18"/>
          <w:szCs w:val="18"/>
          <w:color w:val="auto"/>
        </w:rPr>
        <w:t>consolidated balance sheet and the results of Certen's operations are included in the Company's consolidated statements of operations, commencing on July 2, 2003. The Company is in the process of obtaining a valuation of the intangible assets acquired in the Certen transaction. A final determination of purchase accounting adjustments will be made following the completion of the valuation. The total purchase price is being allocated to Certen's assets and liabilities, including identifiable intangible, based on their respective estimated fair values, on the date the transaction was consummated. Because the Company had a preexisting right to utilize the Amdocs billing software and customization prior to the acquisition, the software and customization on Certen's books has no value to the Company. The value of the acquired customer arrangement was made by applying the income forecast method. The value assigned to the customer arrangement was $33,415 and is being amortized over seven and half years commencing on July 2, 2003 (the remaining life of the Managed Services agreement). The excess of the purchase price over the fair value of the net assets and identifiable intangible acquired, or goodwill, was $104,796, which is not tax deductible. The goodwill is accounted for under SFAS No. 142. In accordance with SFAS No. 142, goodwill from acquisitions after June 30, 2001 is no longer amortized, but is subject to periodic impairment tests. As a result, goodwill associated with the acquisition of Certen is not amortized. In addition, deferred taxes were recognized for the difference between the book and tax basis of certain assets and liabilities.</w:t>
      </w:r>
    </w:p>
    <w:p>
      <w:pPr>
        <w:spacing w:after="0" w:line="117" w:lineRule="exact"/>
        <w:rPr>
          <w:sz w:val="20"/>
          <w:szCs w:val="20"/>
          <w:color w:val="auto"/>
        </w:rPr>
      </w:pPr>
    </w:p>
    <w:p>
      <w:pPr>
        <w:ind w:right="1999" w:firstLine="527"/>
        <w:spacing w:after="0" w:line="253" w:lineRule="auto"/>
        <w:rPr>
          <w:sz w:val="20"/>
          <w:szCs w:val="20"/>
          <w:color w:val="auto"/>
        </w:rPr>
      </w:pPr>
      <w:r>
        <w:rPr>
          <w:rFonts w:ascii="Courier New" w:cs="Courier New" w:eastAsia="Courier New" w:hAnsi="Courier New"/>
          <w:sz w:val="18"/>
          <w:szCs w:val="18"/>
          <w:color w:val="auto"/>
        </w:rPr>
        <w:t>As mentioned above, prior to the acquisition Bell's ownership interest in Certen was 90% and the Company owned the remainder, and therefore the Company accounted for the investment in Certen under the cost method for its 10% ownership. In the fourth quarter of 2003, the Company recognized its 10% share in Certen's results prior to the acquisition. The Company's share in Certen's pre-acquisition results was a charge of $4,133, and is included in "restructuring charges, in-process research and development and other" for the year ended September 30, 2003.</w:t>
      </w:r>
    </w:p>
    <w:p>
      <w:pPr>
        <w:spacing w:after="0" w:line="104" w:lineRule="exact"/>
        <w:rPr>
          <w:sz w:val="20"/>
          <w:szCs w:val="20"/>
          <w:color w:val="auto"/>
        </w:rPr>
      </w:pPr>
    </w:p>
    <w:p>
      <w:pPr>
        <w:ind w:right="2419" w:firstLine="527"/>
        <w:spacing w:after="0" w:line="347" w:lineRule="auto"/>
        <w:rPr>
          <w:sz w:val="20"/>
          <w:szCs w:val="20"/>
          <w:color w:val="auto"/>
        </w:rPr>
      </w:pPr>
      <w:r>
        <w:rPr>
          <w:rFonts w:ascii="Courier New" w:cs="Courier New" w:eastAsia="Courier New" w:hAnsi="Courier New"/>
          <w:sz w:val="18"/>
          <w:szCs w:val="18"/>
          <w:color w:val="auto"/>
        </w:rPr>
        <w:t>The following is the preliminary allocation of the purchase price and deferred tax liability:</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4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7"/>
              </w:rPr>
              <w:t>Purchase price..............................................</w:t>
            </w:r>
          </w:p>
        </w:tc>
        <w:tc>
          <w:tcPr>
            <w:tcW w:w="10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$ 65,887</w:t>
            </w:r>
          </w:p>
        </w:tc>
        <w:tc>
          <w:tcPr>
            <w:tcW w:w="0" w:type="dxa"/>
            <w:vAlign w:val="bottom"/>
          </w:tcPr>
          <w:p>
            <w:pPr>
              <w:spacing w:after="0"/>
              <w:rPr>
                <w:sz w:val="1"/>
                <w:szCs w:val="1"/>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Estimated transaction costs...............................</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5,000</w:t>
            </w:r>
          </w:p>
        </w:tc>
        <w:tc>
          <w:tcPr>
            <w:tcW w:w="0" w:type="dxa"/>
            <w:vAlign w:val="bottom"/>
          </w:tcPr>
          <w:p>
            <w:pPr>
              <w:spacing w:after="0"/>
              <w:rPr>
                <w:sz w:val="1"/>
                <w:szCs w:val="1"/>
                <w:color w:val="auto"/>
              </w:rPr>
            </w:pPr>
          </w:p>
        </w:tc>
      </w:tr>
      <w:tr>
        <w:trPr>
          <w:trHeight w:val="203"/>
        </w:trPr>
        <w:tc>
          <w:tcPr>
            <w:tcW w:w="644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Total purchase price......................................</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440" w:type="dxa"/>
            <w:vAlign w:val="bottom"/>
            <w:vMerge w:val="continue"/>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70,887</w:t>
            </w:r>
          </w:p>
        </w:tc>
        <w:tc>
          <w:tcPr>
            <w:tcW w:w="0" w:type="dxa"/>
            <w:vAlign w:val="bottom"/>
          </w:tcPr>
          <w:p>
            <w:pPr>
              <w:spacing w:after="0"/>
              <w:rPr>
                <w:sz w:val="1"/>
                <w:szCs w:val="1"/>
                <w:color w:val="auto"/>
              </w:rPr>
            </w:pP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Write-off of deferred revenue and allowance on Amdocs</w:t>
            </w:r>
          </w:p>
        </w:tc>
        <w:tc>
          <w:tcPr>
            <w:tcW w:w="10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(33,666)</w:t>
            </w:r>
          </w:p>
        </w:tc>
        <w:tc>
          <w:tcPr>
            <w:tcW w:w="0" w:type="dxa"/>
            <w:vAlign w:val="bottom"/>
          </w:tcPr>
          <w:p>
            <w:pPr>
              <w:spacing w:after="0"/>
              <w:rPr>
                <w:sz w:val="1"/>
                <w:szCs w:val="1"/>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books, net of tax......................................</w:t>
            </w: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Net amount for purchase price allocation..................</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440" w:type="dxa"/>
            <w:vAlign w:val="bottom"/>
            <w:vMerge w:val="continue"/>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$ 37,221</w:t>
            </w:r>
          </w:p>
        </w:tc>
        <w:tc>
          <w:tcPr>
            <w:tcW w:w="0" w:type="dxa"/>
            <w:vAlign w:val="bottom"/>
          </w:tcPr>
          <w:p>
            <w:pPr>
              <w:spacing w:after="0"/>
              <w:rPr>
                <w:sz w:val="1"/>
                <w:szCs w:val="1"/>
                <w:color w:val="auto"/>
              </w:rPr>
            </w:pPr>
          </w:p>
        </w:tc>
      </w:tr>
      <w:tr>
        <w:trPr>
          <w:trHeight w:val="296"/>
        </w:trPr>
        <w:tc>
          <w:tcPr>
            <w:tcW w:w="6440" w:type="dxa"/>
            <w:vAlign w:val="bottom"/>
            <w:vMerge w:val="restart"/>
          </w:tcPr>
          <w:p>
            <w:pPr>
              <w:jc w:val="right"/>
              <w:ind w:right="3292"/>
              <w:spacing w:after="0"/>
              <w:rPr>
                <w:sz w:val="20"/>
                <w:szCs w:val="20"/>
                <w:color w:val="auto"/>
              </w:rPr>
            </w:pPr>
            <w:r>
              <w:rPr>
                <w:rFonts w:ascii="Courier New" w:cs="Courier New" w:eastAsia="Courier New" w:hAnsi="Courier New"/>
                <w:sz w:val="18"/>
                <w:szCs w:val="18"/>
                <w:color w:val="auto"/>
                <w:w w:val="97"/>
              </w:rPr>
              <w:t>Allocation of purchase price:</w:t>
            </w:r>
          </w:p>
        </w:tc>
        <w:tc>
          <w:tcPr>
            <w:tcW w:w="10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644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90% tangible assets acquired, net of capitalized Amdocs</w:t>
            </w:r>
          </w:p>
        </w:tc>
        <w:tc>
          <w:tcPr>
            <w:tcW w:w="10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$ 87,769</w:t>
            </w:r>
          </w:p>
        </w:tc>
        <w:tc>
          <w:tcPr>
            <w:tcW w:w="0" w:type="dxa"/>
            <w:vAlign w:val="bottom"/>
          </w:tcPr>
          <w:p>
            <w:pPr>
              <w:spacing w:after="0"/>
              <w:rPr>
                <w:sz w:val="1"/>
                <w:szCs w:val="1"/>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system on Certen's books...............................</w:t>
            </w: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90% liabilities assumed...................................</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(244,112)</w:t>
            </w:r>
          </w:p>
        </w:tc>
        <w:tc>
          <w:tcPr>
            <w:tcW w:w="0" w:type="dxa"/>
            <w:vAlign w:val="bottom"/>
          </w:tcPr>
          <w:p>
            <w:pPr>
              <w:spacing w:after="0"/>
              <w:rPr>
                <w:sz w:val="1"/>
                <w:szCs w:val="1"/>
                <w:color w:val="auto"/>
              </w:rPr>
            </w:pPr>
          </w:p>
        </w:tc>
      </w:tr>
      <w:tr>
        <w:trPr>
          <w:trHeight w:val="203"/>
        </w:trPr>
        <w:tc>
          <w:tcPr>
            <w:tcW w:w="644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Net tangible assets.......................................</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440" w:type="dxa"/>
            <w:vAlign w:val="bottom"/>
            <w:vMerge w:val="continue"/>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(156,343)</w:t>
            </w:r>
          </w:p>
        </w:tc>
        <w:tc>
          <w:tcPr>
            <w:tcW w:w="0" w:type="dxa"/>
            <w:vAlign w:val="bottom"/>
          </w:tcPr>
          <w:p>
            <w:pPr>
              <w:spacing w:after="0"/>
              <w:rPr>
                <w:sz w:val="1"/>
                <w:szCs w:val="1"/>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Customer arrangement......................................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33,415</w:t>
            </w:r>
          </w:p>
        </w:tc>
        <w:tc>
          <w:tcPr>
            <w:tcW w:w="0" w:type="dxa"/>
            <w:vAlign w:val="bottom"/>
          </w:tcPr>
          <w:p>
            <w:pPr>
              <w:spacing w:after="0"/>
              <w:rPr>
                <w:sz w:val="1"/>
                <w:szCs w:val="1"/>
                <w:color w:val="auto"/>
              </w:rPr>
            </w:pP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Adjustment to fair value of pension and other</w:t>
            </w:r>
          </w:p>
        </w:tc>
        <w:tc>
          <w:tcPr>
            <w:tcW w:w="10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(10,202)</w:t>
            </w:r>
          </w:p>
        </w:tc>
        <w:tc>
          <w:tcPr>
            <w:tcW w:w="0" w:type="dxa"/>
            <w:vAlign w:val="bottom"/>
          </w:tcPr>
          <w:p>
            <w:pPr>
              <w:spacing w:after="0"/>
              <w:rPr>
                <w:sz w:val="1"/>
                <w:szCs w:val="1"/>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post-employment benefit liabilities....................</w:t>
            </w: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EITF 95-3 and other liabilities...........................</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(8,704)</w:t>
            </w:r>
          </w:p>
        </w:tc>
        <w:tc>
          <w:tcPr>
            <w:tcW w:w="0" w:type="dxa"/>
            <w:vAlign w:val="bottom"/>
          </w:tcPr>
          <w:p>
            <w:pPr>
              <w:spacing w:after="0"/>
              <w:rPr>
                <w:sz w:val="1"/>
                <w:szCs w:val="1"/>
                <w:color w:val="auto"/>
              </w:rPr>
            </w:pP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Deferred taxes resulting from the difference between the</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assigned value of certain assets and liabilities and</w:t>
            </w:r>
          </w:p>
        </w:tc>
        <w:tc>
          <w:tcPr>
            <w:tcW w:w="10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74,259</w:t>
            </w:r>
          </w:p>
        </w:tc>
        <w:tc>
          <w:tcPr>
            <w:tcW w:w="0" w:type="dxa"/>
            <w:vAlign w:val="bottom"/>
          </w:tcPr>
          <w:p>
            <w:pPr>
              <w:spacing w:after="0"/>
              <w:rPr>
                <w:sz w:val="1"/>
                <w:szCs w:val="1"/>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their respective tax bases.............................</w:t>
            </w: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Net fair value of tangible assets acquired................</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440" w:type="dxa"/>
            <w:vAlign w:val="bottom"/>
            <w:vMerge w:val="continue"/>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(67,575)</w:t>
            </w:r>
          </w:p>
        </w:tc>
        <w:tc>
          <w:tcPr>
            <w:tcW w:w="0" w:type="dxa"/>
            <w:vAlign w:val="bottom"/>
          </w:tcPr>
          <w:p>
            <w:pPr>
              <w:spacing w:after="0"/>
              <w:rPr>
                <w:sz w:val="1"/>
                <w:szCs w:val="1"/>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Goodwill..................................................</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104,796</w:t>
            </w:r>
          </w:p>
        </w:tc>
        <w:tc>
          <w:tcPr>
            <w:tcW w:w="0" w:type="dxa"/>
            <w:vAlign w:val="bottom"/>
          </w:tcPr>
          <w:p>
            <w:pPr>
              <w:spacing w:after="0"/>
              <w:rPr>
                <w:sz w:val="1"/>
                <w:szCs w:val="1"/>
                <w:color w:val="auto"/>
              </w:rPr>
            </w:pPr>
          </w:p>
        </w:tc>
      </w:tr>
      <w:tr>
        <w:trPr>
          <w:trHeight w:val="203"/>
        </w:trPr>
        <w:tc>
          <w:tcPr>
            <w:tcW w:w="644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44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$ 37,221</w:t>
            </w:r>
          </w:p>
        </w:tc>
        <w:tc>
          <w:tcPr>
            <w:tcW w:w="0" w:type="dxa"/>
            <w:vAlign w:val="bottom"/>
          </w:tcPr>
          <w:p>
            <w:pPr>
              <w:spacing w:after="0"/>
              <w:rPr>
                <w:sz w:val="1"/>
                <w:szCs w:val="1"/>
                <w:color w:val="auto"/>
              </w:rPr>
            </w:pPr>
          </w:p>
        </w:tc>
      </w:tr>
      <w:tr>
        <w:trPr>
          <w:trHeight w:val="296"/>
        </w:trPr>
        <w:tc>
          <w:tcPr>
            <w:tcW w:w="6440" w:type="dxa"/>
            <w:vAlign w:val="bottom"/>
          </w:tcPr>
          <w:p>
            <w:pPr>
              <w:spacing w:after="0"/>
              <w:rPr>
                <w:sz w:val="24"/>
                <w:szCs w:val="24"/>
                <w:color w:val="auto"/>
              </w:rPr>
            </w:pPr>
          </w:p>
        </w:tc>
        <w:tc>
          <w:tcPr>
            <w:tcW w:w="10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608"/>
        </w:trPr>
        <w:tc>
          <w:tcPr>
            <w:tcW w:w="6440" w:type="dxa"/>
            <w:vAlign w:val="bottom"/>
          </w:tcPr>
          <w:p>
            <w:pPr>
              <w:jc w:val="right"/>
              <w:ind w:right="1812"/>
              <w:spacing w:after="0"/>
              <w:rPr>
                <w:sz w:val="20"/>
                <w:szCs w:val="20"/>
                <w:color w:val="auto"/>
              </w:rPr>
            </w:pPr>
            <w:r>
              <w:rPr>
                <w:rFonts w:ascii="Courier New" w:cs="Courier New" w:eastAsia="Courier New" w:hAnsi="Courier New"/>
                <w:sz w:val="18"/>
                <w:szCs w:val="18"/>
                <w:color w:val="auto"/>
              </w:rPr>
              <w:t>F-20</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488" w:right="1440" w:bottom="904" w:gutter="0" w:footer="0" w:header="0"/>
        </w:sectPr>
      </w:pPr>
    </w:p>
    <w:bookmarkStart w:id="100" w:name="page101"/>
    <w:bookmarkEnd w:id="100"/>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3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(IN THOUSANDS, EXCEPT PER SHARE DATA)</w:t>
      </w:r>
    </w:p>
    <w:p>
      <w:pPr>
        <w:spacing w:after="0" w:line="169" w:lineRule="exact"/>
        <w:rPr>
          <w:sz w:val="20"/>
          <w:szCs w:val="20"/>
          <w:color w:val="auto"/>
        </w:rPr>
      </w:pPr>
    </w:p>
    <w:p>
      <w:pPr>
        <w:ind w:right="1779" w:firstLine="527"/>
        <w:spacing w:after="0" w:line="265" w:lineRule="auto"/>
        <w:rPr>
          <w:sz w:val="20"/>
          <w:szCs w:val="20"/>
          <w:color w:val="auto"/>
        </w:rPr>
      </w:pPr>
      <w:r>
        <w:rPr>
          <w:rFonts w:ascii="Courier New" w:cs="Courier New" w:eastAsia="Courier New" w:hAnsi="Courier New"/>
          <w:sz w:val="18"/>
          <w:szCs w:val="18"/>
          <w:color w:val="auto"/>
        </w:rPr>
        <w:t>Set forth below is the unaudited pro forma revenue, operating income, net income (loss) and per share figures for the years ended September 30, 2003, 2002 and 2001, as if Clarify had been acquired as of October 1, 2000 and as if Certen had been acquired as of October 1, 2001 excluding the write-off of purchased in-process research and development:</w:t>
      </w:r>
    </w:p>
    <w:p>
      <w:pPr>
        <w:spacing w:after="0" w:line="90"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YEAR ENDED SEPTEMBER 30, ---------------</w:t>
      </w:r>
    </w:p>
    <w:p>
      <w:pPr>
        <w:spacing w:after="0" w:line="29"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--------------------- 2003 2002 2001 ---</w:t>
      </w:r>
    </w:p>
    <w:p>
      <w:pPr>
        <w:ind w:left="640"/>
        <w:spacing w:after="0" w:line="238" w:lineRule="auto"/>
        <w:rPr>
          <w:sz w:val="20"/>
          <w:szCs w:val="20"/>
          <w:color w:val="auto"/>
        </w:rPr>
      </w:pPr>
      <w:r>
        <w:rPr>
          <w:rFonts w:ascii="Courier New" w:cs="Courier New" w:eastAsia="Courier New" w:hAnsi="Courier New"/>
          <w:sz w:val="18"/>
          <w:szCs w:val="18"/>
          <w:color w:val="auto"/>
        </w:rPr>
        <w:t>------- ---------- ----------</w:t>
      </w:r>
    </w:p>
    <w:tbl>
      <w:tblPr>
        <w:tblLayout w:type="fixed"/>
        <w:tblInd w:w="0" w:type="dxa"/>
        <w:tblCellMar>
          <w:top w:w="0" w:type="dxa"/>
          <w:left w:w="0" w:type="dxa"/>
          <w:bottom w:w="0" w:type="dxa"/>
          <w:right w:w="0" w:type="dxa"/>
        </w:tblCellMar>
      </w:tblPr>
      <w:tr>
        <w:trPr>
          <w:trHeight w:val="171"/>
        </w:trPr>
        <w:tc>
          <w:tcPr>
            <w:tcW w:w="1640" w:type="dxa"/>
            <w:vAlign w:val="bottom"/>
          </w:tcPr>
          <w:p>
            <w:pPr>
              <w:jc w:val="right"/>
              <w:spacing w:after="0"/>
              <w:rPr>
                <w:sz w:val="20"/>
                <w:szCs w:val="20"/>
                <w:color w:val="auto"/>
              </w:rPr>
            </w:pPr>
            <w:r>
              <w:rPr>
                <w:rFonts w:ascii="Courier New" w:cs="Courier New" w:eastAsia="Courier New" w:hAnsi="Courier New"/>
                <w:sz w:val="9"/>
                <w:szCs w:val="9"/>
                <w:color w:val="auto"/>
                <w:w w:val="73"/>
              </w:rPr>
              <w:t>Revenue..................................</w:t>
            </w:r>
          </w:p>
        </w:tc>
        <w:tc>
          <w:tcPr>
            <w:tcW w:w="262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w w:val="96"/>
              </w:rPr>
              <w:t>$1,774,678 $1,776,063</w:t>
            </w:r>
          </w:p>
        </w:tc>
        <w:tc>
          <w:tcPr>
            <w:tcW w:w="0" w:type="dxa"/>
            <w:vAlign w:val="bottom"/>
          </w:tcPr>
          <w:p>
            <w:pPr>
              <w:spacing w:after="0"/>
              <w:rPr>
                <w:sz w:val="1"/>
                <w:szCs w:val="1"/>
                <w:color w:val="auto"/>
              </w:rPr>
            </w:pPr>
          </w:p>
        </w:tc>
      </w:tr>
      <w:tr>
        <w:trPr>
          <w:trHeight w:val="203"/>
        </w:trPr>
        <w:tc>
          <w:tcPr>
            <w:tcW w:w="1640" w:type="dxa"/>
            <w:vAlign w:val="bottom"/>
          </w:tcPr>
          <w:p>
            <w:pPr>
              <w:jc w:val="right"/>
              <w:ind w:right="25"/>
              <w:spacing w:after="0" w:line="203" w:lineRule="exact"/>
              <w:rPr>
                <w:sz w:val="20"/>
                <w:szCs w:val="20"/>
                <w:color w:val="auto"/>
              </w:rPr>
            </w:pPr>
            <w:r>
              <w:rPr>
                <w:rFonts w:ascii="Courier New" w:cs="Courier New" w:eastAsia="Courier New" w:hAnsi="Courier New"/>
                <w:sz w:val="18"/>
                <w:szCs w:val="18"/>
                <w:color w:val="auto"/>
              </w:rPr>
              <w:t>$1,621,957</w:t>
            </w:r>
          </w:p>
        </w:tc>
        <w:tc>
          <w:tcPr>
            <w:tcW w:w="2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Operating income</w:t>
            </w:r>
          </w:p>
        </w:tc>
        <w:tc>
          <w:tcPr>
            <w:tcW w:w="0" w:type="dxa"/>
            <w:vAlign w:val="bottom"/>
          </w:tcPr>
          <w:p>
            <w:pPr>
              <w:spacing w:after="0"/>
              <w:rPr>
                <w:sz w:val="1"/>
                <w:szCs w:val="1"/>
                <w:color w:val="auto"/>
              </w:rPr>
            </w:pPr>
          </w:p>
        </w:tc>
      </w:tr>
      <w:tr>
        <w:trPr>
          <w:trHeight w:val="203"/>
        </w:trPr>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w w:val="70"/>
              </w:rPr>
              <w:t>(loss)..................</w:t>
            </w:r>
          </w:p>
        </w:tc>
        <w:tc>
          <w:tcPr>
            <w:tcW w:w="2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189,978 (5,835)</w:t>
            </w:r>
          </w:p>
        </w:tc>
        <w:tc>
          <w:tcPr>
            <w:tcW w:w="0" w:type="dxa"/>
            <w:vAlign w:val="bottom"/>
          </w:tcPr>
          <w:p>
            <w:pPr>
              <w:spacing w:after="0"/>
              <w:rPr>
                <w:sz w:val="1"/>
                <w:szCs w:val="1"/>
                <w:color w:val="auto"/>
              </w:rPr>
            </w:pPr>
          </w:p>
        </w:tc>
      </w:tr>
      <w:tr>
        <w:trPr>
          <w:trHeight w:val="203"/>
        </w:trPr>
        <w:tc>
          <w:tcPr>
            <w:tcW w:w="42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8"/>
              </w:rPr>
              <w:t>27,218 Net income</w:t>
            </w:r>
          </w:p>
        </w:tc>
        <w:tc>
          <w:tcPr>
            <w:tcW w:w="0" w:type="dxa"/>
            <w:vAlign w:val="bottom"/>
          </w:tcPr>
          <w:p>
            <w:pPr>
              <w:spacing w:after="0"/>
              <w:rPr>
                <w:sz w:val="1"/>
                <w:szCs w:val="1"/>
                <w:color w:val="auto"/>
              </w:rPr>
            </w:pPr>
          </w:p>
        </w:tc>
      </w:tr>
      <w:tr>
        <w:trPr>
          <w:trHeight w:val="235"/>
        </w:trPr>
        <w:tc>
          <w:tcPr>
            <w:tcW w:w="1640" w:type="dxa"/>
            <w:vAlign w:val="bottom"/>
          </w:tcPr>
          <w:p>
            <w:pPr>
              <w:jc w:val="right"/>
              <w:spacing w:after="0"/>
              <w:rPr>
                <w:sz w:val="20"/>
                <w:szCs w:val="20"/>
                <w:color w:val="auto"/>
              </w:rPr>
            </w:pPr>
            <w:r>
              <w:rPr>
                <w:rFonts w:ascii="Courier New" w:cs="Courier New" w:eastAsia="Courier New" w:hAnsi="Courier New"/>
                <w:sz w:val="12"/>
                <w:szCs w:val="12"/>
                <w:color w:val="auto"/>
                <w:w w:val="74"/>
              </w:rPr>
              <w:t>(loss)........................</w:t>
            </w:r>
          </w:p>
        </w:tc>
        <w:tc>
          <w:tcPr>
            <w:tcW w:w="26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151,441</w:t>
            </w:r>
          </w:p>
        </w:tc>
        <w:tc>
          <w:tcPr>
            <w:tcW w:w="0" w:type="dxa"/>
            <w:vAlign w:val="bottom"/>
          </w:tcPr>
          <w:p>
            <w:pPr>
              <w:spacing w:after="0"/>
              <w:rPr>
                <w:sz w:val="1"/>
                <w:szCs w:val="1"/>
                <w:color w:val="auto"/>
              </w:rPr>
            </w:pPr>
          </w:p>
        </w:tc>
      </w:tr>
    </w:tbl>
    <w:p>
      <w:pPr>
        <w:ind w:left="100"/>
        <w:spacing w:after="0" w:line="238" w:lineRule="auto"/>
        <w:rPr>
          <w:sz w:val="20"/>
          <w:szCs w:val="20"/>
          <w:color w:val="auto"/>
        </w:rPr>
      </w:pPr>
      <w:r>
        <w:rPr>
          <w:rFonts w:ascii="Courier New" w:cs="Courier New" w:eastAsia="Courier New" w:hAnsi="Courier New"/>
          <w:sz w:val="18"/>
          <w:szCs w:val="18"/>
          <w:color w:val="auto"/>
        </w:rPr>
        <w:t>(44,097) (33,521) Basic earnings (loss)</w:t>
      </w:r>
    </w:p>
    <w:p>
      <w:pPr>
        <w:jc w:val="center"/>
        <w:ind w:right="5899"/>
        <w:spacing w:after="0"/>
        <w:rPr>
          <w:sz w:val="20"/>
          <w:szCs w:val="20"/>
          <w:color w:val="auto"/>
        </w:rPr>
      </w:pPr>
      <w:r>
        <w:rPr>
          <w:rFonts w:ascii="Courier New" w:cs="Courier New" w:eastAsia="Courier New" w:hAnsi="Courier New"/>
          <w:sz w:val="18"/>
          <w:szCs w:val="18"/>
          <w:color w:val="auto"/>
        </w:rPr>
        <w:t>per share.......... 0.70 (0.20) (0.15)</w:t>
      </w:r>
    </w:p>
    <w:p>
      <w:pPr>
        <w:jc w:val="center"/>
        <w:ind w:right="5899"/>
        <w:spacing w:after="0" w:line="238" w:lineRule="auto"/>
        <w:rPr>
          <w:sz w:val="20"/>
          <w:szCs w:val="20"/>
          <w:color w:val="auto"/>
        </w:rPr>
      </w:pPr>
      <w:r>
        <w:rPr>
          <w:rFonts w:ascii="Courier New" w:cs="Courier New" w:eastAsia="Courier New" w:hAnsi="Courier New"/>
          <w:sz w:val="18"/>
          <w:szCs w:val="18"/>
          <w:color w:val="auto"/>
        </w:rPr>
        <w:t>Diluted earnings (loss) per</w:t>
      </w:r>
    </w:p>
    <w:p>
      <w:pPr>
        <w:jc w:val="center"/>
        <w:ind w:right="5899"/>
        <w:spacing w:after="0"/>
        <w:rPr>
          <w:sz w:val="20"/>
          <w:szCs w:val="20"/>
          <w:color w:val="auto"/>
        </w:rPr>
      </w:pPr>
      <w:r>
        <w:rPr>
          <w:rFonts w:ascii="Courier New" w:cs="Courier New" w:eastAsia="Courier New" w:hAnsi="Courier New"/>
          <w:sz w:val="18"/>
          <w:szCs w:val="18"/>
          <w:color w:val="auto"/>
        </w:rPr>
        <w:t>share........ 0.69 (0.20) (0.15)</w:t>
      </w:r>
    </w:p>
    <w:p>
      <w:pPr>
        <w:spacing w:after="0" w:line="372" w:lineRule="exact"/>
        <w:rPr>
          <w:sz w:val="20"/>
          <w:szCs w:val="20"/>
          <w:color w:val="auto"/>
        </w:rPr>
      </w:pPr>
    </w:p>
    <w:p>
      <w:pPr>
        <w:ind w:right="1999" w:firstLine="527"/>
        <w:spacing w:after="0" w:line="289" w:lineRule="auto"/>
        <w:rPr>
          <w:sz w:val="20"/>
          <w:szCs w:val="20"/>
          <w:color w:val="auto"/>
        </w:rPr>
      </w:pPr>
      <w:r>
        <w:rPr>
          <w:rFonts w:ascii="Courier New" w:cs="Courier New" w:eastAsia="Courier New" w:hAnsi="Courier New"/>
          <w:sz w:val="16"/>
          <w:szCs w:val="16"/>
          <w:color w:val="auto"/>
        </w:rPr>
        <w:t>As a result of SFAS No. 142, goodwill associated with acquisitions completed after June 30, 2001 is not amortized and, accordingly, the pro forma</w:t>
      </w:r>
    </w:p>
    <w:p>
      <w:pPr>
        <w:spacing w:after="0" w:line="1" w:lineRule="exact"/>
        <w:rPr>
          <w:sz w:val="20"/>
          <w:szCs w:val="20"/>
          <w:color w:val="auto"/>
        </w:rPr>
      </w:pPr>
    </w:p>
    <w:p>
      <w:pPr>
        <w:ind w:right="2099"/>
        <w:spacing w:after="0" w:line="309" w:lineRule="auto"/>
        <w:rPr>
          <w:sz w:val="20"/>
          <w:szCs w:val="20"/>
          <w:color w:val="auto"/>
        </w:rPr>
      </w:pPr>
      <w:r>
        <w:rPr>
          <w:rFonts w:ascii="Courier New" w:cs="Courier New" w:eastAsia="Courier New" w:hAnsi="Courier New"/>
          <w:sz w:val="18"/>
          <w:szCs w:val="18"/>
          <w:color w:val="auto"/>
        </w:rPr>
        <w:t>information above reflects no amortization of goodwill related to the Clarify and Certen acquisitions.</w:t>
      </w:r>
    </w:p>
    <w:p>
      <w:pPr>
        <w:spacing w:after="0" w:line="5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4 -- RELATED PARTY TRANSACTIONS</w:t>
      </w:r>
    </w:p>
    <w:p>
      <w:pPr>
        <w:spacing w:after="0" w:line="201" w:lineRule="exact"/>
        <w:rPr>
          <w:sz w:val="20"/>
          <w:szCs w:val="20"/>
          <w:color w:val="auto"/>
        </w:rPr>
      </w:pPr>
    </w:p>
    <w:p>
      <w:pPr>
        <w:ind w:right="1779" w:firstLine="527"/>
        <w:spacing w:after="0" w:line="265" w:lineRule="auto"/>
        <w:rPr>
          <w:sz w:val="20"/>
          <w:szCs w:val="20"/>
          <w:color w:val="auto"/>
        </w:rPr>
      </w:pPr>
      <w:r>
        <w:rPr>
          <w:rFonts w:ascii="Courier New" w:cs="Courier New" w:eastAsia="Courier New" w:hAnsi="Courier New"/>
          <w:sz w:val="18"/>
          <w:szCs w:val="18"/>
          <w:color w:val="auto"/>
        </w:rPr>
        <w:t>The financial information presented below includes balances with SBC Communications, Inc. ("SBC") and Certen, prior to its acquisition by the Company in July 2003. During the quarter ended December 31, 2002, SBC ceased to be a principal shareholder of the Company, according to SFAS No. 57, "Related Party Disclosures", and thus is no longer a related party.</w:t>
      </w:r>
    </w:p>
    <w:p>
      <w:pPr>
        <w:spacing w:after="0" w:line="90" w:lineRule="exact"/>
        <w:rPr>
          <w:sz w:val="20"/>
          <w:szCs w:val="20"/>
          <w:color w:val="auto"/>
        </w:rPr>
      </w:pPr>
    </w:p>
    <w:p>
      <w:pPr>
        <w:ind w:right="2419" w:firstLine="527"/>
        <w:spacing w:after="0" w:line="347" w:lineRule="auto"/>
        <w:rPr>
          <w:sz w:val="20"/>
          <w:szCs w:val="20"/>
          <w:color w:val="auto"/>
        </w:rPr>
      </w:pPr>
      <w:r>
        <w:rPr>
          <w:rFonts w:ascii="Courier New" w:cs="Courier New" w:eastAsia="Courier New" w:hAnsi="Courier New"/>
          <w:sz w:val="18"/>
          <w:szCs w:val="18"/>
          <w:color w:val="auto"/>
        </w:rPr>
        <w:t>The following related party balances are included in the consolidated balance sheet as of September 30, 2002:</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40" w:type="dxa"/>
            <w:vAlign w:val="bottom"/>
            <w:gridSpan w:val="2"/>
          </w:tcPr>
          <w:p>
            <w:pPr>
              <w:spacing w:after="0"/>
              <w:rPr>
                <w:sz w:val="20"/>
                <w:szCs w:val="20"/>
                <w:color w:val="auto"/>
              </w:rPr>
            </w:pPr>
            <w:r>
              <w:rPr>
                <w:rFonts w:ascii="Courier New" w:cs="Courier New" w:eastAsia="Courier New" w:hAnsi="Courier New"/>
                <w:sz w:val="18"/>
                <w:szCs w:val="18"/>
                <w:color w:val="auto"/>
                <w:w w:val="99"/>
              </w:rPr>
              <w:t>Accounts receivable.........................................</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$55,458</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Prepaid expenses</w:t>
            </w:r>
          </w:p>
        </w:tc>
        <w:tc>
          <w:tcPr>
            <w:tcW w:w="4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and other current assets(1)................</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1,550</w:t>
            </w:r>
          </w:p>
        </w:tc>
      </w:tr>
      <w:tr>
        <w:trPr>
          <w:trHeight w:val="296"/>
        </w:trPr>
        <w:tc>
          <w:tcPr>
            <w:tcW w:w="1740" w:type="dxa"/>
            <w:vAlign w:val="bottom"/>
          </w:tcPr>
          <w:p>
            <w:pPr>
              <w:spacing w:after="0"/>
              <w:rPr>
                <w:sz w:val="20"/>
                <w:szCs w:val="20"/>
                <w:color w:val="auto"/>
              </w:rPr>
            </w:pPr>
            <w:r>
              <w:rPr>
                <w:rFonts w:ascii="Courier New" w:cs="Courier New" w:eastAsia="Courier New" w:hAnsi="Courier New"/>
                <w:sz w:val="18"/>
                <w:szCs w:val="18"/>
                <w:color w:val="auto"/>
                <w:w w:val="99"/>
              </w:rPr>
              <w:t>Other noncurrent</w:t>
            </w:r>
          </w:p>
        </w:tc>
        <w:tc>
          <w:tcPr>
            <w:tcW w:w="4700" w:type="dxa"/>
            <w:vAlign w:val="bottom"/>
          </w:tcPr>
          <w:p>
            <w:pPr>
              <w:ind w:left="60"/>
              <w:spacing w:after="0"/>
              <w:rPr>
                <w:sz w:val="20"/>
                <w:szCs w:val="20"/>
                <w:color w:val="auto"/>
              </w:rPr>
            </w:pPr>
            <w:r>
              <w:rPr>
                <w:rFonts w:ascii="Courier New" w:cs="Courier New" w:eastAsia="Courier New" w:hAnsi="Courier New"/>
                <w:sz w:val="18"/>
                <w:szCs w:val="18"/>
                <w:color w:val="auto"/>
                <w:w w:val="99"/>
              </w:rPr>
              <w:t>assets(2)..................................</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48,453</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31" w:lineRule="exact"/>
        <w:rPr>
          <w:sz w:val="20"/>
          <w:szCs w:val="20"/>
          <w:color w:val="auto"/>
        </w:rPr>
      </w:pPr>
    </w:p>
    <w:p>
      <w:pPr>
        <w:ind w:left="420" w:right="1879" w:hanging="412"/>
        <w:spacing w:after="0" w:line="309" w:lineRule="auto"/>
        <w:tabs>
          <w:tab w:leader="none" w:pos="420"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Consists of interest receivable accrued on convertible debentures issued to the Company by Certen.</w:t>
      </w:r>
    </w:p>
    <w:p>
      <w:pPr>
        <w:spacing w:after="0" w:line="50" w:lineRule="exact"/>
        <w:rPr>
          <w:rFonts w:ascii="Courier New" w:cs="Courier New" w:eastAsia="Courier New" w:hAnsi="Courier New"/>
          <w:sz w:val="18"/>
          <w:szCs w:val="18"/>
          <w:color w:val="auto"/>
        </w:rPr>
      </w:pPr>
    </w:p>
    <w:p>
      <w:pPr>
        <w:ind w:left="420" w:right="1879" w:hanging="412"/>
        <w:spacing w:after="0" w:line="274" w:lineRule="auto"/>
        <w:tabs>
          <w:tab w:leader="none" w:pos="420"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Consists of an investment by the Company in equity and convertible debentures of Certen. The investment in Certen was accounted for under the cost method, based on the Company's 10% ownership of Certen as of September 30, 2002.</w:t>
      </w:r>
    </w:p>
    <w:p>
      <w:pPr>
        <w:spacing w:after="0" w:line="82" w:lineRule="exact"/>
        <w:rPr>
          <w:sz w:val="20"/>
          <w:szCs w:val="20"/>
          <w:color w:val="auto"/>
        </w:rPr>
      </w:pPr>
    </w:p>
    <w:p>
      <w:pPr>
        <w:ind w:right="1779" w:firstLine="527"/>
        <w:spacing w:after="0" w:line="344" w:lineRule="auto"/>
        <w:rPr>
          <w:sz w:val="20"/>
          <w:szCs w:val="20"/>
          <w:color w:val="auto"/>
        </w:rPr>
      </w:pPr>
      <w:r>
        <w:rPr>
          <w:rFonts w:ascii="Courier New" w:cs="Courier New" w:eastAsia="Courier New" w:hAnsi="Courier New"/>
          <w:sz w:val="16"/>
          <w:szCs w:val="16"/>
          <w:color w:val="auto"/>
        </w:rPr>
        <w:t>The Company has licensed software and provided computer systems integration and related services to affiliates of SBC and to Certen. The following related party revenue is included in the consolidated statements of operations:</w:t>
      </w:r>
    </w:p>
    <w:p>
      <w:pPr>
        <w:spacing w:after="0" w:line="31"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YEAR ENDED SEPTEMBER 30, -----------------</w:t>
      </w:r>
    </w:p>
    <w:tbl>
      <w:tblPr>
        <w:tblLayout w:type="fixed"/>
        <w:tblInd w:w="0" w:type="dxa"/>
        <w:tblCellMar>
          <w:top w:w="0" w:type="dxa"/>
          <w:left w:w="0" w:type="dxa"/>
          <w:bottom w:w="0" w:type="dxa"/>
          <w:right w:w="0" w:type="dxa"/>
        </w:tblCellMar>
      </w:tblPr>
      <w:tr>
        <w:trPr>
          <w:trHeight w:val="201"/>
        </w:trPr>
        <w:tc>
          <w:tcPr>
            <w:tcW w:w="4000" w:type="dxa"/>
            <w:vAlign w:val="bottom"/>
            <w:gridSpan w:val="2"/>
          </w:tcPr>
          <w:p>
            <w:pPr>
              <w:ind w:left="60"/>
              <w:spacing w:after="0" w:line="201" w:lineRule="exact"/>
              <w:rPr>
                <w:sz w:val="20"/>
                <w:szCs w:val="20"/>
                <w:color w:val="auto"/>
              </w:rPr>
            </w:pPr>
            <w:r>
              <w:rPr>
                <w:rFonts w:ascii="Courier New" w:cs="Courier New" w:eastAsia="Courier New" w:hAnsi="Courier New"/>
                <w:sz w:val="18"/>
                <w:szCs w:val="18"/>
                <w:color w:val="auto"/>
                <w:w w:val="98"/>
              </w:rPr>
              <w:t>------------- 2003 2002 2001 --------</w:t>
            </w:r>
          </w:p>
        </w:tc>
        <w:tc>
          <w:tcPr>
            <w:tcW w:w="480" w:type="dxa"/>
            <w:vAlign w:val="bottom"/>
          </w:tcPr>
          <w:p>
            <w:pPr>
              <w:jc w:val="right"/>
              <w:spacing w:after="0" w:line="201"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000" w:type="dxa"/>
            <w:vAlign w:val="bottom"/>
            <w:gridSpan w:val="2"/>
          </w:tcPr>
          <w:p>
            <w:pPr>
              <w:ind w:left="1120"/>
              <w:spacing w:after="0" w:line="203" w:lineRule="exact"/>
              <w:rPr>
                <w:sz w:val="20"/>
                <w:szCs w:val="20"/>
                <w:color w:val="auto"/>
              </w:rPr>
            </w:pPr>
            <w:r>
              <w:rPr>
                <w:rFonts w:ascii="Courier New" w:cs="Courier New" w:eastAsia="Courier New" w:hAnsi="Courier New"/>
                <w:sz w:val="18"/>
                <w:szCs w:val="18"/>
                <w:color w:val="auto"/>
              </w:rPr>
              <w:t>---- -------- Revenue:</w:t>
            </w: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00" w:type="dxa"/>
            <w:vAlign w:val="bottom"/>
          </w:tcPr>
          <w:p>
            <w:pPr>
              <w:spacing w:after="0"/>
              <w:rPr>
                <w:sz w:val="20"/>
                <w:szCs w:val="20"/>
                <w:color w:val="auto"/>
              </w:rPr>
            </w:pPr>
            <w:r>
              <w:rPr>
                <w:rFonts w:ascii="Courier New" w:cs="Courier New" w:eastAsia="Courier New" w:hAnsi="Courier New"/>
                <w:sz w:val="14"/>
                <w:szCs w:val="14"/>
                <w:color w:val="auto"/>
                <w:w w:val="74"/>
              </w:rPr>
              <w:t>License....................................</w:t>
            </w:r>
          </w:p>
        </w:tc>
        <w:tc>
          <w:tcPr>
            <w:tcW w:w="130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w w:val="99"/>
              </w:rPr>
              <w:t>$ 37,356</w:t>
            </w: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0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w w:val="99"/>
              </w:rPr>
              <w:t>$ 3,827 $ 30,551</w:t>
            </w:r>
          </w:p>
        </w:tc>
        <w:tc>
          <w:tcPr>
            <w:tcW w:w="130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00" w:type="dxa"/>
            <w:vAlign w:val="bottom"/>
          </w:tcPr>
          <w:p>
            <w:pPr>
              <w:spacing w:after="0"/>
              <w:rPr>
                <w:sz w:val="20"/>
                <w:szCs w:val="20"/>
                <w:color w:val="auto"/>
              </w:rPr>
            </w:pPr>
            <w:r>
              <w:rPr>
                <w:rFonts w:ascii="Courier New" w:cs="Courier New" w:eastAsia="Courier New" w:hAnsi="Courier New"/>
                <w:sz w:val="14"/>
                <w:szCs w:val="14"/>
                <w:color w:val="auto"/>
                <w:w w:val="74"/>
              </w:rPr>
              <w:t>Service....................................</w:t>
            </w:r>
          </w:p>
        </w:tc>
        <w:tc>
          <w:tcPr>
            <w:tcW w:w="1300" w:type="dxa"/>
            <w:vAlign w:val="bottom"/>
            <w:vMerge w:val="restart"/>
          </w:tcPr>
          <w:p>
            <w:pPr>
              <w:jc w:val="right"/>
              <w:ind w:right="492"/>
              <w:spacing w:after="0"/>
              <w:rPr>
                <w:sz w:val="20"/>
                <w:szCs w:val="20"/>
                <w:color w:val="auto"/>
              </w:rPr>
            </w:pPr>
            <w:r>
              <w:rPr>
                <w:rFonts w:ascii="Courier New" w:cs="Courier New" w:eastAsia="Courier New" w:hAnsi="Courier New"/>
                <w:sz w:val="18"/>
                <w:szCs w:val="18"/>
                <w:color w:val="auto"/>
                <w:w w:val="92"/>
              </w:rPr>
              <w:t>264,278</w:t>
            </w: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700" w:type="dxa"/>
            <w:vAlign w:val="bottom"/>
          </w:tcPr>
          <w:p>
            <w:pPr>
              <w:ind w:left="1120"/>
              <w:spacing w:after="0"/>
              <w:rPr>
                <w:sz w:val="20"/>
                <w:szCs w:val="20"/>
                <w:color w:val="auto"/>
              </w:rPr>
            </w:pPr>
            <w:r>
              <w:rPr>
                <w:rFonts w:ascii="Courier New" w:cs="Courier New" w:eastAsia="Courier New" w:hAnsi="Courier New"/>
                <w:sz w:val="18"/>
                <w:szCs w:val="18"/>
                <w:color w:val="auto"/>
              </w:rPr>
              <w:t>84,122 314,341</w:t>
            </w:r>
          </w:p>
        </w:tc>
        <w:tc>
          <w:tcPr>
            <w:tcW w:w="130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ind w:right="1779" w:firstLine="527"/>
        <w:spacing w:after="0" w:line="274" w:lineRule="auto"/>
        <w:rPr>
          <w:sz w:val="20"/>
          <w:szCs w:val="20"/>
          <w:color w:val="auto"/>
        </w:rPr>
      </w:pPr>
      <w:r>
        <w:rPr>
          <w:rFonts w:ascii="Courier New" w:cs="Courier New" w:eastAsia="Courier New" w:hAnsi="Courier New"/>
          <w:sz w:val="18"/>
          <w:szCs w:val="18"/>
          <w:color w:val="auto"/>
        </w:rPr>
        <w:t>The year ended September 30, 2003 includes license and service revenue related only to Certen through the acquisition date, July 2, 2003. The years ended September 30, 2002 and 2001 include license and service revenue related to SBC and Certen.</w:t>
      </w:r>
    </w:p>
    <w:p>
      <w:pPr>
        <w:spacing w:after="0" w:line="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F-21</w:t>
      </w:r>
    </w:p>
    <w:p>
      <w:pPr>
        <w:sectPr>
          <w:pgSz w:w="11900" w:h="16838" w:orient="portrait"/>
          <w:cols w:equalWidth="0" w:num="1">
            <w:col w:w="10219"/>
          </w:cols>
          <w:pgMar w:left="240" w:top="488" w:right="1440" w:bottom="186" w:gutter="0" w:footer="0" w:header="0"/>
        </w:sectPr>
      </w:pPr>
    </w:p>
    <w:bookmarkStart w:id="101" w:name="page102"/>
    <w:bookmarkEnd w:id="101"/>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3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(IN THOUSANDS, EXCEPT PER SHARE DATA)</w:t>
      </w:r>
    </w:p>
    <w:p>
      <w:pPr>
        <w:spacing w:after="0" w:line="169" w:lineRule="exact"/>
        <w:rPr>
          <w:sz w:val="20"/>
          <w:szCs w:val="20"/>
          <w:color w:val="auto"/>
        </w:rPr>
      </w:pPr>
    </w:p>
    <w:p>
      <w:pPr>
        <w:ind w:right="2419" w:firstLine="527"/>
        <w:spacing w:after="0" w:line="347" w:lineRule="auto"/>
        <w:rPr>
          <w:sz w:val="20"/>
          <w:szCs w:val="20"/>
          <w:color w:val="auto"/>
        </w:rPr>
      </w:pPr>
      <w:r>
        <w:rPr>
          <w:rFonts w:ascii="Courier New" w:cs="Courier New" w:eastAsia="Courier New" w:hAnsi="Courier New"/>
          <w:sz w:val="18"/>
          <w:szCs w:val="18"/>
          <w:color w:val="auto"/>
        </w:rPr>
        <w:t>The following related party expenses are included in the consolidated statements of operations:</w:t>
      </w:r>
    </w:p>
    <w:p>
      <w:pPr>
        <w:spacing w:after="0" w:line="18"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YEAR ENDED SEPTEMBER 30, ---------------</w:t>
      </w:r>
    </w:p>
    <w:p>
      <w:pPr>
        <w:spacing w:after="0" w:line="29"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--------- 2003 2002 2001 ------ ------ -</w:t>
      </w:r>
    </w:p>
    <w:p>
      <w:pPr>
        <w:ind w:right="5899" w:firstLine="266"/>
        <w:spacing w:after="0" w:line="268" w:lineRule="auto"/>
        <w:tabs>
          <w:tab w:leader="none" w:pos="89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Operating expenses(1): Cost of service..................................</w:t>
      </w:r>
    </w:p>
    <w:p>
      <w:pPr>
        <w:ind w:left="1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 $2,642 $3,232 Selling, general and</w:t>
      </w:r>
    </w:p>
    <w:tbl>
      <w:tblPr>
        <w:tblLayout w:type="fixed"/>
        <w:tblInd w:w="100" w:type="dxa"/>
        <w:tblCellMar>
          <w:top w:w="0" w:type="dxa"/>
          <w:left w:w="0" w:type="dxa"/>
          <w:bottom w:w="0" w:type="dxa"/>
          <w:right w:w="0" w:type="dxa"/>
        </w:tblCellMar>
      </w:tblPr>
      <w:tr>
        <w:trPr>
          <w:trHeight w:val="171"/>
        </w:trPr>
        <w:tc>
          <w:tcPr>
            <w:tcW w:w="1480" w:type="dxa"/>
            <w:vAlign w:val="bottom"/>
          </w:tcPr>
          <w:p>
            <w:pPr>
              <w:spacing w:after="0" w:line="171" w:lineRule="exact"/>
              <w:rPr>
                <w:sz w:val="20"/>
                <w:szCs w:val="20"/>
                <w:color w:val="auto"/>
              </w:rPr>
            </w:pPr>
            <w:r>
              <w:rPr>
                <w:rFonts w:ascii="Courier New" w:cs="Courier New" w:eastAsia="Courier New" w:hAnsi="Courier New"/>
                <w:sz w:val="18"/>
                <w:szCs w:val="18"/>
                <w:color w:val="auto"/>
                <w:w w:val="96"/>
              </w:rPr>
              <w:t>administrative</w:t>
            </w:r>
          </w:p>
        </w:tc>
        <w:tc>
          <w:tcPr>
            <w:tcW w:w="2640" w:type="dxa"/>
            <w:vAlign w:val="bottom"/>
          </w:tcPr>
          <w:p>
            <w:pPr>
              <w:jc w:val="right"/>
              <w:spacing w:after="0" w:line="171" w:lineRule="exact"/>
              <w:rPr>
                <w:sz w:val="20"/>
                <w:szCs w:val="20"/>
                <w:color w:val="auto"/>
              </w:rPr>
            </w:pPr>
            <w:r>
              <w:rPr>
                <w:rFonts w:ascii="Courier New" w:cs="Courier New" w:eastAsia="Courier New" w:hAnsi="Courier New"/>
                <w:sz w:val="18"/>
                <w:szCs w:val="18"/>
                <w:color w:val="auto"/>
                <w:w w:val="97"/>
              </w:rPr>
              <w:t>.............. -- 336 663</w:t>
            </w:r>
          </w:p>
        </w:tc>
      </w:tr>
      <w:tr>
        <w:trPr>
          <w:trHeight w:val="203"/>
        </w:trPr>
        <w:tc>
          <w:tcPr>
            <w:tcW w:w="4120" w:type="dxa"/>
            <w:vAlign w:val="bottom"/>
            <w:gridSpan w:val="2"/>
          </w:tcPr>
          <w:p>
            <w:pPr>
              <w:ind w:left="700"/>
              <w:spacing w:after="0" w:line="203" w:lineRule="exact"/>
              <w:rPr>
                <w:sz w:val="20"/>
                <w:szCs w:val="20"/>
                <w:color w:val="auto"/>
              </w:rPr>
            </w:pPr>
            <w:r>
              <w:rPr>
                <w:rFonts w:ascii="Courier New" w:cs="Courier New" w:eastAsia="Courier New" w:hAnsi="Courier New"/>
                <w:sz w:val="18"/>
                <w:szCs w:val="18"/>
                <w:color w:val="auto"/>
              </w:rPr>
              <w:t>Interest income and other,</w:t>
            </w:r>
          </w:p>
        </w:tc>
      </w:tr>
      <w:tr>
        <w:trPr>
          <w:trHeight w:val="296"/>
        </w:trPr>
        <w:tc>
          <w:tcPr>
            <w:tcW w:w="1480" w:type="dxa"/>
            <w:vAlign w:val="bottom"/>
          </w:tcPr>
          <w:p>
            <w:pPr>
              <w:spacing w:after="0"/>
              <w:rPr>
                <w:sz w:val="20"/>
                <w:szCs w:val="20"/>
                <w:color w:val="auto"/>
              </w:rPr>
            </w:pPr>
            <w:r>
              <w:rPr>
                <w:rFonts w:ascii="Courier New" w:cs="Courier New" w:eastAsia="Courier New" w:hAnsi="Courier New"/>
                <w:sz w:val="14"/>
                <w:szCs w:val="14"/>
                <w:color w:val="auto"/>
                <w:w w:val="72"/>
              </w:rPr>
              <w:t>net(2)..................</w:t>
            </w:r>
          </w:p>
        </w:tc>
        <w:tc>
          <w:tcPr>
            <w:tcW w:w="2640" w:type="dxa"/>
            <w:vAlign w:val="bottom"/>
          </w:tcPr>
          <w:p>
            <w:pPr>
              <w:jc w:val="right"/>
              <w:spacing w:after="0"/>
              <w:rPr>
                <w:sz w:val="20"/>
                <w:szCs w:val="20"/>
                <w:color w:val="auto"/>
              </w:rPr>
            </w:pPr>
            <w:r>
              <w:rPr>
                <w:rFonts w:ascii="Courier New" w:cs="Courier New" w:eastAsia="Courier New" w:hAnsi="Courier New"/>
                <w:sz w:val="18"/>
                <w:szCs w:val="18"/>
                <w:color w:val="auto"/>
              </w:rPr>
              <w:t>1,662 1,886 89</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31" w:lineRule="exact"/>
        <w:rPr>
          <w:sz w:val="20"/>
          <w:szCs w:val="20"/>
          <w:color w:val="auto"/>
        </w:rPr>
      </w:pPr>
    </w:p>
    <w:p>
      <w:pPr>
        <w:ind w:left="420" w:right="2319" w:hanging="412"/>
        <w:spacing w:after="0" w:line="378" w:lineRule="auto"/>
        <w:tabs>
          <w:tab w:leader="none" w:pos="42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leased office space on a month-to-month basis and purchases other miscellaneous support services from affiliates of SBC.</w:t>
      </w:r>
    </w:p>
    <w:p>
      <w:pPr>
        <w:spacing w:after="0" w:line="4" w:lineRule="exact"/>
        <w:rPr>
          <w:rFonts w:ascii="Courier New" w:cs="Courier New" w:eastAsia="Courier New" w:hAnsi="Courier New"/>
          <w:sz w:val="16"/>
          <w:szCs w:val="16"/>
          <w:color w:val="auto"/>
        </w:rPr>
      </w:pPr>
    </w:p>
    <w:p>
      <w:pPr>
        <w:ind w:left="420" w:right="1779" w:hanging="412"/>
        <w:spacing w:after="0" w:line="306" w:lineRule="auto"/>
        <w:tabs>
          <w:tab w:leader="none" w:pos="42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interest and exchange rate differences, net of hedging, on the convertible debentures of Certen for the years ended September 30, 2002 and 2001, and for the year ended September 30, 2003 only through the acquisition date, July 2, 2003. Absent hedging, these amounts would be $9,344, $1,402 and $89 for the years ended September 30, 2003, 2002 and 2001, respectively.</w:t>
      </w:r>
    </w:p>
    <w:p>
      <w:pPr>
        <w:spacing w:after="0" w:line="6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5 -- SHORT-TERM INTEREST-BEARING INVESTMENTS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Short-term interest-bearing investments consisted of the following:</w:t>
      </w:r>
    </w:p>
    <w:p>
      <w:pPr>
        <w:spacing w:after="0" w:line="201"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8"/>
          <w:szCs w:val="18"/>
          <w:color w:val="auto"/>
        </w:rPr>
        <w:t>AMORTIZED COST MARKET VALUE AS OF</w:t>
      </w:r>
    </w:p>
    <w:p>
      <w:pPr>
        <w:spacing w:after="0" w:line="29"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SEPTEMBER 30, AS OF SEPTEMBER 30, --------</w:t>
      </w:r>
    </w:p>
    <w:tbl>
      <w:tblPr>
        <w:tblLayout w:type="fixed"/>
        <w:tblInd w:w="60" w:type="dxa"/>
        <w:tblCellMar>
          <w:top w:w="0" w:type="dxa"/>
          <w:left w:w="0" w:type="dxa"/>
          <w:bottom w:w="0" w:type="dxa"/>
          <w:right w:w="0" w:type="dxa"/>
        </w:tblCellMar>
      </w:tblPr>
      <w:tr>
        <w:trPr>
          <w:trHeight w:val="171"/>
        </w:trPr>
        <w:tc>
          <w:tcPr>
            <w:tcW w:w="940" w:type="dxa"/>
            <w:vAlign w:val="bottom"/>
            <w:vMerge w:val="restart"/>
          </w:tcPr>
          <w:p>
            <w:pPr>
              <w:jc w:val="right"/>
              <w:spacing w:after="0"/>
              <w:rPr>
                <w:sz w:val="20"/>
                <w:szCs w:val="20"/>
                <w:color w:val="auto"/>
              </w:rPr>
            </w:pPr>
            <w:r>
              <w:rPr>
                <w:rFonts w:ascii="Courier New" w:cs="Courier New" w:eastAsia="Courier New" w:hAnsi="Courier New"/>
                <w:sz w:val="17"/>
                <w:szCs w:val="17"/>
                <w:color w:val="auto"/>
                <w:w w:val="72"/>
                <w:vertAlign w:val="subscript"/>
              </w:rPr>
              <w:t>2003</w:t>
            </w:r>
            <w:r>
              <w:rPr>
                <w:rFonts w:ascii="Courier New" w:cs="Courier New" w:eastAsia="Courier New" w:hAnsi="Courier New"/>
                <w:sz w:val="11"/>
                <w:szCs w:val="11"/>
                <w:color w:val="auto"/>
                <w:w w:val="72"/>
              </w:rPr>
              <w:t>-----------</w:t>
            </w:r>
            <w:r>
              <w:rPr>
                <w:rFonts w:ascii="Courier New" w:cs="Courier New" w:eastAsia="Courier New" w:hAnsi="Courier New"/>
                <w:sz w:val="17"/>
                <w:szCs w:val="17"/>
                <w:color w:val="auto"/>
                <w:w w:val="72"/>
                <w:vertAlign w:val="subscript"/>
              </w:rPr>
              <w:t>2002</w:t>
            </w:r>
          </w:p>
        </w:tc>
        <w:tc>
          <w:tcPr>
            <w:tcW w:w="3480" w:type="dxa"/>
            <w:vAlign w:val="bottom"/>
            <w:gridSpan w:val="2"/>
          </w:tcPr>
          <w:p>
            <w:pPr>
              <w:jc w:val="right"/>
              <w:spacing w:after="0" w:line="170" w:lineRule="exact"/>
              <w:rPr>
                <w:sz w:val="20"/>
                <w:szCs w:val="20"/>
                <w:color w:val="auto"/>
              </w:rPr>
            </w:pPr>
            <w:r>
              <w:rPr>
                <w:rFonts w:ascii="Courier New" w:cs="Courier New" w:eastAsia="Courier New" w:hAnsi="Courier New"/>
                <w:sz w:val="18"/>
                <w:szCs w:val="18"/>
                <w:color w:val="auto"/>
              </w:rPr>
              <w:t>------------------- 2003 2002</w:t>
            </w:r>
          </w:p>
        </w:tc>
        <w:tc>
          <w:tcPr>
            <w:tcW w:w="0" w:type="dxa"/>
            <w:vAlign w:val="bottom"/>
          </w:tcPr>
          <w:p>
            <w:pPr>
              <w:spacing w:after="0"/>
              <w:rPr>
                <w:sz w:val="1"/>
                <w:szCs w:val="1"/>
                <w:color w:val="auto"/>
              </w:rPr>
            </w:pPr>
          </w:p>
        </w:tc>
      </w:tr>
      <w:tr>
        <w:trPr>
          <w:trHeight w:val="203"/>
        </w:trPr>
        <w:tc>
          <w:tcPr>
            <w:tcW w:w="940" w:type="dxa"/>
            <w:vAlign w:val="bottom"/>
            <w:vMerge w:val="continue"/>
          </w:tcPr>
          <w:p>
            <w:pPr>
              <w:spacing w:after="0"/>
              <w:rPr>
                <w:sz w:val="17"/>
                <w:szCs w:val="17"/>
                <w:color w:val="auto"/>
              </w:rPr>
            </w:pPr>
          </w:p>
        </w:tc>
        <w:tc>
          <w:tcPr>
            <w:tcW w:w="3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 -------- -----</w:t>
            </w:r>
          </w:p>
        </w:tc>
        <w:tc>
          <w:tcPr>
            <w:tcW w:w="0" w:type="dxa"/>
            <w:vAlign w:val="bottom"/>
          </w:tcPr>
          <w:p>
            <w:pPr>
              <w:spacing w:after="0"/>
              <w:rPr>
                <w:sz w:val="1"/>
                <w:szCs w:val="1"/>
                <w:color w:val="auto"/>
              </w:rPr>
            </w:pPr>
          </w:p>
        </w:tc>
      </w:tr>
      <w:tr>
        <w:trPr>
          <w:trHeight w:val="203"/>
        </w:trPr>
        <w:tc>
          <w:tcPr>
            <w:tcW w:w="940" w:type="dxa"/>
            <w:vAlign w:val="bottom"/>
          </w:tcPr>
          <w:p>
            <w:pPr>
              <w:spacing w:after="0"/>
              <w:rPr>
                <w:sz w:val="17"/>
                <w:szCs w:val="17"/>
                <w:color w:val="auto"/>
              </w:rPr>
            </w:pP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2"/>
                <w:szCs w:val="12"/>
                <w:color w:val="auto"/>
                <w:w w:val="70"/>
              </w:rPr>
              <w:t>...........................</w:t>
            </w:r>
            <w:r>
              <w:rPr>
                <w:rFonts w:ascii="Courier New" w:cs="Courier New" w:eastAsia="Courier New" w:hAnsi="Courier New"/>
                <w:sz w:val="18"/>
                <w:szCs w:val="18"/>
                <w:color w:val="auto"/>
                <w:w w:val="70"/>
                <w:vertAlign w:val="superscript"/>
              </w:rPr>
              <w:t>---Federal</w:t>
            </w:r>
          </w:p>
        </w:tc>
        <w:tc>
          <w:tcPr>
            <w:tcW w:w="15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840" w:type="dxa"/>
            <w:vAlign w:val="bottom"/>
            <w:gridSpan w:val="2"/>
          </w:tcPr>
          <w:p>
            <w:pPr>
              <w:jc w:val="right"/>
              <w:ind w:right="1660"/>
              <w:spacing w:after="0" w:line="203" w:lineRule="exact"/>
              <w:rPr>
                <w:sz w:val="20"/>
                <w:szCs w:val="20"/>
                <w:color w:val="auto"/>
              </w:rPr>
            </w:pPr>
            <w:r>
              <w:rPr>
                <w:rFonts w:ascii="Courier New" w:cs="Courier New" w:eastAsia="Courier New" w:hAnsi="Courier New"/>
                <w:sz w:val="18"/>
                <w:szCs w:val="18"/>
                <w:color w:val="auto"/>
              </w:rPr>
              <w:t>agencies</w:t>
            </w:r>
          </w:p>
        </w:tc>
        <w:tc>
          <w:tcPr>
            <w:tcW w:w="1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40" w:type="dxa"/>
            <w:vAlign w:val="bottom"/>
          </w:tcPr>
          <w:p>
            <w:pPr>
              <w:jc w:val="right"/>
              <w:ind w:right="16"/>
              <w:spacing w:after="0" w:line="203" w:lineRule="exact"/>
              <w:rPr>
                <w:sz w:val="20"/>
                <w:szCs w:val="20"/>
                <w:color w:val="auto"/>
              </w:rPr>
            </w:pPr>
            <w:r>
              <w:rPr>
                <w:rFonts w:ascii="Courier New" w:cs="Courier New" w:eastAsia="Courier New" w:hAnsi="Courier New"/>
                <w:sz w:val="18"/>
                <w:szCs w:val="18"/>
                <w:color w:val="auto"/>
              </w:rPr>
              <w:t>50,371</w:t>
            </w:r>
          </w:p>
        </w:tc>
        <w:tc>
          <w:tcPr>
            <w:tcW w:w="1900" w:type="dxa"/>
            <w:vAlign w:val="bottom"/>
          </w:tcPr>
          <w:p>
            <w:pPr>
              <w:jc w:val="right"/>
              <w:ind w:right="20"/>
              <w:spacing w:after="0" w:line="203" w:lineRule="exact"/>
              <w:rPr>
                <w:sz w:val="20"/>
                <w:szCs w:val="20"/>
                <w:color w:val="auto"/>
              </w:rPr>
            </w:pPr>
            <w:r>
              <w:rPr>
                <w:rFonts w:ascii="Courier New" w:cs="Courier New" w:eastAsia="Courier New" w:hAnsi="Courier New"/>
                <w:sz w:val="18"/>
                <w:szCs w:val="18"/>
                <w:color w:val="auto"/>
                <w:w w:val="96"/>
              </w:rPr>
              <w:t>$110,743 $ 50,403</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$112,092 U.S.</w:t>
            </w:r>
          </w:p>
        </w:tc>
        <w:tc>
          <w:tcPr>
            <w:tcW w:w="0" w:type="dxa"/>
            <w:vAlign w:val="bottom"/>
          </w:tcPr>
          <w:p>
            <w:pPr>
              <w:spacing w:after="0"/>
              <w:rPr>
                <w:sz w:val="1"/>
                <w:szCs w:val="1"/>
                <w:color w:val="auto"/>
              </w:rPr>
            </w:pPr>
          </w:p>
        </w:tc>
      </w:tr>
      <w:tr>
        <w:trPr>
          <w:trHeight w:val="203"/>
        </w:trPr>
        <w:tc>
          <w:tcPr>
            <w:tcW w:w="442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government treasuries.................</w:t>
            </w:r>
          </w:p>
        </w:tc>
        <w:tc>
          <w:tcPr>
            <w:tcW w:w="0" w:type="dxa"/>
            <w:vAlign w:val="bottom"/>
          </w:tcPr>
          <w:p>
            <w:pPr>
              <w:spacing w:after="0"/>
              <w:rPr>
                <w:sz w:val="1"/>
                <w:szCs w:val="1"/>
                <w:color w:val="auto"/>
              </w:rPr>
            </w:pPr>
          </w:p>
        </w:tc>
      </w:tr>
      <w:tr>
        <w:trPr>
          <w:trHeight w:val="203"/>
        </w:trPr>
        <w:tc>
          <w:tcPr>
            <w:tcW w:w="442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23,373 77,279 23,674 79,276 Corporate</w:t>
            </w:r>
          </w:p>
        </w:tc>
        <w:tc>
          <w:tcPr>
            <w:tcW w:w="0" w:type="dxa"/>
            <w:vAlign w:val="bottom"/>
          </w:tcPr>
          <w:p>
            <w:pPr>
              <w:spacing w:after="0"/>
              <w:rPr>
                <w:sz w:val="1"/>
                <w:szCs w:val="1"/>
                <w:color w:val="auto"/>
              </w:rPr>
            </w:pPr>
          </w:p>
        </w:tc>
      </w:tr>
      <w:tr>
        <w:trPr>
          <w:trHeight w:val="203"/>
        </w:trPr>
        <w:tc>
          <w:tcPr>
            <w:tcW w:w="2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9"/>
              </w:rPr>
              <w:t>backed obligations...............</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197,243</w:t>
            </w:r>
          </w:p>
        </w:tc>
        <w:tc>
          <w:tcPr>
            <w:tcW w:w="0" w:type="dxa"/>
            <w:vAlign w:val="bottom"/>
          </w:tcPr>
          <w:p>
            <w:pPr>
              <w:spacing w:after="0"/>
              <w:rPr>
                <w:sz w:val="1"/>
                <w:szCs w:val="1"/>
                <w:color w:val="auto"/>
              </w:rPr>
            </w:pPr>
          </w:p>
        </w:tc>
      </w:tr>
      <w:tr>
        <w:trPr>
          <w:trHeight w:val="203"/>
        </w:trPr>
        <w:tc>
          <w:tcPr>
            <w:tcW w:w="442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178,455 197,157 179,879 Corporate</w:t>
            </w:r>
          </w:p>
        </w:tc>
        <w:tc>
          <w:tcPr>
            <w:tcW w:w="0" w:type="dxa"/>
            <w:vAlign w:val="bottom"/>
          </w:tcPr>
          <w:p>
            <w:pPr>
              <w:spacing w:after="0"/>
              <w:rPr>
                <w:sz w:val="1"/>
                <w:szCs w:val="1"/>
                <w:color w:val="auto"/>
              </w:rPr>
            </w:pPr>
          </w:p>
        </w:tc>
      </w:tr>
      <w:tr>
        <w:trPr>
          <w:trHeight w:val="235"/>
        </w:trPr>
        <w:tc>
          <w:tcPr>
            <w:tcW w:w="28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79"/>
              </w:rPr>
              <w:t>bonds............................</w:t>
            </w:r>
          </w:p>
        </w:tc>
        <w:tc>
          <w:tcPr>
            <w:tcW w:w="15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64,153</w:t>
            </w:r>
          </w:p>
        </w:tc>
        <w:tc>
          <w:tcPr>
            <w:tcW w:w="0" w:type="dxa"/>
            <w:vAlign w:val="bottom"/>
          </w:tcPr>
          <w:p>
            <w:pPr>
              <w:spacing w:after="0"/>
              <w:rPr>
                <w:sz w:val="1"/>
                <w:szCs w:val="1"/>
                <w:color w:val="auto"/>
              </w:rPr>
            </w:pPr>
          </w:p>
        </w:tc>
      </w:tr>
    </w:tbl>
    <w:p>
      <w:pPr>
        <w:jc w:val="center"/>
        <w:ind w:right="5679"/>
        <w:spacing w:after="0" w:line="238" w:lineRule="auto"/>
        <w:rPr>
          <w:sz w:val="20"/>
          <w:szCs w:val="20"/>
          <w:color w:val="auto"/>
        </w:rPr>
      </w:pPr>
      <w:r>
        <w:rPr>
          <w:rFonts w:ascii="Courier New" w:cs="Courier New" w:eastAsia="Courier New" w:hAnsi="Courier New"/>
          <w:sz w:val="18"/>
          <w:szCs w:val="18"/>
          <w:color w:val="auto"/>
        </w:rPr>
        <w:t>100,544 64,151 102,646 Mortgages</w:t>
      </w:r>
    </w:p>
    <w:p>
      <w:pPr>
        <w:jc w:val="center"/>
        <w:ind w:right="5679"/>
        <w:spacing w:after="0"/>
        <w:rPr>
          <w:sz w:val="20"/>
          <w:szCs w:val="20"/>
          <w:color w:val="auto"/>
        </w:rPr>
      </w:pPr>
      <w:r>
        <w:rPr>
          <w:rFonts w:ascii="Courier New" w:cs="Courier New" w:eastAsia="Courier New" w:hAnsi="Courier New"/>
          <w:sz w:val="18"/>
          <w:szCs w:val="18"/>
          <w:color w:val="auto"/>
        </w:rPr>
        <w:t>(including government and</w:t>
      </w:r>
    </w:p>
    <w:p>
      <w:pPr>
        <w:ind w:left="120"/>
        <w:spacing w:after="0" w:line="238" w:lineRule="auto"/>
        <w:rPr>
          <w:sz w:val="20"/>
          <w:szCs w:val="20"/>
          <w:color w:val="auto"/>
        </w:rPr>
      </w:pPr>
      <w:r>
        <w:rPr>
          <w:rFonts w:ascii="Courier New" w:cs="Courier New" w:eastAsia="Courier New" w:hAnsi="Courier New"/>
          <w:sz w:val="18"/>
          <w:szCs w:val="18"/>
          <w:color w:val="auto"/>
        </w:rPr>
        <w:t>corporate)...............................</w:t>
      </w:r>
    </w:p>
    <w:p>
      <w:pPr>
        <w:ind w:left="260"/>
        <w:spacing w:after="0"/>
        <w:rPr>
          <w:sz w:val="20"/>
          <w:szCs w:val="20"/>
          <w:color w:val="auto"/>
        </w:rPr>
      </w:pPr>
      <w:r>
        <w:rPr>
          <w:rFonts w:ascii="Courier New" w:cs="Courier New" w:eastAsia="Courier New" w:hAnsi="Courier New"/>
          <w:sz w:val="18"/>
          <w:szCs w:val="18"/>
          <w:color w:val="auto"/>
        </w:rPr>
        <w:t>44,743 76,138 44,724 76,148 Commercial</w:t>
      </w:r>
    </w:p>
    <w:tbl>
      <w:tblPr>
        <w:tblLayout w:type="fixed"/>
        <w:tblInd w:w="0" w:type="dxa"/>
        <w:tblCellMar>
          <w:top w:w="0" w:type="dxa"/>
          <w:left w:w="0" w:type="dxa"/>
          <w:bottom w:w="0" w:type="dxa"/>
          <w:right w:w="0" w:type="dxa"/>
        </w:tblCellMar>
      </w:tblPr>
      <w:tr>
        <w:trPr>
          <w:trHeight w:val="171"/>
        </w:trPr>
        <w:tc>
          <w:tcPr>
            <w:tcW w:w="3060" w:type="dxa"/>
            <w:vAlign w:val="bottom"/>
            <w:gridSpan w:val="2"/>
          </w:tcPr>
          <w:p>
            <w:pPr>
              <w:jc w:val="right"/>
              <w:spacing w:after="0" w:line="170" w:lineRule="exact"/>
              <w:rPr>
                <w:sz w:val="20"/>
                <w:szCs w:val="20"/>
                <w:color w:val="auto"/>
              </w:rPr>
            </w:pPr>
            <w:r>
              <w:rPr>
                <w:rFonts w:ascii="Courier New" w:cs="Courier New" w:eastAsia="Courier New" w:hAnsi="Courier New"/>
                <w:sz w:val="18"/>
                <w:szCs w:val="18"/>
                <w:color w:val="auto"/>
                <w:w w:val="87"/>
              </w:rPr>
              <w:t>paper/CD........................</w:t>
            </w:r>
          </w:p>
        </w:tc>
        <w:tc>
          <w:tcPr>
            <w:tcW w:w="1420" w:type="dxa"/>
            <w:vAlign w:val="bottom"/>
          </w:tcPr>
          <w:p>
            <w:pPr>
              <w:jc w:val="right"/>
              <w:spacing w:after="0" w:line="170" w:lineRule="exact"/>
              <w:rPr>
                <w:sz w:val="20"/>
                <w:szCs w:val="20"/>
                <w:color w:val="auto"/>
              </w:rPr>
            </w:pPr>
            <w:r>
              <w:rPr>
                <w:rFonts w:ascii="Courier New" w:cs="Courier New" w:eastAsia="Courier New" w:hAnsi="Courier New"/>
                <w:sz w:val="18"/>
                <w:szCs w:val="18"/>
                <w:color w:val="auto"/>
              </w:rPr>
              <w:t>35,643 --</w:t>
            </w:r>
          </w:p>
        </w:tc>
        <w:tc>
          <w:tcPr>
            <w:tcW w:w="0" w:type="dxa"/>
            <w:vAlign w:val="bottom"/>
          </w:tcPr>
          <w:p>
            <w:pPr>
              <w:spacing w:after="0"/>
              <w:rPr>
                <w:sz w:val="1"/>
                <w:szCs w:val="1"/>
                <w:color w:val="auto"/>
              </w:rPr>
            </w:pPr>
          </w:p>
        </w:tc>
      </w:tr>
      <w:tr>
        <w:trPr>
          <w:trHeight w:val="203"/>
        </w:trPr>
        <w:tc>
          <w:tcPr>
            <w:tcW w:w="1380" w:type="dxa"/>
            <w:vAlign w:val="bottom"/>
            <w:vMerge w:val="restart"/>
          </w:tcPr>
          <w:p>
            <w:pPr>
              <w:jc w:val="right"/>
              <w:spacing w:after="0"/>
              <w:rPr>
                <w:sz w:val="20"/>
                <w:szCs w:val="20"/>
                <w:color w:val="auto"/>
              </w:rPr>
            </w:pPr>
            <w:r>
              <w:rPr>
                <w:rFonts w:ascii="Courier New" w:cs="Courier New" w:eastAsia="Courier New" w:hAnsi="Courier New"/>
                <w:sz w:val="9"/>
                <w:szCs w:val="9"/>
                <w:color w:val="auto"/>
                <w:w w:val="71"/>
              </w:rPr>
              <w:t>placement..........................</w:t>
            </w:r>
          </w:p>
        </w:tc>
        <w:tc>
          <w:tcPr>
            <w:tcW w:w="3100" w:type="dxa"/>
            <w:vAlign w:val="bottom"/>
            <w:gridSpan w:val="2"/>
          </w:tcPr>
          <w:p>
            <w:pPr>
              <w:jc w:val="right"/>
              <w:ind w:right="1232"/>
              <w:spacing w:after="0" w:line="203" w:lineRule="exact"/>
              <w:rPr>
                <w:sz w:val="20"/>
                <w:szCs w:val="20"/>
                <w:color w:val="auto"/>
              </w:rPr>
            </w:pPr>
            <w:r>
              <w:rPr>
                <w:rFonts w:ascii="Courier New" w:cs="Courier New" w:eastAsia="Courier New" w:hAnsi="Courier New"/>
                <w:sz w:val="18"/>
                <w:szCs w:val="18"/>
                <w:color w:val="auto"/>
                <w:w w:val="95"/>
              </w:rPr>
              <w:t>35,457 -- Private</w:t>
            </w:r>
          </w:p>
        </w:tc>
        <w:tc>
          <w:tcPr>
            <w:tcW w:w="0" w:type="dxa"/>
            <w:vAlign w:val="bottom"/>
          </w:tcPr>
          <w:p>
            <w:pPr>
              <w:spacing w:after="0"/>
              <w:rPr>
                <w:sz w:val="1"/>
                <w:szCs w:val="1"/>
                <w:color w:val="auto"/>
              </w:rPr>
            </w:pPr>
          </w:p>
        </w:tc>
      </w:tr>
      <w:tr>
        <w:trPr>
          <w:trHeight w:val="203"/>
        </w:trPr>
        <w:tc>
          <w:tcPr>
            <w:tcW w:w="1380" w:type="dxa"/>
            <w:vAlign w:val="bottom"/>
            <w:vMerge w:val="continue"/>
          </w:tcPr>
          <w:p>
            <w:pPr>
              <w:spacing w:after="0"/>
              <w:rPr>
                <w:sz w:val="17"/>
                <w:szCs w:val="17"/>
                <w:color w:val="auto"/>
              </w:rPr>
            </w:pPr>
          </w:p>
        </w:tc>
        <w:tc>
          <w:tcPr>
            <w:tcW w:w="168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26,219</w:t>
            </w:r>
          </w:p>
        </w:tc>
        <w:tc>
          <w:tcPr>
            <w:tcW w:w="0" w:type="dxa"/>
            <w:vAlign w:val="bottom"/>
          </w:tcPr>
          <w:p>
            <w:pPr>
              <w:spacing w:after="0"/>
              <w:rPr>
                <w:sz w:val="1"/>
                <w:szCs w:val="1"/>
                <w:color w:val="auto"/>
              </w:rPr>
            </w:pPr>
          </w:p>
        </w:tc>
      </w:tr>
      <w:tr>
        <w:trPr>
          <w:trHeight w:val="203"/>
        </w:trPr>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7,330</w:t>
            </w:r>
          </w:p>
        </w:tc>
        <w:tc>
          <w:tcPr>
            <w:tcW w:w="31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26,225 7,546 Municipal</w:t>
            </w:r>
          </w:p>
        </w:tc>
        <w:tc>
          <w:tcPr>
            <w:tcW w:w="0" w:type="dxa"/>
            <w:vAlign w:val="bottom"/>
          </w:tcPr>
          <w:p>
            <w:pPr>
              <w:spacing w:after="0"/>
              <w:rPr>
                <w:sz w:val="1"/>
                <w:szCs w:val="1"/>
                <w:color w:val="auto"/>
              </w:rPr>
            </w:pPr>
          </w:p>
        </w:tc>
      </w:tr>
      <w:tr>
        <w:trPr>
          <w:trHeight w:val="203"/>
        </w:trPr>
        <w:tc>
          <w:tcPr>
            <w:tcW w:w="3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5"/>
              </w:rPr>
              <w:t>bonds............................</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1,501</w:t>
            </w:r>
          </w:p>
        </w:tc>
        <w:tc>
          <w:tcPr>
            <w:tcW w:w="0" w:type="dxa"/>
            <w:vAlign w:val="bottom"/>
          </w:tcPr>
          <w:p>
            <w:pPr>
              <w:spacing w:after="0"/>
              <w:rPr>
                <w:sz w:val="1"/>
                <w:szCs w:val="1"/>
                <w:color w:val="auto"/>
              </w:rPr>
            </w:pPr>
          </w:p>
        </w:tc>
      </w:tr>
      <w:tr>
        <w:trPr>
          <w:trHeight w:val="203"/>
        </w:trPr>
        <w:tc>
          <w:tcPr>
            <w:tcW w:w="4480" w:type="dxa"/>
            <w:vAlign w:val="bottom"/>
            <w:gridSpan w:val="3"/>
          </w:tcPr>
          <w:p>
            <w:pPr>
              <w:jc w:val="right"/>
              <w:ind w:right="1112"/>
              <w:spacing w:after="0" w:line="203" w:lineRule="exact"/>
              <w:rPr>
                <w:sz w:val="20"/>
                <w:szCs w:val="20"/>
                <w:color w:val="auto"/>
              </w:rPr>
            </w:pPr>
            <w:r>
              <w:rPr>
                <w:rFonts w:ascii="Courier New" w:cs="Courier New" w:eastAsia="Courier New" w:hAnsi="Courier New"/>
                <w:sz w:val="18"/>
                <w:szCs w:val="18"/>
                <w:color w:val="auto"/>
              </w:rPr>
              <w:t>13,543 1,501 13,543</w:t>
            </w:r>
          </w:p>
        </w:tc>
        <w:tc>
          <w:tcPr>
            <w:tcW w:w="0" w:type="dxa"/>
            <w:vAlign w:val="bottom"/>
          </w:tcPr>
          <w:p>
            <w:pPr>
              <w:spacing w:after="0"/>
              <w:rPr>
                <w:sz w:val="1"/>
                <w:szCs w:val="1"/>
                <w:color w:val="auto"/>
              </w:rPr>
            </w:pPr>
          </w:p>
        </w:tc>
      </w:tr>
      <w:tr>
        <w:trPr>
          <w:trHeight w:val="203"/>
        </w:trPr>
        <w:tc>
          <w:tcPr>
            <w:tcW w:w="1380" w:type="dxa"/>
            <w:vAlign w:val="bottom"/>
          </w:tcPr>
          <w:p>
            <w:pPr>
              <w:jc w:val="right"/>
              <w:spacing w:after="0"/>
              <w:rPr>
                <w:sz w:val="20"/>
                <w:szCs w:val="20"/>
                <w:color w:val="auto"/>
              </w:rPr>
            </w:pPr>
            <w:r>
              <w:rPr>
                <w:rFonts w:ascii="Courier New" w:cs="Courier New" w:eastAsia="Courier New" w:hAnsi="Courier New"/>
                <w:sz w:val="7"/>
                <w:szCs w:val="7"/>
                <w:color w:val="auto"/>
                <w:w w:val="75"/>
              </w:rPr>
              <w:t>Other......................................</w:t>
            </w:r>
          </w:p>
        </w:tc>
        <w:tc>
          <w:tcPr>
            <w:tcW w:w="168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10,034</w:t>
            </w:r>
          </w:p>
        </w:tc>
        <w:tc>
          <w:tcPr>
            <w:tcW w:w="14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9"/>
              </w:rPr>
              <w:t>-------- ----</w:t>
            </w:r>
          </w:p>
        </w:tc>
        <w:tc>
          <w:tcPr>
            <w:tcW w:w="0" w:type="dxa"/>
            <w:vAlign w:val="bottom"/>
          </w:tcPr>
          <w:p>
            <w:pPr>
              <w:spacing w:after="0"/>
              <w:rPr>
                <w:sz w:val="1"/>
                <w:szCs w:val="1"/>
                <w:color w:val="auto"/>
              </w:rPr>
            </w:pPr>
          </w:p>
        </w:tc>
      </w:tr>
      <w:tr>
        <w:trPr>
          <w:trHeight w:val="235"/>
        </w:trPr>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-- 10,025 --</w:t>
            </w:r>
          </w:p>
        </w:tc>
        <w:tc>
          <w:tcPr>
            <w:tcW w:w="1680" w:type="dxa"/>
            <w:vAlign w:val="bottom"/>
            <w:vMerge w:val="continue"/>
          </w:tcPr>
          <w:p>
            <w:pPr>
              <w:jc w:val="right"/>
              <w:spacing w:after="0" w:line="178" w:lineRule="exact"/>
              <w:rPr>
                <w:sz w:val="20"/>
                <w:szCs w:val="20"/>
                <w:color w:val="auto"/>
              </w:rPr>
            </w:pPr>
            <w:r>
              <w:rPr>
                <w:rFonts w:ascii="Courier New" w:cs="Courier New" w:eastAsia="Courier New" w:hAnsi="Courier New"/>
                <w:sz w:val="18"/>
                <w:szCs w:val="18"/>
                <w:color w:val="auto"/>
              </w:rPr>
              <w:t>--------</w:t>
            </w:r>
          </w:p>
        </w:tc>
        <w:tc>
          <w:tcPr>
            <w:tcW w:w="14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ind w:left="580" w:right="5999" w:hanging="259"/>
        <w:spacing w:after="0" w:line="268" w:lineRule="auto"/>
        <w:tabs>
          <w:tab w:leader="none" w:pos="843"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-------- 443,246 574,057 443,292 581,164 Allowance for unrealized</w:t>
      </w:r>
    </w:p>
    <w:tbl>
      <w:tblPr>
        <w:tblLayout w:type="fixed"/>
        <w:tblInd w:w="60" w:type="dxa"/>
        <w:tblCellMar>
          <w:top w:w="0" w:type="dxa"/>
          <w:left w:w="0" w:type="dxa"/>
          <w:bottom w:w="0" w:type="dxa"/>
          <w:right w:w="0" w:type="dxa"/>
        </w:tblCellMar>
      </w:tblPr>
      <w:tr>
        <w:trPr>
          <w:trHeight w:val="171"/>
        </w:trPr>
        <w:tc>
          <w:tcPr>
            <w:tcW w:w="1320" w:type="dxa"/>
            <w:vAlign w:val="bottom"/>
          </w:tcPr>
          <w:p>
            <w:pPr>
              <w:spacing w:after="0" w:line="171" w:lineRule="exact"/>
              <w:rPr>
                <w:sz w:val="20"/>
                <w:szCs w:val="20"/>
                <w:color w:val="auto"/>
              </w:rPr>
            </w:pPr>
            <w:r>
              <w:rPr>
                <w:rFonts w:ascii="Courier New" w:cs="Courier New" w:eastAsia="Courier New" w:hAnsi="Courier New"/>
                <w:sz w:val="16"/>
                <w:szCs w:val="16"/>
                <w:color w:val="auto"/>
                <w:w w:val="75"/>
              </w:rPr>
              <w:t>gain..............</w:t>
            </w:r>
          </w:p>
        </w:tc>
        <w:tc>
          <w:tcPr>
            <w:tcW w:w="3100" w:type="dxa"/>
            <w:vAlign w:val="bottom"/>
            <w:gridSpan w:val="2"/>
          </w:tcPr>
          <w:p>
            <w:pPr>
              <w:jc w:val="right"/>
              <w:spacing w:after="0" w:line="171" w:lineRule="exact"/>
              <w:rPr>
                <w:sz w:val="20"/>
                <w:szCs w:val="20"/>
                <w:color w:val="auto"/>
              </w:rPr>
            </w:pPr>
            <w:r>
              <w:rPr>
                <w:rFonts w:ascii="Courier New" w:cs="Courier New" w:eastAsia="Courier New" w:hAnsi="Courier New"/>
                <w:sz w:val="18"/>
                <w:szCs w:val="18"/>
                <w:color w:val="auto"/>
              </w:rPr>
              <w:t>46 7,107 -- -- --------</w:t>
            </w:r>
          </w:p>
        </w:tc>
        <w:tc>
          <w:tcPr>
            <w:tcW w:w="0" w:type="dxa"/>
            <w:vAlign w:val="bottom"/>
          </w:tcPr>
          <w:p>
            <w:pPr>
              <w:spacing w:after="0"/>
              <w:rPr>
                <w:sz w:val="1"/>
                <w:szCs w:val="1"/>
                <w:color w:val="auto"/>
              </w:rPr>
            </w:pPr>
          </w:p>
        </w:tc>
      </w:tr>
      <w:tr>
        <w:trPr>
          <w:trHeight w:val="203"/>
        </w:trPr>
        <w:tc>
          <w:tcPr>
            <w:tcW w:w="1320" w:type="dxa"/>
            <w:vAlign w:val="bottom"/>
            <w:vMerge w:val="restart"/>
          </w:tcPr>
          <w:p>
            <w:pPr>
              <w:spacing w:after="0"/>
              <w:rPr>
                <w:sz w:val="20"/>
                <w:szCs w:val="20"/>
                <w:color w:val="auto"/>
              </w:rPr>
            </w:pPr>
            <w:r>
              <w:rPr>
                <w:rFonts w:ascii="Courier New" w:cs="Courier New" w:eastAsia="Courier New" w:hAnsi="Courier New"/>
                <w:sz w:val="4"/>
                <w:szCs w:val="4"/>
                <w:color w:val="auto"/>
              </w:rPr>
              <w:t>Total............................</w:t>
            </w:r>
            <w:r>
              <w:rPr>
                <w:rFonts w:ascii="Courier New" w:cs="Courier New" w:eastAsia="Courier New" w:hAnsi="Courier New"/>
                <w:sz w:val="8"/>
                <w:szCs w:val="8"/>
                <w:color w:val="auto"/>
                <w:vertAlign w:val="superscript"/>
              </w:rPr>
              <w:t>--------</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320" w:type="dxa"/>
            <w:vAlign w:val="bottom"/>
            <w:vMerge w:val="continue"/>
          </w:tcPr>
          <w:p>
            <w:pPr>
              <w:spacing w:after="0"/>
              <w:rPr>
                <w:sz w:val="17"/>
                <w:szCs w:val="17"/>
                <w:color w:val="auto"/>
              </w:rPr>
            </w:pPr>
          </w:p>
        </w:tc>
        <w:tc>
          <w:tcPr>
            <w:tcW w:w="1360" w:type="dxa"/>
            <w:vAlign w:val="bottom"/>
          </w:tcPr>
          <w:p>
            <w:pPr>
              <w:spacing w:after="0"/>
              <w:rPr>
                <w:sz w:val="17"/>
                <w:szCs w:val="17"/>
                <w:color w:val="auto"/>
              </w:rPr>
            </w:pP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$443,292</w:t>
            </w:r>
          </w:p>
        </w:tc>
        <w:tc>
          <w:tcPr>
            <w:tcW w:w="0" w:type="dxa"/>
            <w:vAlign w:val="bottom"/>
          </w:tcPr>
          <w:p>
            <w:pPr>
              <w:spacing w:after="0"/>
              <w:rPr>
                <w:sz w:val="1"/>
                <w:szCs w:val="1"/>
                <w:color w:val="auto"/>
              </w:rPr>
            </w:pPr>
          </w:p>
        </w:tc>
      </w:tr>
      <w:tr>
        <w:trPr>
          <w:trHeight w:val="203"/>
        </w:trPr>
        <w:tc>
          <w:tcPr>
            <w:tcW w:w="1320" w:type="dxa"/>
            <w:vAlign w:val="bottom"/>
          </w:tcPr>
          <w:p>
            <w:pPr>
              <w:jc w:val="right"/>
              <w:ind w:right="51"/>
              <w:spacing w:after="0" w:line="203" w:lineRule="exact"/>
              <w:rPr>
                <w:sz w:val="20"/>
                <w:szCs w:val="20"/>
                <w:color w:val="auto"/>
              </w:rPr>
            </w:pPr>
            <w:r>
              <w:rPr>
                <w:rFonts w:ascii="Courier New" w:cs="Courier New" w:eastAsia="Courier New" w:hAnsi="Courier New"/>
                <w:sz w:val="18"/>
                <w:szCs w:val="18"/>
                <w:color w:val="auto"/>
              </w:rPr>
              <w:t>$581,164</w:t>
            </w:r>
          </w:p>
        </w:tc>
        <w:tc>
          <w:tcPr>
            <w:tcW w:w="310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w w:val="96"/>
              </w:rPr>
              <w:t>$443,292 $581,164 ========</w:t>
            </w:r>
          </w:p>
        </w:tc>
        <w:tc>
          <w:tcPr>
            <w:tcW w:w="0" w:type="dxa"/>
            <w:vAlign w:val="bottom"/>
          </w:tcPr>
          <w:p>
            <w:pPr>
              <w:spacing w:after="0"/>
              <w:rPr>
                <w:sz w:val="1"/>
                <w:szCs w:val="1"/>
                <w:color w:val="auto"/>
              </w:rPr>
            </w:pPr>
          </w:p>
        </w:tc>
      </w:tr>
      <w:tr>
        <w:trPr>
          <w:trHeight w:val="296"/>
        </w:trPr>
        <w:tc>
          <w:tcPr>
            <w:tcW w:w="26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 ========</w:t>
            </w:r>
          </w:p>
        </w:tc>
        <w:tc>
          <w:tcPr>
            <w:tcW w:w="174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right="1999" w:firstLine="527"/>
        <w:spacing w:after="0" w:line="347" w:lineRule="auto"/>
        <w:rPr>
          <w:sz w:val="20"/>
          <w:szCs w:val="20"/>
          <w:color w:val="auto"/>
        </w:rPr>
      </w:pPr>
      <w:r>
        <w:rPr>
          <w:rFonts w:ascii="Courier New" w:cs="Courier New" w:eastAsia="Courier New" w:hAnsi="Courier New"/>
          <w:sz w:val="18"/>
          <w:szCs w:val="18"/>
          <w:color w:val="auto"/>
        </w:rPr>
        <w:t>As of September 30, 2003, short-term interest-bearing investments had the following expected maturity dates: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2060" w:type="dxa"/>
            <w:vAlign w:val="bottom"/>
            <w:vMerge w:val="restart"/>
          </w:tcPr>
          <w:p>
            <w:pPr>
              <w:spacing w:after="0"/>
              <w:rPr>
                <w:sz w:val="20"/>
                <w:szCs w:val="20"/>
                <w:color w:val="auto"/>
              </w:rPr>
            </w:pPr>
            <w:r>
              <w:rPr>
                <w:rFonts w:ascii="Courier New" w:cs="Courier New" w:eastAsia="Courier New" w:hAnsi="Courier New"/>
                <w:sz w:val="3"/>
                <w:szCs w:val="3"/>
                <w:color w:val="auto"/>
                <w:w w:val="74"/>
                <w:vertAlign w:val="superscript"/>
              </w:rPr>
              <w:t>2004........................................................</w:t>
            </w:r>
            <w:r>
              <w:rPr>
                <w:rFonts w:ascii="Courier New" w:cs="Courier New" w:eastAsia="Courier New" w:hAnsi="Courier New"/>
                <w:sz w:val="2"/>
                <w:szCs w:val="2"/>
                <w:color w:val="auto"/>
                <w:w w:val="74"/>
              </w:rPr>
              <w:t>........................................................</w:t>
            </w:r>
            <w:r>
              <w:rPr>
                <w:rFonts w:ascii="Courier New" w:cs="Courier New" w:eastAsia="Courier New" w:hAnsi="Courier New"/>
                <w:sz w:val="3"/>
                <w:szCs w:val="3"/>
                <w:color w:val="auto"/>
                <w:w w:val="74"/>
                <w:vertAlign w:val="subscript"/>
              </w:rPr>
              <w:t>................................................................................................................</w:t>
            </w:r>
          </w:p>
        </w:tc>
        <w:tc>
          <w:tcPr>
            <w:tcW w:w="4220" w:type="dxa"/>
            <w:vAlign w:val="bottom"/>
          </w:tcPr>
          <w:p>
            <w:pPr>
              <w:jc w:val="right"/>
              <w:ind w:right="1912"/>
              <w:spacing w:after="0"/>
              <w:rPr>
                <w:sz w:val="20"/>
                <w:szCs w:val="20"/>
                <w:color w:val="auto"/>
              </w:rPr>
            </w:pPr>
            <w:r>
              <w:rPr>
                <w:rFonts w:ascii="Courier New" w:cs="Courier New" w:eastAsia="Courier New" w:hAnsi="Courier New"/>
                <w:sz w:val="18"/>
                <w:szCs w:val="18"/>
                <w:color w:val="auto"/>
                <w:w w:val="96"/>
              </w:rPr>
              <w:t>MARKET VALUE --------</w:t>
            </w:r>
          </w:p>
        </w:tc>
        <w:tc>
          <w:tcPr>
            <w:tcW w:w="0" w:type="dxa"/>
            <w:vAlign w:val="bottom"/>
          </w:tcPr>
          <w:p>
            <w:pPr>
              <w:spacing w:after="0"/>
              <w:rPr>
                <w:sz w:val="1"/>
                <w:szCs w:val="1"/>
                <w:color w:val="auto"/>
              </w:rPr>
            </w:pPr>
          </w:p>
        </w:tc>
      </w:tr>
      <w:tr>
        <w:trPr>
          <w:trHeight w:val="287"/>
        </w:trPr>
        <w:tc>
          <w:tcPr>
            <w:tcW w:w="2060" w:type="dxa"/>
            <w:vAlign w:val="bottom"/>
            <w:vMerge w:val="continue"/>
          </w:tcPr>
          <w:p>
            <w:pPr>
              <w:spacing w:after="0"/>
              <w:rPr>
                <w:sz w:val="24"/>
                <w:szCs w:val="24"/>
                <w:color w:val="auto"/>
              </w:rPr>
            </w:pPr>
          </w:p>
        </w:tc>
        <w:tc>
          <w:tcPr>
            <w:tcW w:w="4220" w:type="dxa"/>
            <w:vAlign w:val="bottom"/>
            <w:vMerge w:val="restart"/>
          </w:tcPr>
          <w:p>
            <w:pPr>
              <w:jc w:val="center"/>
              <w:ind w:right="1932"/>
              <w:spacing w:after="0"/>
              <w:rPr>
                <w:sz w:val="20"/>
                <w:szCs w:val="20"/>
                <w:color w:val="auto"/>
              </w:rPr>
            </w:pPr>
            <w:r>
              <w:rPr>
                <w:rFonts w:ascii="Courier New" w:cs="Courier New" w:eastAsia="Courier New" w:hAnsi="Courier New"/>
                <w:sz w:val="18"/>
                <w:szCs w:val="18"/>
                <w:color w:val="auto"/>
                <w:w w:val="97"/>
              </w:rPr>
              <w:t>$138,419</w:t>
            </w:r>
          </w:p>
        </w:tc>
        <w:tc>
          <w:tcPr>
            <w:tcW w:w="0" w:type="dxa"/>
            <w:vAlign w:val="bottom"/>
          </w:tcPr>
          <w:p>
            <w:pPr>
              <w:spacing w:after="0"/>
              <w:rPr>
                <w:sz w:val="1"/>
                <w:szCs w:val="1"/>
                <w:color w:val="auto"/>
              </w:rPr>
            </w:pPr>
          </w:p>
        </w:tc>
      </w:tr>
      <w:tr>
        <w:trPr>
          <w:trHeight w:val="118"/>
        </w:trPr>
        <w:tc>
          <w:tcPr>
            <w:tcW w:w="2060" w:type="dxa"/>
            <w:vAlign w:val="bottom"/>
            <w:vMerge w:val="restart"/>
          </w:tcPr>
          <w:p>
            <w:pPr>
              <w:spacing w:after="0"/>
              <w:rPr>
                <w:sz w:val="20"/>
                <w:szCs w:val="20"/>
                <w:color w:val="auto"/>
              </w:rPr>
            </w:pPr>
            <w:r>
              <w:rPr>
                <w:rFonts w:ascii="Courier New" w:cs="Courier New" w:eastAsia="Courier New" w:hAnsi="Courier New"/>
                <w:sz w:val="18"/>
                <w:szCs w:val="18"/>
                <w:color w:val="auto"/>
              </w:rPr>
              <w:t>2005</w:t>
            </w:r>
          </w:p>
        </w:tc>
        <w:tc>
          <w:tcPr>
            <w:tcW w:w="4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2060" w:type="dxa"/>
            <w:vAlign w:val="bottom"/>
            <w:vMerge w:val="continue"/>
          </w:tcPr>
          <w:p>
            <w:pPr>
              <w:spacing w:after="0"/>
              <w:rPr>
                <w:sz w:val="17"/>
                <w:szCs w:val="17"/>
                <w:color w:val="auto"/>
              </w:rPr>
            </w:pPr>
          </w:p>
        </w:tc>
        <w:tc>
          <w:tcPr>
            <w:tcW w:w="4220" w:type="dxa"/>
            <w:vAlign w:val="bottom"/>
            <w:vMerge w:val="restart"/>
          </w:tcPr>
          <w:p>
            <w:pPr>
              <w:jc w:val="center"/>
              <w:ind w:right="1912"/>
              <w:spacing w:after="0"/>
              <w:rPr>
                <w:sz w:val="20"/>
                <w:szCs w:val="20"/>
                <w:color w:val="auto"/>
              </w:rPr>
            </w:pPr>
            <w:r>
              <w:rPr>
                <w:rFonts w:ascii="Courier New" w:cs="Courier New" w:eastAsia="Courier New" w:hAnsi="Courier New"/>
                <w:sz w:val="18"/>
                <w:szCs w:val="18"/>
                <w:color w:val="auto"/>
                <w:w w:val="97"/>
              </w:rPr>
              <w:t>130,818</w:t>
            </w:r>
          </w:p>
        </w:tc>
        <w:tc>
          <w:tcPr>
            <w:tcW w:w="0" w:type="dxa"/>
            <w:vAlign w:val="bottom"/>
          </w:tcPr>
          <w:p>
            <w:pPr>
              <w:spacing w:after="0"/>
              <w:rPr>
                <w:sz w:val="1"/>
                <w:szCs w:val="1"/>
                <w:color w:val="auto"/>
              </w:rPr>
            </w:pPr>
          </w:p>
        </w:tc>
      </w:tr>
      <w:tr>
        <w:trPr>
          <w:trHeight w:val="203"/>
        </w:trPr>
        <w:tc>
          <w:tcPr>
            <w:tcW w:w="2060" w:type="dxa"/>
            <w:vAlign w:val="bottom"/>
            <w:vMerge w:val="restart"/>
          </w:tcPr>
          <w:p>
            <w:pPr>
              <w:spacing w:after="0"/>
              <w:rPr>
                <w:sz w:val="20"/>
                <w:szCs w:val="20"/>
                <w:color w:val="auto"/>
              </w:rPr>
            </w:pPr>
            <w:r>
              <w:rPr>
                <w:rFonts w:ascii="Courier New" w:cs="Courier New" w:eastAsia="Courier New" w:hAnsi="Courier New"/>
                <w:sz w:val="18"/>
                <w:szCs w:val="18"/>
                <w:color w:val="auto"/>
              </w:rPr>
              <w:t>2006</w:t>
            </w:r>
          </w:p>
        </w:tc>
        <w:tc>
          <w:tcPr>
            <w:tcW w:w="4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60" w:type="dxa"/>
            <w:vAlign w:val="bottom"/>
            <w:vMerge w:val="continue"/>
          </w:tcPr>
          <w:p>
            <w:pPr>
              <w:spacing w:after="0"/>
              <w:rPr>
                <w:sz w:val="17"/>
                <w:szCs w:val="17"/>
                <w:color w:val="auto"/>
              </w:rPr>
            </w:pPr>
          </w:p>
        </w:tc>
        <w:tc>
          <w:tcPr>
            <w:tcW w:w="4220" w:type="dxa"/>
            <w:vAlign w:val="bottom"/>
            <w:vMerge w:val="restart"/>
          </w:tcPr>
          <w:p>
            <w:pPr>
              <w:jc w:val="center"/>
              <w:ind w:right="1912"/>
              <w:spacing w:after="0"/>
              <w:rPr>
                <w:sz w:val="20"/>
                <w:szCs w:val="20"/>
                <w:color w:val="auto"/>
              </w:rPr>
            </w:pPr>
            <w:r>
              <w:rPr>
                <w:rFonts w:ascii="Courier New" w:cs="Courier New" w:eastAsia="Courier New" w:hAnsi="Courier New"/>
                <w:sz w:val="18"/>
                <w:szCs w:val="18"/>
                <w:color w:val="auto"/>
                <w:w w:val="97"/>
              </w:rPr>
              <w:t>128,555</w:t>
            </w:r>
          </w:p>
        </w:tc>
        <w:tc>
          <w:tcPr>
            <w:tcW w:w="0" w:type="dxa"/>
            <w:vAlign w:val="bottom"/>
          </w:tcPr>
          <w:p>
            <w:pPr>
              <w:spacing w:after="0"/>
              <w:rPr>
                <w:sz w:val="1"/>
                <w:szCs w:val="1"/>
                <w:color w:val="auto"/>
              </w:rPr>
            </w:pPr>
          </w:p>
        </w:tc>
      </w:tr>
      <w:tr>
        <w:trPr>
          <w:trHeight w:val="203"/>
        </w:trPr>
        <w:tc>
          <w:tcPr>
            <w:tcW w:w="2060" w:type="dxa"/>
            <w:vAlign w:val="bottom"/>
            <w:vMerge w:val="restart"/>
          </w:tcPr>
          <w:p>
            <w:pPr>
              <w:spacing w:after="0"/>
              <w:rPr>
                <w:sz w:val="20"/>
                <w:szCs w:val="20"/>
                <w:color w:val="auto"/>
              </w:rPr>
            </w:pPr>
            <w:r>
              <w:rPr>
                <w:rFonts w:ascii="Courier New" w:cs="Courier New" w:eastAsia="Courier New" w:hAnsi="Courier New"/>
                <w:sz w:val="18"/>
                <w:szCs w:val="18"/>
                <w:color w:val="auto"/>
              </w:rPr>
              <w:t>2007</w:t>
            </w:r>
          </w:p>
        </w:tc>
        <w:tc>
          <w:tcPr>
            <w:tcW w:w="4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60" w:type="dxa"/>
            <w:vAlign w:val="bottom"/>
            <w:vMerge w:val="continue"/>
          </w:tcPr>
          <w:p>
            <w:pPr>
              <w:spacing w:after="0"/>
              <w:rPr>
                <w:sz w:val="17"/>
                <w:szCs w:val="17"/>
                <w:color w:val="auto"/>
              </w:rPr>
            </w:pPr>
          </w:p>
        </w:tc>
        <w:tc>
          <w:tcPr>
            <w:tcW w:w="4220" w:type="dxa"/>
            <w:vAlign w:val="bottom"/>
            <w:vMerge w:val="restart"/>
          </w:tcPr>
          <w:p>
            <w:pPr>
              <w:jc w:val="center"/>
              <w:ind w:right="1912"/>
              <w:spacing w:after="0"/>
              <w:rPr>
                <w:sz w:val="20"/>
                <w:szCs w:val="20"/>
                <w:color w:val="auto"/>
              </w:rPr>
            </w:pPr>
            <w:r>
              <w:rPr>
                <w:rFonts w:ascii="Courier New" w:cs="Courier New" w:eastAsia="Courier New" w:hAnsi="Courier New"/>
                <w:sz w:val="18"/>
                <w:szCs w:val="18"/>
                <w:color w:val="auto"/>
                <w:w w:val="97"/>
              </w:rPr>
              <w:t>45,500 --------</w:t>
            </w:r>
          </w:p>
        </w:tc>
        <w:tc>
          <w:tcPr>
            <w:tcW w:w="0" w:type="dxa"/>
            <w:vAlign w:val="bottom"/>
          </w:tcPr>
          <w:p>
            <w:pPr>
              <w:spacing w:after="0"/>
              <w:rPr>
                <w:sz w:val="1"/>
                <w:szCs w:val="1"/>
                <w:color w:val="auto"/>
              </w:rPr>
            </w:pPr>
          </w:p>
        </w:tc>
      </w:tr>
      <w:tr>
        <w:trPr>
          <w:trHeight w:val="109"/>
        </w:trPr>
        <w:tc>
          <w:tcPr>
            <w:tcW w:w="206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Total</w:t>
            </w:r>
          </w:p>
        </w:tc>
        <w:tc>
          <w:tcPr>
            <w:tcW w:w="42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60" w:type="dxa"/>
            <w:vAlign w:val="bottom"/>
            <w:vMerge w:val="continue"/>
          </w:tcPr>
          <w:p>
            <w:pPr>
              <w:ind w:left="580"/>
              <w:spacing w:after="0"/>
              <w:rPr>
                <w:sz w:val="20"/>
                <w:szCs w:val="20"/>
                <w:color w:val="auto"/>
              </w:rPr>
            </w:pPr>
            <w:r>
              <w:rPr>
                <w:rFonts w:ascii="Courier New" w:cs="Courier New" w:eastAsia="Courier New" w:hAnsi="Courier New"/>
                <w:sz w:val="7"/>
                <w:szCs w:val="7"/>
                <w:color w:val="auto"/>
                <w:w w:val="77"/>
              </w:rPr>
              <w:t>.............................................</w:t>
            </w:r>
          </w:p>
        </w:tc>
        <w:tc>
          <w:tcPr>
            <w:tcW w:w="4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$443,292</w:t>
            </w:r>
          </w:p>
        </w:tc>
        <w:tc>
          <w:tcPr>
            <w:tcW w:w="0" w:type="dxa"/>
            <w:vAlign w:val="bottom"/>
          </w:tcPr>
          <w:p>
            <w:pPr>
              <w:spacing w:after="0"/>
              <w:rPr>
                <w:sz w:val="1"/>
                <w:szCs w:val="1"/>
                <w:color w:val="auto"/>
              </w:rPr>
            </w:pPr>
          </w:p>
        </w:tc>
      </w:tr>
      <w:tr>
        <w:trPr>
          <w:trHeight w:val="296"/>
        </w:trPr>
        <w:tc>
          <w:tcPr>
            <w:tcW w:w="2060" w:type="dxa"/>
            <w:vAlign w:val="bottom"/>
          </w:tcPr>
          <w:p>
            <w:pPr>
              <w:spacing w:after="0"/>
              <w:rPr>
                <w:sz w:val="24"/>
                <w:szCs w:val="24"/>
                <w:color w:val="auto"/>
              </w:rPr>
            </w:pPr>
          </w:p>
        </w:tc>
        <w:tc>
          <w:tcPr>
            <w:tcW w:w="4220" w:type="dxa"/>
            <w:vAlign w:val="bottom"/>
          </w:tcPr>
          <w:p>
            <w:pPr>
              <w:jc w:val="center"/>
              <w:ind w:right="1932"/>
              <w:spacing w:after="0"/>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bl>
    <w:p>
      <w:pPr>
        <w:sectPr>
          <w:pgSz w:w="11900" w:h="16838" w:orient="portrait"/>
          <w:cols w:equalWidth="0" w:num="1">
            <w:col w:w="10219"/>
          </w:cols>
          <w:pgMar w:left="240" w:top="488" w:right="1440" w:bottom="0" w:gutter="0" w:footer="0" w:header="0"/>
        </w:sectPr>
      </w:pPr>
    </w:p>
    <w:bookmarkStart w:id="102" w:name="page103"/>
    <w:bookmarkEnd w:id="102"/>
    <w:p>
      <w:pPr>
        <w:ind w:left="2920"/>
        <w:spacing w:after="0"/>
        <w:rPr>
          <w:sz w:val="20"/>
          <w:szCs w:val="20"/>
          <w:color w:val="auto"/>
        </w:rPr>
      </w:pPr>
      <w:r>
        <w:rPr>
          <w:rFonts w:ascii="Courier New" w:cs="Courier New" w:eastAsia="Courier New" w:hAnsi="Courier New"/>
          <w:sz w:val="16"/>
          <w:szCs w:val="16"/>
          <w:color w:val="auto"/>
        </w:rPr>
        <w:t>F-22</w:t>
      </w:r>
    </w:p>
    <w:p>
      <w:pPr>
        <w:sectPr>
          <w:pgSz w:w="11900" w:h="16838" w:orient="portrait"/>
          <w:cols w:equalWidth="0" w:num="1">
            <w:col w:w="9019"/>
          </w:cols>
          <w:pgMar w:left="1440" w:top="515" w:right="1440" w:bottom="1440" w:gutter="0" w:footer="0" w:header="0"/>
        </w:sectPr>
      </w:pPr>
    </w:p>
    <w:bookmarkStart w:id="103" w:name="page104"/>
    <w:bookmarkEnd w:id="103"/>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3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(IN THOUSANDS, EXCEPT PER SHARE DATA)</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6 -- ACCOUNTS RECEIVABLE, NET</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Accounts receivable, net consists of the following:</w:t>
      </w:r>
    </w:p>
    <w:p>
      <w:pPr>
        <w:spacing w:after="0" w:line="201" w:lineRule="exact"/>
        <w:rPr>
          <w:sz w:val="20"/>
          <w:szCs w:val="20"/>
          <w:color w:val="auto"/>
        </w:rPr>
      </w:pPr>
    </w:p>
    <w:p>
      <w:pPr>
        <w:ind w:left="260"/>
        <w:spacing w:after="0"/>
        <w:rPr>
          <w:sz w:val="20"/>
          <w:szCs w:val="20"/>
          <w:color w:val="auto"/>
        </w:rPr>
      </w:pPr>
      <w:r>
        <w:rPr>
          <w:rFonts w:ascii="Courier New" w:cs="Courier New" w:eastAsia="Courier New" w:hAnsi="Courier New"/>
          <w:sz w:val="18"/>
          <w:szCs w:val="18"/>
          <w:color w:val="auto"/>
        </w:rPr>
        <w:t>AS OF SEPTEMBER 30, ------------------- 2003</w:t>
      </w:r>
    </w:p>
    <w:tbl>
      <w:tblPr>
        <w:tblLayout w:type="fixed"/>
        <w:tblInd w:w="0" w:type="dxa"/>
        <w:tblCellMar>
          <w:top w:w="0" w:type="dxa"/>
          <w:left w:w="0" w:type="dxa"/>
          <w:bottom w:w="0" w:type="dxa"/>
          <w:right w:w="0" w:type="dxa"/>
        </w:tblCellMar>
      </w:tblPr>
      <w:tr>
        <w:trPr>
          <w:trHeight w:val="201"/>
        </w:trPr>
        <w:tc>
          <w:tcPr>
            <w:tcW w:w="960" w:type="dxa"/>
            <w:vAlign w:val="bottom"/>
          </w:tcPr>
          <w:p>
            <w:pPr>
              <w:jc w:val="right"/>
              <w:spacing w:after="0"/>
              <w:rPr>
                <w:sz w:val="20"/>
                <w:szCs w:val="20"/>
                <w:color w:val="auto"/>
              </w:rPr>
            </w:pPr>
            <w:r>
              <w:rPr>
                <w:rFonts w:ascii="Courier New" w:cs="Courier New" w:eastAsia="Courier New" w:hAnsi="Courier New"/>
                <w:sz w:val="16"/>
                <w:szCs w:val="16"/>
                <w:color w:val="auto"/>
                <w:w w:val="75"/>
              </w:rPr>
              <w:t>2002 --------</w:t>
            </w:r>
          </w:p>
        </w:tc>
        <w:tc>
          <w:tcPr>
            <w:tcW w:w="4160" w:type="dxa"/>
            <w:vAlign w:val="bottom"/>
            <w:gridSpan w:val="2"/>
          </w:tcPr>
          <w:p>
            <w:pPr>
              <w:ind w:left="740"/>
              <w:spacing w:after="0" w:line="201" w:lineRule="exact"/>
              <w:rPr>
                <w:sz w:val="20"/>
                <w:szCs w:val="20"/>
                <w:color w:val="auto"/>
              </w:rPr>
            </w:pPr>
            <w:r>
              <w:rPr>
                <w:rFonts w:ascii="Courier New" w:cs="Courier New" w:eastAsia="Courier New" w:hAnsi="Courier New"/>
                <w:sz w:val="18"/>
                <w:szCs w:val="18"/>
                <w:color w:val="auto"/>
              </w:rPr>
              <w:t>-------- Accounts receivable --</w:t>
            </w:r>
          </w:p>
        </w:tc>
        <w:tc>
          <w:tcPr>
            <w:tcW w:w="0" w:type="dxa"/>
            <w:vAlign w:val="bottom"/>
          </w:tcPr>
          <w:p>
            <w:pPr>
              <w:spacing w:after="0"/>
              <w:rPr>
                <w:sz w:val="1"/>
                <w:szCs w:val="1"/>
                <w:color w:val="auto"/>
              </w:rPr>
            </w:pPr>
          </w:p>
        </w:tc>
      </w:tr>
      <w:tr>
        <w:trPr>
          <w:trHeight w:val="203"/>
        </w:trPr>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billed</w:t>
            </w:r>
          </w:p>
        </w:tc>
        <w:tc>
          <w:tcPr>
            <w:tcW w:w="1260" w:type="dxa"/>
            <w:vAlign w:val="bottom"/>
          </w:tcPr>
          <w:p>
            <w:pPr>
              <w:spacing w:after="0"/>
              <w:rPr>
                <w:sz w:val="20"/>
                <w:szCs w:val="20"/>
                <w:color w:val="auto"/>
              </w:rPr>
            </w:pPr>
            <w:r>
              <w:rPr>
                <w:rFonts w:ascii="Courier New" w:cs="Courier New" w:eastAsia="Courier New" w:hAnsi="Courier New"/>
                <w:sz w:val="10"/>
                <w:szCs w:val="10"/>
                <w:color w:val="auto"/>
                <w:w w:val="73"/>
              </w:rPr>
              <w:t>............................</w:t>
            </w:r>
          </w:p>
        </w:tc>
        <w:tc>
          <w:tcPr>
            <w:tcW w:w="2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$200,220</w:t>
            </w:r>
          </w:p>
        </w:tc>
        <w:tc>
          <w:tcPr>
            <w:tcW w:w="0" w:type="dxa"/>
            <w:vAlign w:val="bottom"/>
          </w:tcPr>
          <w:p>
            <w:pPr>
              <w:spacing w:after="0"/>
              <w:rPr>
                <w:sz w:val="1"/>
                <w:szCs w:val="1"/>
                <w:color w:val="auto"/>
              </w:rPr>
            </w:pPr>
          </w:p>
        </w:tc>
      </w:tr>
      <w:tr>
        <w:trPr>
          <w:trHeight w:val="203"/>
        </w:trPr>
        <w:tc>
          <w:tcPr>
            <w:tcW w:w="960" w:type="dxa"/>
            <w:vAlign w:val="bottom"/>
            <w:vMerge w:val="restart"/>
          </w:tcPr>
          <w:p>
            <w:pPr>
              <w:jc w:val="right"/>
              <w:spacing w:after="0"/>
              <w:rPr>
                <w:sz w:val="20"/>
                <w:szCs w:val="20"/>
                <w:color w:val="auto"/>
              </w:rPr>
            </w:pPr>
            <w:r>
              <w:rPr>
                <w:rFonts w:ascii="Courier New" w:cs="Courier New" w:eastAsia="Courier New" w:hAnsi="Courier New"/>
                <w:sz w:val="5"/>
                <w:szCs w:val="5"/>
                <w:color w:val="auto"/>
                <w:w w:val="92"/>
              </w:rPr>
              <w:t>unbilled..........................</w:t>
            </w:r>
          </w:p>
        </w:tc>
        <w:tc>
          <w:tcPr>
            <w:tcW w:w="4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$314,828 Accounts receivable --</w:t>
            </w:r>
          </w:p>
        </w:tc>
        <w:tc>
          <w:tcPr>
            <w:tcW w:w="0" w:type="dxa"/>
            <w:vAlign w:val="bottom"/>
          </w:tcPr>
          <w:p>
            <w:pPr>
              <w:spacing w:after="0"/>
              <w:rPr>
                <w:sz w:val="1"/>
                <w:szCs w:val="1"/>
                <w:color w:val="auto"/>
              </w:rPr>
            </w:pPr>
          </w:p>
        </w:tc>
      </w:tr>
      <w:tr>
        <w:trPr>
          <w:trHeight w:val="203"/>
        </w:trPr>
        <w:tc>
          <w:tcPr>
            <w:tcW w:w="960" w:type="dxa"/>
            <w:vAlign w:val="bottom"/>
            <w:vMerge w:val="continue"/>
          </w:tcPr>
          <w:p>
            <w:pPr>
              <w:spacing w:after="0"/>
              <w:rPr>
                <w:sz w:val="17"/>
                <w:szCs w:val="17"/>
                <w:color w:val="auto"/>
              </w:rPr>
            </w:pPr>
          </w:p>
        </w:tc>
        <w:tc>
          <w:tcPr>
            <w:tcW w:w="1260" w:type="dxa"/>
            <w:vAlign w:val="bottom"/>
          </w:tcPr>
          <w:p>
            <w:pPr>
              <w:spacing w:after="0"/>
              <w:rPr>
                <w:sz w:val="17"/>
                <w:szCs w:val="17"/>
                <w:color w:val="auto"/>
              </w:rPr>
            </w:pPr>
          </w:p>
        </w:tc>
        <w:tc>
          <w:tcPr>
            <w:tcW w:w="2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16,072 24,144</w:t>
            </w:r>
          </w:p>
        </w:tc>
        <w:tc>
          <w:tcPr>
            <w:tcW w:w="0" w:type="dxa"/>
            <w:vAlign w:val="bottom"/>
          </w:tcPr>
          <w:p>
            <w:pPr>
              <w:spacing w:after="0"/>
              <w:rPr>
                <w:sz w:val="1"/>
                <w:szCs w:val="1"/>
                <w:color w:val="auto"/>
              </w:rPr>
            </w:pPr>
          </w:p>
        </w:tc>
      </w:tr>
      <w:tr>
        <w:trPr>
          <w:trHeight w:val="296"/>
        </w:trPr>
        <w:tc>
          <w:tcPr>
            <w:tcW w:w="2220" w:type="dxa"/>
            <w:vAlign w:val="bottom"/>
            <w:gridSpan w:val="2"/>
            <w:vMerge w:val="restart"/>
          </w:tcPr>
          <w:p>
            <w:pPr>
              <w:jc w:val="right"/>
              <w:ind w:right="1085"/>
              <w:spacing w:after="0"/>
              <w:rPr>
                <w:sz w:val="20"/>
                <w:szCs w:val="20"/>
                <w:color w:val="auto"/>
              </w:rPr>
            </w:pPr>
            <w:r>
              <w:rPr>
                <w:rFonts w:ascii="Courier New" w:cs="Courier New" w:eastAsia="Courier New" w:hAnsi="Courier New"/>
                <w:sz w:val="18"/>
                <w:szCs w:val="18"/>
                <w:color w:val="auto"/>
                <w:w w:val="96"/>
              </w:rPr>
              <w:t>allowances</w:t>
            </w:r>
          </w:p>
        </w:tc>
        <w:tc>
          <w:tcPr>
            <w:tcW w:w="2900" w:type="dxa"/>
            <w:vAlign w:val="bottom"/>
          </w:tcPr>
          <w:p>
            <w:pPr>
              <w:spacing w:after="0"/>
              <w:rPr>
                <w:sz w:val="20"/>
                <w:szCs w:val="20"/>
                <w:color w:val="auto"/>
              </w:rPr>
            </w:pPr>
            <w:r>
              <w:rPr>
                <w:rFonts w:ascii="Courier New" w:cs="Courier New" w:eastAsia="Courier New" w:hAnsi="Courier New"/>
                <w:sz w:val="18"/>
                <w:szCs w:val="18"/>
                <w:color w:val="auto"/>
              </w:rPr>
              <w:t>Less --</w:t>
            </w:r>
          </w:p>
        </w:tc>
        <w:tc>
          <w:tcPr>
            <w:tcW w:w="0" w:type="dxa"/>
            <w:vAlign w:val="bottom"/>
          </w:tcPr>
          <w:p>
            <w:pPr>
              <w:spacing w:after="0"/>
              <w:rPr>
                <w:sz w:val="1"/>
                <w:szCs w:val="1"/>
                <w:color w:val="auto"/>
              </w:rPr>
            </w:pPr>
          </w:p>
        </w:tc>
      </w:tr>
      <w:tr>
        <w:trPr>
          <w:trHeight w:val="109"/>
        </w:trPr>
        <w:tc>
          <w:tcPr>
            <w:tcW w:w="2220" w:type="dxa"/>
            <w:vAlign w:val="bottom"/>
            <w:gridSpan w:val="2"/>
            <w:vMerge w:val="continue"/>
          </w:tcPr>
          <w:p>
            <w:pPr>
              <w:jc w:val="right"/>
              <w:spacing w:after="0" w:line="109" w:lineRule="exact"/>
              <w:rPr>
                <w:sz w:val="20"/>
                <w:szCs w:val="20"/>
                <w:color w:val="auto"/>
              </w:rPr>
            </w:pPr>
            <w:r>
              <w:rPr>
                <w:rFonts w:ascii="Courier New" w:cs="Courier New" w:eastAsia="Courier New" w:hAnsi="Courier New"/>
                <w:sz w:val="9"/>
                <w:szCs w:val="9"/>
                <w:color w:val="auto"/>
              </w:rPr>
              <w:t>.......................................</w:t>
            </w:r>
            <w:r>
              <w:rPr>
                <w:rFonts w:ascii="Courier New" w:cs="Courier New" w:eastAsia="Courier New" w:hAnsi="Courier New"/>
                <w:sz w:val="12"/>
                <w:szCs w:val="12"/>
                <w:color w:val="auto"/>
                <w:vertAlign w:val="subscript"/>
              </w:rPr>
              <w:t>--------</w:t>
            </w:r>
          </w:p>
        </w:tc>
        <w:tc>
          <w:tcPr>
            <w:tcW w:w="2900" w:type="dxa"/>
            <w:vAlign w:val="bottom"/>
            <w:vMerge w:val="restart"/>
          </w:tcPr>
          <w:p>
            <w:pPr>
              <w:ind w:left="900"/>
              <w:spacing w:after="0"/>
              <w:rPr>
                <w:sz w:val="20"/>
                <w:szCs w:val="20"/>
                <w:color w:val="auto"/>
              </w:rPr>
            </w:pPr>
            <w:r>
              <w:rPr>
                <w:rFonts w:ascii="Courier New" w:cs="Courier New" w:eastAsia="Courier New" w:hAnsi="Courier New"/>
                <w:sz w:val="18"/>
                <w:szCs w:val="18"/>
                <w:color w:val="auto"/>
              </w:rPr>
              <w:t>-------- Accounts</w:t>
            </w:r>
          </w:p>
        </w:tc>
        <w:tc>
          <w:tcPr>
            <w:tcW w:w="0" w:type="dxa"/>
            <w:vAlign w:val="bottom"/>
          </w:tcPr>
          <w:p>
            <w:pPr>
              <w:spacing w:after="0"/>
              <w:rPr>
                <w:sz w:val="1"/>
                <w:szCs w:val="1"/>
                <w:color w:val="auto"/>
              </w:rPr>
            </w:pPr>
          </w:p>
        </w:tc>
      </w:tr>
      <w:tr>
        <w:trPr>
          <w:trHeight w:val="235"/>
        </w:trPr>
        <w:tc>
          <w:tcPr>
            <w:tcW w:w="2220" w:type="dxa"/>
            <w:vAlign w:val="bottom"/>
            <w:gridSpan w:val="2"/>
          </w:tcPr>
          <w:p>
            <w:pPr>
              <w:jc w:val="right"/>
              <w:ind w:right="85"/>
              <w:spacing w:after="0"/>
              <w:rPr>
                <w:sz w:val="20"/>
                <w:szCs w:val="20"/>
                <w:color w:val="auto"/>
              </w:rPr>
            </w:pPr>
            <w:r>
              <w:rPr>
                <w:rFonts w:ascii="Courier New" w:cs="Courier New" w:eastAsia="Courier New" w:hAnsi="Courier New"/>
                <w:sz w:val="18"/>
                <w:szCs w:val="18"/>
                <w:color w:val="auto"/>
              </w:rPr>
              <w:t>(18,018) (26,240)</w:t>
            </w:r>
          </w:p>
        </w:tc>
        <w:tc>
          <w:tcPr>
            <w:tcW w:w="29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ind w:left="120"/>
        <w:spacing w:after="0" w:line="238" w:lineRule="auto"/>
        <w:rPr>
          <w:sz w:val="20"/>
          <w:szCs w:val="20"/>
          <w:color w:val="auto"/>
        </w:rPr>
      </w:pPr>
      <w:r>
        <w:rPr>
          <w:rFonts w:ascii="Courier New" w:cs="Courier New" w:eastAsia="Courier New" w:hAnsi="Courier New"/>
          <w:sz w:val="18"/>
          <w:szCs w:val="18"/>
          <w:color w:val="auto"/>
        </w:rPr>
        <w:t>receivable, net................................</w:t>
      </w:r>
    </w:p>
    <w:p>
      <w:pPr>
        <w:ind w:left="740"/>
        <w:spacing w:after="0"/>
        <w:rPr>
          <w:sz w:val="20"/>
          <w:szCs w:val="20"/>
          <w:color w:val="auto"/>
        </w:rPr>
      </w:pPr>
      <w:r>
        <w:rPr>
          <w:rFonts w:ascii="Courier New" w:cs="Courier New" w:eastAsia="Courier New" w:hAnsi="Courier New"/>
          <w:sz w:val="18"/>
          <w:szCs w:val="18"/>
          <w:color w:val="auto"/>
        </w:rPr>
        <w:t>$198,274 $312,732 ======== ========</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7 -- EQUIPMENT, VEHICLES AND LEASEHOLD IMPROVEMENTS, NET</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Components of equipment, vehicles and leasehold improvements, net are:</w:t>
      </w:r>
    </w:p>
    <w:p>
      <w:pPr>
        <w:spacing w:after="0" w:line="201"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AS OF SEPTEMBER 30, ------------------- 2003</w:t>
      </w:r>
    </w:p>
    <w:tbl>
      <w:tblPr>
        <w:tblLayout w:type="fixed"/>
        <w:tblInd w:w="0" w:type="dxa"/>
        <w:tblCellMar>
          <w:top w:w="0" w:type="dxa"/>
          <w:left w:w="0" w:type="dxa"/>
          <w:bottom w:w="0" w:type="dxa"/>
          <w:right w:w="0" w:type="dxa"/>
        </w:tblCellMar>
      </w:tblPr>
      <w:tr>
        <w:trPr>
          <w:trHeight w:val="201"/>
        </w:trPr>
        <w:tc>
          <w:tcPr>
            <w:tcW w:w="1380" w:type="dxa"/>
            <w:vAlign w:val="bottom"/>
          </w:tcPr>
          <w:p>
            <w:pPr>
              <w:jc w:val="right"/>
              <w:ind w:right="58"/>
              <w:spacing w:after="0" w:line="201" w:lineRule="exact"/>
              <w:rPr>
                <w:sz w:val="20"/>
                <w:szCs w:val="20"/>
                <w:color w:val="auto"/>
              </w:rPr>
            </w:pPr>
            <w:r>
              <w:rPr>
                <w:rFonts w:ascii="Courier New" w:cs="Courier New" w:eastAsia="Courier New" w:hAnsi="Courier New"/>
                <w:sz w:val="18"/>
                <w:szCs w:val="18"/>
                <w:color w:val="auto"/>
              </w:rPr>
              <w:t>2002</w:t>
            </w:r>
          </w:p>
        </w:tc>
        <w:tc>
          <w:tcPr>
            <w:tcW w:w="3260" w:type="dxa"/>
            <w:vAlign w:val="bottom"/>
          </w:tcPr>
          <w:p>
            <w:pPr>
              <w:spacing w:after="0" w:line="201" w:lineRule="exact"/>
              <w:rPr>
                <w:sz w:val="20"/>
                <w:szCs w:val="20"/>
                <w:color w:val="auto"/>
              </w:rPr>
            </w:pPr>
            <w:r>
              <w:rPr>
                <w:rFonts w:ascii="Courier New" w:cs="Courier New" w:eastAsia="Courier New" w:hAnsi="Courier New"/>
                <w:sz w:val="18"/>
                <w:szCs w:val="18"/>
                <w:color w:val="auto"/>
              </w:rPr>
              <w:t>-------- -------- Computer</w:t>
            </w:r>
          </w:p>
        </w:tc>
        <w:tc>
          <w:tcPr>
            <w:tcW w:w="0" w:type="dxa"/>
            <w:vAlign w:val="bottom"/>
          </w:tcPr>
          <w:p>
            <w:pPr>
              <w:spacing w:after="0"/>
              <w:rPr>
                <w:sz w:val="1"/>
                <w:szCs w:val="1"/>
                <w:color w:val="auto"/>
              </w:rPr>
            </w:pPr>
          </w:p>
        </w:tc>
      </w:tr>
      <w:tr>
        <w:trPr>
          <w:trHeight w:val="203"/>
        </w:trPr>
        <w:tc>
          <w:tcPr>
            <w:tcW w:w="1380" w:type="dxa"/>
            <w:vAlign w:val="bottom"/>
          </w:tcPr>
          <w:p>
            <w:pPr>
              <w:jc w:val="right"/>
              <w:spacing w:after="0"/>
              <w:rPr>
                <w:sz w:val="20"/>
                <w:szCs w:val="20"/>
                <w:color w:val="auto"/>
              </w:rPr>
            </w:pPr>
            <w:r>
              <w:rPr>
                <w:rFonts w:ascii="Courier New" w:cs="Courier New" w:eastAsia="Courier New" w:hAnsi="Courier New"/>
                <w:sz w:val="5"/>
                <w:szCs w:val="5"/>
                <w:color w:val="auto"/>
                <w:w w:val="96"/>
              </w:rPr>
              <w:t>equipment......................................</w:t>
            </w:r>
          </w:p>
        </w:tc>
        <w:tc>
          <w:tcPr>
            <w:tcW w:w="3260" w:type="dxa"/>
            <w:vAlign w:val="bottom"/>
            <w:vMerge w:val="restart"/>
          </w:tcPr>
          <w:p>
            <w:pPr>
              <w:spacing w:after="0"/>
              <w:rPr>
                <w:sz w:val="20"/>
                <w:szCs w:val="20"/>
                <w:color w:val="auto"/>
              </w:rPr>
            </w:pPr>
            <w:r>
              <w:rPr>
                <w:rFonts w:ascii="Courier New" w:cs="Courier New" w:eastAsia="Courier New" w:hAnsi="Courier New"/>
                <w:sz w:val="18"/>
                <w:szCs w:val="18"/>
                <w:color w:val="auto"/>
                <w:w w:val="99"/>
              </w:rPr>
              <w:t>$211,010 Vehicles furnished to</w:t>
            </w:r>
          </w:p>
        </w:tc>
        <w:tc>
          <w:tcPr>
            <w:tcW w:w="0" w:type="dxa"/>
            <w:vAlign w:val="bottom"/>
          </w:tcPr>
          <w:p>
            <w:pPr>
              <w:spacing w:after="0"/>
              <w:rPr>
                <w:sz w:val="1"/>
                <w:szCs w:val="1"/>
                <w:color w:val="auto"/>
              </w:rPr>
            </w:pPr>
          </w:p>
        </w:tc>
      </w:tr>
      <w:tr>
        <w:trPr>
          <w:trHeight w:val="203"/>
        </w:trPr>
        <w:tc>
          <w:tcPr>
            <w:tcW w:w="1380" w:type="dxa"/>
            <w:vAlign w:val="bottom"/>
          </w:tcPr>
          <w:p>
            <w:pPr>
              <w:jc w:val="right"/>
              <w:ind w:right="58"/>
              <w:spacing w:after="0" w:line="203" w:lineRule="exact"/>
              <w:rPr>
                <w:sz w:val="20"/>
                <w:szCs w:val="20"/>
                <w:color w:val="auto"/>
              </w:rPr>
            </w:pPr>
            <w:r>
              <w:rPr>
                <w:rFonts w:ascii="Courier New" w:cs="Courier New" w:eastAsia="Courier New" w:hAnsi="Courier New"/>
                <w:sz w:val="18"/>
                <w:szCs w:val="18"/>
                <w:color w:val="auto"/>
              </w:rPr>
              <w:t>$311,319</w:t>
            </w:r>
          </w:p>
        </w:tc>
        <w:tc>
          <w:tcPr>
            <w:tcW w:w="3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tcPr>
          <w:p>
            <w:pPr>
              <w:jc w:val="right"/>
              <w:spacing w:after="0"/>
              <w:rPr>
                <w:sz w:val="20"/>
                <w:szCs w:val="20"/>
                <w:color w:val="auto"/>
              </w:rPr>
            </w:pPr>
            <w:r>
              <w:rPr>
                <w:rFonts w:ascii="Courier New" w:cs="Courier New" w:eastAsia="Courier New" w:hAnsi="Courier New"/>
                <w:sz w:val="9"/>
                <w:szCs w:val="9"/>
                <w:color w:val="auto"/>
                <w:w w:val="74"/>
              </w:rPr>
              <w:t>employees.........................</w:t>
            </w:r>
          </w:p>
        </w:tc>
        <w:tc>
          <w:tcPr>
            <w:tcW w:w="3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50,080</w:t>
            </w:r>
          </w:p>
        </w:tc>
        <w:tc>
          <w:tcPr>
            <w:tcW w:w="0" w:type="dxa"/>
            <w:vAlign w:val="bottom"/>
          </w:tcPr>
          <w:p>
            <w:pPr>
              <w:spacing w:after="0"/>
              <w:rPr>
                <w:sz w:val="1"/>
                <w:szCs w:val="1"/>
                <w:color w:val="auto"/>
              </w:rPr>
            </w:pPr>
          </w:p>
        </w:tc>
      </w:tr>
      <w:tr>
        <w:trPr>
          <w:trHeight w:val="235"/>
        </w:trPr>
        <w:tc>
          <w:tcPr>
            <w:tcW w:w="1380" w:type="dxa"/>
            <w:vAlign w:val="bottom"/>
          </w:tcPr>
          <w:p>
            <w:pPr>
              <w:spacing w:after="0"/>
              <w:rPr>
                <w:sz w:val="20"/>
                <w:szCs w:val="20"/>
                <w:color w:val="auto"/>
              </w:rPr>
            </w:pPr>
          </w:p>
        </w:tc>
        <w:tc>
          <w:tcPr>
            <w:tcW w:w="3260" w:type="dxa"/>
            <w:vAlign w:val="bottom"/>
          </w:tcPr>
          <w:p>
            <w:pPr>
              <w:ind w:left="260"/>
              <w:spacing w:after="0"/>
              <w:rPr>
                <w:sz w:val="20"/>
                <w:szCs w:val="20"/>
                <w:color w:val="auto"/>
              </w:rPr>
            </w:pPr>
            <w:r>
              <w:rPr>
                <w:rFonts w:ascii="Courier New" w:cs="Courier New" w:eastAsia="Courier New" w:hAnsi="Courier New"/>
                <w:sz w:val="18"/>
                <w:szCs w:val="18"/>
                <w:color w:val="auto"/>
              </w:rPr>
              <w:t>53,696 Leasehold</w:t>
            </w:r>
          </w:p>
        </w:tc>
        <w:tc>
          <w:tcPr>
            <w:tcW w:w="0" w:type="dxa"/>
            <w:vAlign w:val="bottom"/>
          </w:tcPr>
          <w:p>
            <w:pPr>
              <w:spacing w:after="0"/>
              <w:rPr>
                <w:sz w:val="1"/>
                <w:szCs w:val="1"/>
                <w:color w:val="auto"/>
              </w:rPr>
            </w:pPr>
          </w:p>
        </w:tc>
      </w:tr>
    </w:tbl>
    <w:p>
      <w:pPr>
        <w:ind w:left="60"/>
        <w:spacing w:after="0" w:line="238" w:lineRule="auto"/>
        <w:rPr>
          <w:sz w:val="20"/>
          <w:szCs w:val="20"/>
          <w:color w:val="auto"/>
        </w:rPr>
      </w:pPr>
      <w:r>
        <w:rPr>
          <w:rFonts w:ascii="Courier New" w:cs="Courier New" w:eastAsia="Courier New" w:hAnsi="Courier New"/>
          <w:sz w:val="18"/>
          <w:szCs w:val="18"/>
          <w:color w:val="auto"/>
        </w:rPr>
        <w:t>improvements..................................</w:t>
      </w:r>
    </w:p>
    <w:p>
      <w:pPr>
        <w:ind w:left="1060"/>
        <w:spacing w:after="0"/>
        <w:rPr>
          <w:sz w:val="20"/>
          <w:szCs w:val="20"/>
          <w:color w:val="auto"/>
        </w:rPr>
      </w:pPr>
      <w:r>
        <w:rPr>
          <w:rFonts w:ascii="Courier New" w:cs="Courier New" w:eastAsia="Courier New" w:hAnsi="Courier New"/>
          <w:sz w:val="18"/>
          <w:szCs w:val="18"/>
          <w:color w:val="auto"/>
        </w:rPr>
        <w:t>49,834 54,319 Furniture and</w:t>
      </w:r>
    </w:p>
    <w:tbl>
      <w:tblPr>
        <w:tblLayout w:type="fixed"/>
        <w:tblInd w:w="260" w:type="dxa"/>
        <w:tblCellMar>
          <w:top w:w="0" w:type="dxa"/>
          <w:left w:w="0" w:type="dxa"/>
          <w:bottom w:w="0" w:type="dxa"/>
          <w:right w:w="0" w:type="dxa"/>
        </w:tblCellMar>
      </w:tblPr>
      <w:tr>
        <w:trPr>
          <w:trHeight w:val="171"/>
        </w:trPr>
        <w:tc>
          <w:tcPr>
            <w:tcW w:w="2580" w:type="dxa"/>
            <w:vAlign w:val="bottom"/>
          </w:tcPr>
          <w:p>
            <w:pPr>
              <w:spacing w:after="0"/>
              <w:rPr>
                <w:sz w:val="20"/>
                <w:szCs w:val="20"/>
                <w:color w:val="auto"/>
              </w:rPr>
            </w:pPr>
            <w:r>
              <w:rPr>
                <w:rFonts w:ascii="Courier New" w:cs="Courier New" w:eastAsia="Courier New" w:hAnsi="Courier New"/>
                <w:sz w:val="14"/>
                <w:szCs w:val="14"/>
                <w:color w:val="auto"/>
                <w:w w:val="72"/>
              </w:rPr>
              <w:t>fixtures..................................</w:t>
            </w:r>
          </w:p>
        </w:tc>
        <w:tc>
          <w:tcPr>
            <w:tcW w:w="1860" w:type="dxa"/>
            <w:vAlign w:val="bottom"/>
            <w:gridSpan w:val="2"/>
            <w:vMerge w:val="restart"/>
          </w:tcPr>
          <w:p>
            <w:pPr>
              <w:jc w:val="right"/>
              <w:ind w:right="72"/>
              <w:spacing w:after="0"/>
              <w:rPr>
                <w:sz w:val="20"/>
                <w:szCs w:val="20"/>
                <w:color w:val="auto"/>
              </w:rPr>
            </w:pPr>
            <w:r>
              <w:rPr>
                <w:rFonts w:ascii="Courier New" w:cs="Courier New" w:eastAsia="Courier New" w:hAnsi="Courier New"/>
                <w:sz w:val="18"/>
                <w:szCs w:val="18"/>
                <w:color w:val="auto"/>
                <w:w w:val="97"/>
              </w:rPr>
              <w:t>-------- 451,342</w:t>
            </w:r>
          </w:p>
        </w:tc>
        <w:tc>
          <w:tcPr>
            <w:tcW w:w="0" w:type="dxa"/>
            <w:vAlign w:val="bottom"/>
          </w:tcPr>
          <w:p>
            <w:pPr>
              <w:spacing w:after="0"/>
              <w:rPr>
                <w:sz w:val="1"/>
                <w:szCs w:val="1"/>
                <w:color w:val="auto"/>
              </w:rPr>
            </w:pPr>
          </w:p>
        </w:tc>
      </w:tr>
      <w:tr>
        <w:trPr>
          <w:trHeight w:val="203"/>
        </w:trPr>
        <w:tc>
          <w:tcPr>
            <w:tcW w:w="2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40,109 38,672 --------</w:t>
            </w:r>
          </w:p>
        </w:tc>
        <w:tc>
          <w:tcPr>
            <w:tcW w:w="18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357,697 Less accumulated</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tcPr>
          <w:p>
            <w:pPr>
              <w:ind w:left="160"/>
              <w:spacing w:after="0"/>
              <w:rPr>
                <w:sz w:val="20"/>
                <w:szCs w:val="20"/>
                <w:color w:val="auto"/>
              </w:rPr>
            </w:pPr>
            <w:r>
              <w:rPr>
                <w:rFonts w:ascii="Courier New" w:cs="Courier New" w:eastAsia="Courier New" w:hAnsi="Courier New"/>
                <w:sz w:val="14"/>
                <w:szCs w:val="14"/>
                <w:color w:val="auto"/>
                <w:w w:val="73"/>
              </w:rPr>
              <w:t>depreciation...........................</w:t>
            </w:r>
          </w:p>
        </w:tc>
        <w:tc>
          <w:tcPr>
            <w:tcW w:w="9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9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$203,467</w:t>
            </w:r>
          </w:p>
        </w:tc>
        <w:tc>
          <w:tcPr>
            <w:tcW w:w="0" w:type="dxa"/>
            <w:vAlign w:val="bottom"/>
          </w:tcPr>
          <w:p>
            <w:pPr>
              <w:spacing w:after="0"/>
              <w:rPr>
                <w:sz w:val="1"/>
                <w:szCs w:val="1"/>
                <w:color w:val="auto"/>
              </w:rPr>
            </w:pPr>
          </w:p>
        </w:tc>
      </w:tr>
      <w:tr>
        <w:trPr>
          <w:trHeight w:val="235"/>
        </w:trPr>
        <w:tc>
          <w:tcPr>
            <w:tcW w:w="2580" w:type="dxa"/>
            <w:vAlign w:val="bottom"/>
          </w:tcPr>
          <w:p>
            <w:pPr>
              <w:spacing w:after="0"/>
              <w:rPr>
                <w:sz w:val="20"/>
                <w:szCs w:val="20"/>
                <w:color w:val="auto"/>
              </w:rPr>
            </w:pPr>
            <w:r>
              <w:rPr>
                <w:rFonts w:ascii="Courier New" w:cs="Courier New" w:eastAsia="Courier New" w:hAnsi="Courier New"/>
                <w:sz w:val="18"/>
                <w:szCs w:val="18"/>
                <w:color w:val="auto"/>
                <w:w w:val="98"/>
              </w:rPr>
              <w:t>247,875 196,795 --------</w:t>
            </w:r>
          </w:p>
        </w:tc>
        <w:tc>
          <w:tcPr>
            <w:tcW w:w="960" w:type="dxa"/>
            <w:vAlign w:val="bottom"/>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ind w:left="1120"/>
        <w:spacing w:after="0"/>
        <w:rPr>
          <w:sz w:val="20"/>
          <w:szCs w:val="20"/>
          <w:color w:val="auto"/>
        </w:rPr>
      </w:pPr>
      <w:r>
        <w:rPr>
          <w:rFonts w:ascii="Courier New" w:cs="Courier New" w:eastAsia="Courier New" w:hAnsi="Courier New"/>
          <w:sz w:val="18"/>
          <w:szCs w:val="18"/>
          <w:color w:val="auto"/>
        </w:rPr>
        <w:t>$160,902 ======== ========</w:t>
      </w:r>
    </w:p>
    <w:p>
      <w:pPr>
        <w:spacing w:after="0" w:line="372" w:lineRule="exact"/>
        <w:rPr>
          <w:sz w:val="20"/>
          <w:szCs w:val="20"/>
          <w:color w:val="auto"/>
        </w:rPr>
      </w:pPr>
    </w:p>
    <w:p>
      <w:pPr>
        <w:ind w:right="1779" w:firstLine="527"/>
        <w:spacing w:after="0" w:line="283" w:lineRule="auto"/>
        <w:rPr>
          <w:sz w:val="20"/>
          <w:szCs w:val="20"/>
          <w:color w:val="auto"/>
        </w:rPr>
      </w:pPr>
      <w:r>
        <w:rPr>
          <w:rFonts w:ascii="Courier New" w:cs="Courier New" w:eastAsia="Courier New" w:hAnsi="Courier New"/>
          <w:sz w:val="16"/>
          <w:szCs w:val="16"/>
          <w:color w:val="auto"/>
        </w:rPr>
        <w:t>The Company has entered into various arrangements for the leasing of vehicles for periods of five years, carrying interest rates of LIBOR plus an interest rate ranging 0.5% to 0.9% (between 1.66% to 2.06% as of September 30, 2003). Vehicles under capital lease arrangements had cost of $43,918 and $49,582 with related accumulated depreciation of $26,121 and $21,520 as of September 30, 2003 and 2002, respectively. As a result of the Certen acquisition, the Company assumed various arrangements for the leasing of computer equipment (hardware and software) for remaining periods of two to three years, denominated in Canadian dollars with interest rates ranging between 5.16% to 11.7%. Computer equipment under capital lease arrangements had a cost of $48,203 with related accumulated depreciation of $2,111 as of September 30, 2003.</w:t>
      </w:r>
    </w:p>
    <w:p>
      <w:pPr>
        <w:spacing w:after="0" w:line="294" w:lineRule="exact"/>
        <w:rPr>
          <w:sz w:val="20"/>
          <w:szCs w:val="20"/>
          <w:color w:val="auto"/>
        </w:rPr>
      </w:pPr>
    </w:p>
    <w:p>
      <w:pPr>
        <w:ind w:right="2319" w:firstLine="527"/>
        <w:spacing w:after="0" w:line="347" w:lineRule="auto"/>
        <w:rPr>
          <w:sz w:val="20"/>
          <w:szCs w:val="20"/>
          <w:color w:val="auto"/>
        </w:rPr>
      </w:pPr>
      <w:r>
        <w:rPr>
          <w:rFonts w:ascii="Courier New" w:cs="Courier New" w:eastAsia="Courier New" w:hAnsi="Courier New"/>
          <w:sz w:val="18"/>
          <w:szCs w:val="18"/>
          <w:color w:val="auto"/>
        </w:rPr>
        <w:t>The Company has accounted for these as capital leases and amortization costs have been included in depreciation expense.</w:t>
      </w:r>
    </w:p>
    <w:p>
      <w:pPr>
        <w:spacing w:after="0" w:line="18" w:lineRule="exact"/>
        <w:rPr>
          <w:sz w:val="20"/>
          <w:szCs w:val="20"/>
          <w:color w:val="auto"/>
        </w:rPr>
      </w:pPr>
    </w:p>
    <w:p>
      <w:pPr>
        <w:ind w:right="2099" w:firstLine="527"/>
        <w:spacing w:after="0" w:line="347" w:lineRule="auto"/>
        <w:rPr>
          <w:sz w:val="20"/>
          <w:szCs w:val="20"/>
          <w:color w:val="auto"/>
        </w:rPr>
      </w:pPr>
      <w:r>
        <w:rPr>
          <w:rFonts w:ascii="Courier New" w:cs="Courier New" w:eastAsia="Courier New" w:hAnsi="Courier New"/>
          <w:sz w:val="18"/>
          <w:szCs w:val="18"/>
          <w:color w:val="auto"/>
        </w:rPr>
        <w:t>Capital lease payments, excluding interest, due over the next five years are as follows:</w:t>
      </w:r>
    </w:p>
    <w:p>
      <w:pPr>
        <w:spacing w:after="0" w:line="18"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FOR THE YEARS ENDED SEPTEMBER 30, - ------</w:t>
      </w:r>
    </w:p>
    <w:p>
      <w:pPr>
        <w:spacing w:after="0" w:line="29" w:lineRule="exact"/>
        <w:rPr>
          <w:sz w:val="20"/>
          <w:szCs w:val="20"/>
          <w:color w:val="auto"/>
        </w:rPr>
      </w:pPr>
    </w:p>
    <w:p>
      <w:pPr>
        <w:ind w:left="840"/>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2004.......................................</w:t>
      </w:r>
    </w:p>
    <w:p>
      <w:pPr>
        <w:jc w:val="center"/>
        <w:ind w:right="5679"/>
        <w:spacing w:after="0"/>
        <w:rPr>
          <w:sz w:val="20"/>
          <w:szCs w:val="20"/>
          <w:color w:val="auto"/>
        </w:rPr>
      </w:pPr>
      <w:r>
        <w:rPr>
          <w:rFonts w:ascii="Courier New" w:cs="Courier New" w:eastAsia="Courier New" w:hAnsi="Courier New"/>
          <w:sz w:val="18"/>
          <w:szCs w:val="18"/>
          <w:color w:val="auto"/>
        </w:rPr>
        <w:t>$25,472</w:t>
      </w:r>
    </w:p>
    <w:p>
      <w:pPr>
        <w:spacing w:after="0" w:line="238" w:lineRule="auto"/>
        <w:rPr>
          <w:sz w:val="20"/>
          <w:szCs w:val="20"/>
          <w:color w:val="auto"/>
        </w:rPr>
      </w:pPr>
      <w:r>
        <w:rPr>
          <w:rFonts w:ascii="Courier New" w:cs="Courier New" w:eastAsia="Courier New" w:hAnsi="Courier New"/>
          <w:sz w:val="18"/>
          <w:szCs w:val="18"/>
          <w:color w:val="auto"/>
        </w:rPr>
        <w:t>2005.......................................</w:t>
      </w:r>
    </w:p>
    <w:p>
      <w:pPr>
        <w:jc w:val="center"/>
        <w:ind w:right="5679"/>
        <w:spacing w:after="0"/>
        <w:rPr>
          <w:sz w:val="20"/>
          <w:szCs w:val="20"/>
          <w:color w:val="auto"/>
        </w:rPr>
      </w:pPr>
      <w:r>
        <w:rPr>
          <w:rFonts w:ascii="Courier New" w:cs="Courier New" w:eastAsia="Courier New" w:hAnsi="Courier New"/>
          <w:sz w:val="18"/>
          <w:szCs w:val="18"/>
          <w:color w:val="auto"/>
        </w:rPr>
        <w:t>18,859</w:t>
      </w:r>
    </w:p>
    <w:p>
      <w:pPr>
        <w:spacing w:after="0" w:line="238" w:lineRule="auto"/>
        <w:rPr>
          <w:sz w:val="20"/>
          <w:szCs w:val="20"/>
          <w:color w:val="auto"/>
        </w:rPr>
      </w:pPr>
      <w:r>
        <w:rPr>
          <w:rFonts w:ascii="Courier New" w:cs="Courier New" w:eastAsia="Courier New" w:hAnsi="Courier New"/>
          <w:sz w:val="18"/>
          <w:szCs w:val="18"/>
          <w:color w:val="auto"/>
        </w:rPr>
        <w:t>2006.......................................</w:t>
      </w:r>
    </w:p>
    <w:p>
      <w:pPr>
        <w:jc w:val="center"/>
        <w:ind w:right="5679"/>
        <w:spacing w:after="0"/>
        <w:rPr>
          <w:sz w:val="20"/>
          <w:szCs w:val="20"/>
          <w:color w:val="auto"/>
        </w:rPr>
      </w:pPr>
      <w:r>
        <w:rPr>
          <w:rFonts w:ascii="Courier New" w:cs="Courier New" w:eastAsia="Courier New" w:hAnsi="Courier New"/>
          <w:sz w:val="18"/>
          <w:szCs w:val="18"/>
          <w:color w:val="auto"/>
        </w:rPr>
        <w:t>3,761</w:t>
      </w:r>
    </w:p>
    <w:p>
      <w:pPr>
        <w:spacing w:after="0" w:line="238" w:lineRule="auto"/>
        <w:rPr>
          <w:sz w:val="20"/>
          <w:szCs w:val="20"/>
          <w:color w:val="auto"/>
        </w:rPr>
      </w:pPr>
      <w:r>
        <w:rPr>
          <w:rFonts w:ascii="Courier New" w:cs="Courier New" w:eastAsia="Courier New" w:hAnsi="Courier New"/>
          <w:sz w:val="18"/>
          <w:szCs w:val="18"/>
          <w:color w:val="auto"/>
        </w:rPr>
        <w:t>2007.......................................</w:t>
      </w:r>
    </w:p>
    <w:p>
      <w:pPr>
        <w:ind w:left="2160"/>
        <w:spacing w:after="0"/>
        <w:rPr>
          <w:sz w:val="20"/>
          <w:szCs w:val="20"/>
          <w:color w:val="auto"/>
        </w:rPr>
      </w:pPr>
      <w:r>
        <w:rPr>
          <w:rFonts w:ascii="Courier New" w:cs="Courier New" w:eastAsia="Courier New" w:hAnsi="Courier New"/>
          <w:sz w:val="18"/>
          <w:szCs w:val="18"/>
          <w:color w:val="auto"/>
        </w:rPr>
        <w:t>69</w:t>
      </w:r>
    </w:p>
    <w:p>
      <w:pPr>
        <w:spacing w:after="0" w:line="372" w:lineRule="exact"/>
        <w:rPr>
          <w:sz w:val="20"/>
          <w:szCs w:val="20"/>
          <w:color w:val="auto"/>
        </w:rPr>
      </w:pPr>
    </w:p>
    <w:p>
      <w:pPr>
        <w:ind w:right="1779" w:firstLine="527"/>
        <w:spacing w:after="0" w:line="274" w:lineRule="auto"/>
        <w:rPr>
          <w:sz w:val="20"/>
          <w:szCs w:val="20"/>
          <w:color w:val="auto"/>
        </w:rPr>
      </w:pPr>
      <w:r>
        <w:rPr>
          <w:rFonts w:ascii="Courier New" w:cs="Courier New" w:eastAsia="Courier New" w:hAnsi="Courier New"/>
          <w:sz w:val="18"/>
          <w:szCs w:val="18"/>
          <w:color w:val="auto"/>
        </w:rPr>
        <w:t>The above capital lease payments do not reflect a liability of $2,804, reflecting adjustment to fair value, resulting from the preliminary valuation of capital lease agreements assumed in the acquisition of Certen. This adjustment will be amortized over the life of the lease.</w:t>
      </w:r>
    </w:p>
    <w:p>
      <w:pPr>
        <w:spacing w:after="0" w:line="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F-23</w:t>
      </w:r>
    </w:p>
    <w:p>
      <w:pPr>
        <w:sectPr>
          <w:pgSz w:w="11900" w:h="16838" w:orient="portrait"/>
          <w:cols w:equalWidth="0" w:num="1">
            <w:col w:w="10219"/>
          </w:cols>
          <w:pgMar w:left="240" w:top="488" w:right="1440" w:bottom="186" w:gutter="0" w:footer="0" w:header="0"/>
        </w:sectPr>
      </w:pPr>
    </w:p>
    <w:bookmarkStart w:id="104" w:name="page105"/>
    <w:bookmarkEnd w:id="104"/>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3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(IN THOUSANDS, EXCEPT PER SHARE DATA)</w:t>
      </w:r>
    </w:p>
    <w:p>
      <w:pPr>
        <w:spacing w:after="0" w:line="169" w:lineRule="exact"/>
        <w:rPr>
          <w:sz w:val="20"/>
          <w:szCs w:val="20"/>
          <w:color w:val="auto"/>
        </w:rPr>
      </w:pPr>
    </w:p>
    <w:p>
      <w:pPr>
        <w:ind w:right="1879" w:firstLine="527"/>
        <w:spacing w:after="0" w:line="265" w:lineRule="auto"/>
        <w:rPr>
          <w:sz w:val="20"/>
          <w:szCs w:val="20"/>
          <w:color w:val="auto"/>
        </w:rPr>
      </w:pPr>
      <w:r>
        <w:rPr>
          <w:rFonts w:ascii="Courier New" w:cs="Courier New" w:eastAsia="Courier New" w:hAnsi="Courier New"/>
          <w:sz w:val="18"/>
          <w:szCs w:val="18"/>
          <w:color w:val="auto"/>
        </w:rPr>
        <w:t>The above capital lease payments include a sale-leaseback transaction that was recognized on Certen's books as of the acquisition date. The proceeds for this transaction were received after the acquisition date, and are reflected in the consolidated cash flow statement for fiscal 2003 as "proceeds from sale-leaseback transaction".</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8 -- GOODWILL AND OTHER INTANGIBLE ASSETS, NET</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Goodwill and other intangible assets, net are: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AS OF SEPTEMBER 30, ESTIMATED USEFUL</w:t>
      </w:r>
    </w:p>
    <w:tbl>
      <w:tblPr>
        <w:tblLayout w:type="fixed"/>
        <w:tblInd w:w="0" w:type="dxa"/>
        <w:tblCellMar>
          <w:top w:w="0" w:type="dxa"/>
          <w:left w:w="0" w:type="dxa"/>
          <w:bottom w:w="0" w:type="dxa"/>
          <w:right w:w="0" w:type="dxa"/>
        </w:tblCellMar>
      </w:tblPr>
      <w:tr>
        <w:trPr>
          <w:trHeight w:val="201"/>
        </w:trPr>
        <w:tc>
          <w:tcPr>
            <w:tcW w:w="2000" w:type="dxa"/>
            <w:vAlign w:val="bottom"/>
            <w:vMerge w:val="restart"/>
          </w:tcPr>
          <w:p>
            <w:pPr>
              <w:jc w:val="right"/>
              <w:spacing w:after="0"/>
              <w:rPr>
                <w:sz w:val="20"/>
                <w:szCs w:val="20"/>
                <w:color w:val="auto"/>
              </w:rPr>
            </w:pPr>
            <w:r>
              <w:rPr>
                <w:rFonts w:ascii="Courier New" w:cs="Courier New" w:eastAsia="Courier New" w:hAnsi="Courier New"/>
                <w:sz w:val="11"/>
                <w:szCs w:val="11"/>
                <w:color w:val="auto"/>
                <w:w w:val="70"/>
              </w:rPr>
              <w:t>2003</w:t>
            </w:r>
            <w:r>
              <w:rPr>
                <w:rFonts w:ascii="Courier New" w:cs="Courier New" w:eastAsia="Courier New" w:hAnsi="Courier New"/>
                <w:sz w:val="16"/>
                <w:szCs w:val="16"/>
                <w:color w:val="auto"/>
                <w:w w:val="70"/>
                <w:vertAlign w:val="superscript"/>
              </w:rPr>
              <w:t>-------------------</w:t>
            </w:r>
            <w:r>
              <w:rPr>
                <w:rFonts w:ascii="Courier New" w:cs="Courier New" w:eastAsia="Courier New" w:hAnsi="Courier New"/>
                <w:sz w:val="11"/>
                <w:szCs w:val="11"/>
                <w:color w:val="auto"/>
                <w:w w:val="70"/>
              </w:rPr>
              <w:t>2002----------------</w:t>
            </w:r>
          </w:p>
        </w:tc>
        <w:tc>
          <w:tcPr>
            <w:tcW w:w="1960" w:type="dxa"/>
            <w:vAlign w:val="bottom"/>
          </w:tcPr>
          <w:p>
            <w:pPr>
              <w:jc w:val="right"/>
              <w:ind w:right="12"/>
              <w:spacing w:after="0" w:line="201" w:lineRule="exact"/>
              <w:rPr>
                <w:sz w:val="20"/>
                <w:szCs w:val="20"/>
                <w:color w:val="auto"/>
              </w:rPr>
            </w:pPr>
            <w:r>
              <w:rPr>
                <w:rFonts w:ascii="Courier New" w:cs="Courier New" w:eastAsia="Courier New" w:hAnsi="Courier New"/>
                <w:sz w:val="18"/>
                <w:szCs w:val="18"/>
                <w:color w:val="auto"/>
              </w:rPr>
              <w:t>LIFE (IN YEARS)</w:t>
            </w:r>
          </w:p>
        </w:tc>
        <w:tc>
          <w:tcPr>
            <w:tcW w:w="0" w:type="dxa"/>
            <w:vAlign w:val="bottom"/>
          </w:tcPr>
          <w:p>
            <w:pPr>
              <w:spacing w:after="0"/>
              <w:rPr>
                <w:sz w:val="1"/>
                <w:szCs w:val="1"/>
                <w:color w:val="auto"/>
              </w:rPr>
            </w:pPr>
          </w:p>
        </w:tc>
      </w:tr>
      <w:tr>
        <w:trPr>
          <w:trHeight w:val="203"/>
        </w:trPr>
        <w:tc>
          <w:tcPr>
            <w:tcW w:w="2000" w:type="dxa"/>
            <w:vAlign w:val="bottom"/>
            <w:vMerge w:val="continue"/>
          </w:tcPr>
          <w:p>
            <w:pPr>
              <w:spacing w:after="0"/>
              <w:rPr>
                <w:sz w:val="17"/>
                <w:szCs w:val="17"/>
                <w:color w:val="auto"/>
              </w:rPr>
            </w:pPr>
          </w:p>
        </w:tc>
        <w:tc>
          <w:tcPr>
            <w:tcW w:w="196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w w:val="96"/>
              </w:rPr>
              <w:t>-------- -</w:t>
            </w:r>
          </w:p>
        </w:tc>
        <w:tc>
          <w:tcPr>
            <w:tcW w:w="0" w:type="dxa"/>
            <w:vAlign w:val="bottom"/>
          </w:tcPr>
          <w:p>
            <w:pPr>
              <w:spacing w:after="0"/>
              <w:rPr>
                <w:sz w:val="1"/>
                <w:szCs w:val="1"/>
                <w:color w:val="auto"/>
              </w:rPr>
            </w:pPr>
          </w:p>
        </w:tc>
      </w:tr>
      <w:tr>
        <w:trPr>
          <w:trHeight w:val="203"/>
        </w:trPr>
        <w:tc>
          <w:tcPr>
            <w:tcW w:w="39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 Intellectual property rights</w:t>
            </w:r>
          </w:p>
        </w:tc>
        <w:tc>
          <w:tcPr>
            <w:tcW w:w="0" w:type="dxa"/>
            <w:vAlign w:val="bottom"/>
          </w:tcPr>
          <w:p>
            <w:pPr>
              <w:spacing w:after="0"/>
              <w:rPr>
                <w:sz w:val="1"/>
                <w:szCs w:val="1"/>
                <w:color w:val="auto"/>
              </w:rPr>
            </w:pPr>
          </w:p>
        </w:tc>
      </w:tr>
      <w:tr>
        <w:trPr>
          <w:trHeight w:val="203"/>
        </w:trPr>
        <w:tc>
          <w:tcPr>
            <w:tcW w:w="39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and purchased computer</w:t>
            </w:r>
          </w:p>
        </w:tc>
        <w:tc>
          <w:tcPr>
            <w:tcW w:w="0" w:type="dxa"/>
            <w:vAlign w:val="bottom"/>
          </w:tcPr>
          <w:p>
            <w:pPr>
              <w:spacing w:after="0"/>
              <w:rPr>
                <w:sz w:val="1"/>
                <w:szCs w:val="1"/>
                <w:color w:val="auto"/>
              </w:rPr>
            </w:pPr>
          </w:p>
        </w:tc>
      </w:tr>
      <w:tr>
        <w:trPr>
          <w:trHeight w:val="203"/>
        </w:trPr>
        <w:tc>
          <w:tcPr>
            <w:tcW w:w="2000" w:type="dxa"/>
            <w:vAlign w:val="bottom"/>
          </w:tcPr>
          <w:p>
            <w:pPr>
              <w:jc w:val="right"/>
              <w:spacing w:after="0"/>
              <w:rPr>
                <w:sz w:val="20"/>
                <w:szCs w:val="20"/>
                <w:color w:val="auto"/>
              </w:rPr>
            </w:pPr>
            <w:r>
              <w:rPr>
                <w:rFonts w:ascii="Courier New" w:cs="Courier New" w:eastAsia="Courier New" w:hAnsi="Courier New"/>
                <w:sz w:val="12"/>
                <w:szCs w:val="12"/>
                <w:color w:val="auto"/>
                <w:w w:val="72"/>
              </w:rPr>
              <w:t>software..............................</w:t>
            </w:r>
          </w:p>
        </w:tc>
        <w:tc>
          <w:tcPr>
            <w:tcW w:w="1960" w:type="dxa"/>
            <w:vAlign w:val="bottom"/>
            <w:vMerge w:val="restart"/>
          </w:tcPr>
          <w:p>
            <w:pPr>
              <w:jc w:val="right"/>
              <w:ind w:right="392"/>
              <w:spacing w:after="0"/>
              <w:rPr>
                <w:sz w:val="20"/>
                <w:szCs w:val="20"/>
                <w:color w:val="auto"/>
              </w:rPr>
            </w:pPr>
            <w:r>
              <w:rPr>
                <w:rFonts w:ascii="Courier New" w:cs="Courier New" w:eastAsia="Courier New" w:hAnsi="Courier New"/>
                <w:sz w:val="18"/>
                <w:szCs w:val="18"/>
                <w:color w:val="auto"/>
                <w:w w:val="96"/>
              </w:rPr>
              <w:t>$ 91,758 Other</w:t>
            </w:r>
          </w:p>
        </w:tc>
        <w:tc>
          <w:tcPr>
            <w:tcW w:w="0" w:type="dxa"/>
            <w:vAlign w:val="bottom"/>
          </w:tcPr>
          <w:p>
            <w:pPr>
              <w:spacing w:after="0"/>
              <w:rPr>
                <w:sz w:val="1"/>
                <w:szCs w:val="1"/>
                <w:color w:val="auto"/>
              </w:rPr>
            </w:pPr>
          </w:p>
        </w:tc>
      </w:tr>
      <w:tr>
        <w:trPr>
          <w:trHeight w:val="203"/>
        </w:trPr>
        <w:tc>
          <w:tcPr>
            <w:tcW w:w="2000" w:type="dxa"/>
            <w:vAlign w:val="bottom"/>
          </w:tcPr>
          <w:p>
            <w:pPr>
              <w:jc w:val="right"/>
              <w:ind w:right="22"/>
              <w:spacing w:after="0" w:line="203" w:lineRule="exact"/>
              <w:rPr>
                <w:sz w:val="20"/>
                <w:szCs w:val="20"/>
                <w:color w:val="auto"/>
              </w:rPr>
            </w:pPr>
            <w:r>
              <w:rPr>
                <w:rFonts w:ascii="Courier New" w:cs="Courier New" w:eastAsia="Courier New" w:hAnsi="Courier New"/>
                <w:sz w:val="18"/>
                <w:szCs w:val="18"/>
                <w:color w:val="auto"/>
              </w:rPr>
              <w:t>2-10 $ 96,531</w:t>
            </w:r>
          </w:p>
        </w:tc>
        <w:tc>
          <w:tcPr>
            <w:tcW w:w="1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8"/>
              </w:rPr>
              <w:t>intangible</w:t>
            </w:r>
          </w:p>
        </w:tc>
        <w:tc>
          <w:tcPr>
            <w:tcW w:w="0" w:type="dxa"/>
            <w:vAlign w:val="bottom"/>
          </w:tcPr>
          <w:p>
            <w:pPr>
              <w:spacing w:after="0"/>
              <w:rPr>
                <w:sz w:val="1"/>
                <w:szCs w:val="1"/>
                <w:color w:val="auto"/>
              </w:rPr>
            </w:pPr>
          </w:p>
        </w:tc>
      </w:tr>
      <w:tr>
        <w:trPr>
          <w:trHeight w:val="203"/>
        </w:trPr>
        <w:tc>
          <w:tcPr>
            <w:tcW w:w="2000" w:type="dxa"/>
            <w:vAlign w:val="bottom"/>
          </w:tcPr>
          <w:p>
            <w:pPr>
              <w:jc w:val="right"/>
              <w:spacing w:after="0"/>
              <w:rPr>
                <w:sz w:val="20"/>
                <w:szCs w:val="20"/>
                <w:color w:val="auto"/>
              </w:rPr>
            </w:pPr>
            <w:r>
              <w:rPr>
                <w:rFonts w:ascii="Courier New" w:cs="Courier New" w:eastAsia="Courier New" w:hAnsi="Courier New"/>
                <w:sz w:val="14"/>
                <w:szCs w:val="14"/>
                <w:color w:val="auto"/>
                <w:w w:val="73"/>
              </w:rPr>
              <w:t>assets..........................</w:t>
            </w:r>
          </w:p>
        </w:tc>
        <w:tc>
          <w:tcPr>
            <w:tcW w:w="1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w:t>
            </w:r>
          </w:p>
        </w:tc>
        <w:tc>
          <w:tcPr>
            <w:tcW w:w="0" w:type="dxa"/>
            <w:vAlign w:val="bottom"/>
          </w:tcPr>
          <w:p>
            <w:pPr>
              <w:spacing w:after="0"/>
              <w:rPr>
                <w:sz w:val="1"/>
                <w:szCs w:val="1"/>
                <w:color w:val="auto"/>
              </w:rPr>
            </w:pPr>
          </w:p>
        </w:tc>
      </w:tr>
      <w:tr>
        <w:trPr>
          <w:trHeight w:val="203"/>
        </w:trPr>
        <w:tc>
          <w:tcPr>
            <w:tcW w:w="2000" w:type="dxa"/>
            <w:vAlign w:val="bottom"/>
          </w:tcPr>
          <w:p>
            <w:pPr>
              <w:jc w:val="center"/>
              <w:ind w:left="42"/>
              <w:spacing w:after="0" w:line="203" w:lineRule="exact"/>
              <w:rPr>
                <w:sz w:val="20"/>
                <w:szCs w:val="20"/>
                <w:color w:val="auto"/>
              </w:rPr>
            </w:pPr>
            <w:r>
              <w:rPr>
                <w:rFonts w:ascii="Courier New" w:cs="Courier New" w:eastAsia="Courier New" w:hAnsi="Courier New"/>
                <w:sz w:val="18"/>
                <w:szCs w:val="18"/>
                <w:color w:val="auto"/>
                <w:w w:val="98"/>
              </w:rPr>
              <w:t>7.5 70,073 36,658</w:t>
            </w:r>
          </w:p>
        </w:tc>
        <w:tc>
          <w:tcPr>
            <w:tcW w:w="1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w:t>
            </w:r>
          </w:p>
        </w:tc>
        <w:tc>
          <w:tcPr>
            <w:tcW w:w="0" w:type="dxa"/>
            <w:vAlign w:val="bottom"/>
          </w:tcPr>
          <w:p>
            <w:pPr>
              <w:spacing w:after="0"/>
              <w:rPr>
                <w:sz w:val="1"/>
                <w:szCs w:val="1"/>
                <w:color w:val="auto"/>
              </w:rPr>
            </w:pPr>
          </w:p>
        </w:tc>
      </w:tr>
      <w:tr>
        <w:trPr>
          <w:trHeight w:val="203"/>
        </w:trPr>
        <w:tc>
          <w:tcPr>
            <w:tcW w:w="39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166,604 128,416 Less accumulated</w:t>
            </w:r>
          </w:p>
        </w:tc>
        <w:tc>
          <w:tcPr>
            <w:tcW w:w="0" w:type="dxa"/>
            <w:vAlign w:val="bottom"/>
          </w:tcPr>
          <w:p>
            <w:pPr>
              <w:spacing w:after="0"/>
              <w:rPr>
                <w:sz w:val="1"/>
                <w:szCs w:val="1"/>
                <w:color w:val="auto"/>
              </w:rPr>
            </w:pPr>
          </w:p>
        </w:tc>
      </w:tr>
      <w:tr>
        <w:trPr>
          <w:trHeight w:val="203"/>
        </w:trPr>
        <w:tc>
          <w:tcPr>
            <w:tcW w:w="2000" w:type="dxa"/>
            <w:vAlign w:val="bottom"/>
          </w:tcPr>
          <w:p>
            <w:pPr>
              <w:jc w:val="right"/>
              <w:spacing w:after="0"/>
              <w:rPr>
                <w:sz w:val="20"/>
                <w:szCs w:val="20"/>
                <w:color w:val="auto"/>
              </w:rPr>
            </w:pPr>
            <w:r>
              <w:rPr>
                <w:rFonts w:ascii="Courier New" w:cs="Courier New" w:eastAsia="Courier New" w:hAnsi="Courier New"/>
                <w:sz w:val="11"/>
                <w:szCs w:val="11"/>
                <w:color w:val="auto"/>
                <w:w w:val="74"/>
              </w:rPr>
              <w:t>amortization....................</w:t>
            </w:r>
            <w:r>
              <w:rPr>
                <w:rFonts w:ascii="Courier New" w:cs="Courier New" w:eastAsia="Courier New" w:hAnsi="Courier New"/>
                <w:sz w:val="17"/>
                <w:szCs w:val="17"/>
                <w:color w:val="auto"/>
                <w:w w:val="74"/>
                <w:vertAlign w:val="subscript"/>
              </w:rPr>
              <w:t>--------</w:t>
            </w:r>
          </w:p>
        </w:tc>
        <w:tc>
          <w:tcPr>
            <w:tcW w:w="196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000" w:type="dxa"/>
            <w:vAlign w:val="bottom"/>
          </w:tcPr>
          <w:p>
            <w:pPr>
              <w:jc w:val="center"/>
              <w:ind w:left="42"/>
              <w:spacing w:after="0" w:line="203" w:lineRule="exact"/>
              <w:rPr>
                <w:sz w:val="20"/>
                <w:szCs w:val="20"/>
                <w:color w:val="auto"/>
              </w:rPr>
            </w:pPr>
            <w:r>
              <w:rPr>
                <w:rFonts w:ascii="Courier New" w:cs="Courier New" w:eastAsia="Courier New" w:hAnsi="Courier New"/>
                <w:sz w:val="18"/>
                <w:szCs w:val="18"/>
                <w:color w:val="auto"/>
                <w:w w:val="97"/>
              </w:rPr>
              <w:t>107,763 83,748</w:t>
            </w:r>
          </w:p>
        </w:tc>
        <w:tc>
          <w:tcPr>
            <w:tcW w:w="1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58,841 44,668 Goodwill, net(1)</w:t>
            </w:r>
          </w:p>
        </w:tc>
        <w:tc>
          <w:tcPr>
            <w:tcW w:w="0" w:type="dxa"/>
            <w:vAlign w:val="bottom"/>
          </w:tcPr>
          <w:p>
            <w:pPr>
              <w:spacing w:after="0"/>
              <w:rPr>
                <w:sz w:val="1"/>
                <w:szCs w:val="1"/>
                <w:color w:val="auto"/>
              </w:rPr>
            </w:pPr>
          </w:p>
        </w:tc>
      </w:tr>
      <w:tr>
        <w:trPr>
          <w:trHeight w:val="203"/>
        </w:trPr>
        <w:tc>
          <w:tcPr>
            <w:tcW w:w="2000" w:type="dxa"/>
            <w:vAlign w:val="bottom"/>
          </w:tcPr>
          <w:p>
            <w:pPr>
              <w:jc w:val="right"/>
              <w:spacing w:after="0"/>
              <w:rPr>
                <w:sz w:val="20"/>
                <w:szCs w:val="20"/>
                <w:color w:val="auto"/>
              </w:rPr>
            </w:pPr>
            <w:r>
              <w:rPr>
                <w:rFonts w:ascii="Courier New" w:cs="Courier New" w:eastAsia="Courier New" w:hAnsi="Courier New"/>
                <w:sz w:val="11"/>
                <w:szCs w:val="11"/>
                <w:color w:val="auto"/>
                <w:w w:val="72"/>
              </w:rPr>
              <w:t>(2)..............................</w:t>
            </w:r>
            <w:r>
              <w:rPr>
                <w:rFonts w:ascii="Courier New" w:cs="Courier New" w:eastAsia="Courier New" w:hAnsi="Courier New"/>
                <w:sz w:val="17"/>
                <w:szCs w:val="17"/>
                <w:color w:val="auto"/>
                <w:w w:val="72"/>
                <w:vertAlign w:val="subscript"/>
              </w:rPr>
              <w:t>--------</w:t>
            </w:r>
          </w:p>
        </w:tc>
        <w:tc>
          <w:tcPr>
            <w:tcW w:w="1960" w:type="dxa"/>
            <w:vAlign w:val="bottom"/>
            <w:vMerge w:val="restart"/>
          </w:tcPr>
          <w:p>
            <w:pPr>
              <w:ind w:left="900"/>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35"/>
        </w:trPr>
        <w:tc>
          <w:tcPr>
            <w:tcW w:w="2000" w:type="dxa"/>
            <w:vAlign w:val="bottom"/>
          </w:tcPr>
          <w:p>
            <w:pPr>
              <w:jc w:val="center"/>
              <w:ind w:left="22"/>
              <w:spacing w:after="0"/>
              <w:rPr>
                <w:sz w:val="20"/>
                <w:szCs w:val="20"/>
                <w:color w:val="auto"/>
              </w:rPr>
            </w:pPr>
            <w:r>
              <w:rPr>
                <w:rFonts w:ascii="Courier New" w:cs="Courier New" w:eastAsia="Courier New" w:hAnsi="Courier New"/>
                <w:sz w:val="18"/>
                <w:szCs w:val="18"/>
                <w:color w:val="auto"/>
                <w:w w:val="97"/>
              </w:rPr>
              <w:t>797,134 705,862</w:t>
            </w:r>
          </w:p>
        </w:tc>
        <w:tc>
          <w:tcPr>
            <w:tcW w:w="19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ind w:left="160"/>
        <w:spacing w:after="0"/>
        <w:rPr>
          <w:sz w:val="20"/>
          <w:szCs w:val="20"/>
          <w:color w:val="auto"/>
        </w:rPr>
      </w:pPr>
      <w:r>
        <w:rPr>
          <w:rFonts w:ascii="Courier New" w:cs="Courier New" w:eastAsia="Courier New" w:hAnsi="Courier New"/>
          <w:sz w:val="18"/>
          <w:szCs w:val="18"/>
          <w:color w:val="auto"/>
        </w:rPr>
        <w:t>$855,975 $750,530 ======== ========</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31" w:lineRule="exact"/>
        <w:rPr>
          <w:sz w:val="20"/>
          <w:szCs w:val="20"/>
          <w:color w:val="auto"/>
        </w:rPr>
      </w:pPr>
    </w:p>
    <w:p>
      <w:pPr>
        <w:ind w:left="420" w:right="1779" w:hanging="412"/>
        <w:spacing w:after="0" w:line="252" w:lineRule="auto"/>
        <w:tabs>
          <w:tab w:leader="none" w:pos="420"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accordance with SFAS No. 142, goodwill from acquisitions completed after June 30, 2001 is not amortized, but is subject to periodic impairment tests. Under SFAS No. 142, amortization of goodwill ceased, for acquisitions completed prior to July 1, 2001, on October 1, 2002. In accordance with SFAS No. 141's new definition of intangible assets, workforce-in-place was reclassified to goodwill.</w:t>
      </w:r>
    </w:p>
    <w:p>
      <w:pPr>
        <w:spacing w:after="0" w:line="101" w:lineRule="exact"/>
        <w:rPr>
          <w:rFonts w:ascii="Courier New" w:cs="Courier New" w:eastAsia="Courier New" w:hAnsi="Courier New"/>
          <w:sz w:val="18"/>
          <w:szCs w:val="18"/>
          <w:color w:val="auto"/>
        </w:rPr>
      </w:pPr>
    </w:p>
    <w:p>
      <w:pPr>
        <w:jc w:val="both"/>
        <w:ind w:left="420" w:right="1879" w:hanging="412"/>
        <w:spacing w:after="0" w:line="292" w:lineRule="auto"/>
        <w:tabs>
          <w:tab w:leader="none" w:pos="420"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September 2002, the Company recorded a reduction of the goodwill related to an acquisition due to a release of a valuation allowance with respect to a tax asset that existed at the acquisition date. See Note 10.</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9 -- OTHER NONCURRENT ASSETS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Other noncurrent assets consist of the following:</w:t>
      </w:r>
    </w:p>
    <w:p>
      <w:pPr>
        <w:spacing w:after="0" w:line="201"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AS OF SEPTEMBER 30, -------------------- 2003 2002 --------</w:t>
      </w:r>
    </w:p>
    <w:tbl>
      <w:tblPr>
        <w:tblLayout w:type="fixed"/>
        <w:tblInd w:w="0" w:type="dxa"/>
        <w:tblCellMar>
          <w:top w:w="0" w:type="dxa"/>
          <w:left w:w="0" w:type="dxa"/>
          <w:bottom w:w="0" w:type="dxa"/>
          <w:right w:w="0" w:type="dxa"/>
        </w:tblCellMar>
      </w:tblPr>
      <w:tr>
        <w:trPr>
          <w:trHeight w:val="201"/>
        </w:trPr>
        <w:tc>
          <w:tcPr>
            <w:tcW w:w="6280" w:type="dxa"/>
            <w:vAlign w:val="bottom"/>
            <w:gridSpan w:val="3"/>
          </w:tcPr>
          <w:p>
            <w:pPr>
              <w:jc w:val="center"/>
              <w:spacing w:after="0" w:line="201" w:lineRule="exact"/>
              <w:rPr>
                <w:sz w:val="20"/>
                <w:szCs w:val="20"/>
                <w:color w:val="auto"/>
              </w:rPr>
            </w:pPr>
            <w:r>
              <w:rPr>
                <w:rFonts w:ascii="Courier New" w:cs="Courier New" w:eastAsia="Courier New" w:hAnsi="Courier New"/>
                <w:sz w:val="18"/>
                <w:szCs w:val="18"/>
                <w:color w:val="auto"/>
                <w:w w:val="97"/>
              </w:rPr>
              <w:t>--------- Funded employee benefit</w:t>
            </w:r>
          </w:p>
        </w:tc>
        <w:tc>
          <w:tcPr>
            <w:tcW w:w="0" w:type="dxa"/>
            <w:vAlign w:val="bottom"/>
          </w:tcPr>
          <w:p>
            <w:pPr>
              <w:spacing w:after="0"/>
              <w:rPr>
                <w:sz w:val="1"/>
                <w:szCs w:val="1"/>
                <w:color w:val="auto"/>
              </w:rPr>
            </w:pPr>
          </w:p>
        </w:tc>
      </w:tr>
      <w:tr>
        <w:trPr>
          <w:trHeight w:val="203"/>
        </w:trPr>
        <w:tc>
          <w:tcPr>
            <w:tcW w:w="428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w w:val="99"/>
              </w:rPr>
              <w:t>costs(1)............................</w:t>
            </w:r>
          </w:p>
        </w:tc>
        <w:tc>
          <w:tcPr>
            <w:tcW w:w="2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6"/>
              </w:rPr>
              <w:t>$49,020 $ 40,495</w:t>
            </w:r>
          </w:p>
        </w:tc>
        <w:tc>
          <w:tcPr>
            <w:tcW w:w="0" w:type="dxa"/>
            <w:vAlign w:val="bottom"/>
          </w:tcPr>
          <w:p>
            <w:pPr>
              <w:spacing w:after="0"/>
              <w:rPr>
                <w:sz w:val="1"/>
                <w:szCs w:val="1"/>
                <w:color w:val="auto"/>
              </w:rPr>
            </w:pPr>
          </w:p>
        </w:tc>
      </w:tr>
      <w:tr>
        <w:trPr>
          <w:trHeight w:val="203"/>
        </w:trPr>
        <w:tc>
          <w:tcPr>
            <w:tcW w:w="4280" w:type="dxa"/>
            <w:vAlign w:val="bottom"/>
            <w:gridSpan w:val="2"/>
          </w:tcPr>
          <w:p>
            <w:pPr>
              <w:jc w:val="right"/>
              <w:spacing w:after="0" w:line="202" w:lineRule="exact"/>
              <w:rPr>
                <w:sz w:val="20"/>
                <w:szCs w:val="20"/>
                <w:color w:val="auto"/>
              </w:rPr>
            </w:pPr>
            <w:r>
              <w:rPr>
                <w:rFonts w:ascii="Courier New" w:cs="Courier New" w:eastAsia="Courier New" w:hAnsi="Courier New"/>
                <w:sz w:val="13"/>
                <w:szCs w:val="13"/>
                <w:color w:val="auto"/>
              </w:rPr>
              <w:t>...................................</w:t>
            </w:r>
            <w:r>
              <w:rPr>
                <w:rFonts w:ascii="Courier New" w:cs="Courier New" w:eastAsia="Courier New" w:hAnsi="Courier New"/>
                <w:sz w:val="23"/>
                <w:szCs w:val="23"/>
                <w:color w:val="auto"/>
                <w:vertAlign w:val="superscript"/>
              </w:rPr>
              <w:t>Managedservices</w:t>
            </w:r>
          </w:p>
        </w:tc>
        <w:tc>
          <w:tcPr>
            <w:tcW w:w="200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15,916 --</w:t>
            </w:r>
          </w:p>
        </w:tc>
        <w:tc>
          <w:tcPr>
            <w:tcW w:w="0" w:type="dxa"/>
            <w:vAlign w:val="bottom"/>
          </w:tcPr>
          <w:p>
            <w:pPr>
              <w:spacing w:after="0"/>
              <w:rPr>
                <w:sz w:val="1"/>
                <w:szCs w:val="1"/>
                <w:color w:val="auto"/>
              </w:rPr>
            </w:pPr>
          </w:p>
        </w:tc>
      </w:tr>
      <w:tr>
        <w:trPr>
          <w:trHeight w:val="203"/>
        </w:trPr>
        <w:tc>
          <w:tcPr>
            <w:tcW w:w="25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costs(2)</w:t>
            </w:r>
          </w:p>
        </w:tc>
        <w:tc>
          <w:tcPr>
            <w:tcW w:w="1740" w:type="dxa"/>
            <w:vAlign w:val="bottom"/>
          </w:tcPr>
          <w:p>
            <w:pPr>
              <w:spacing w:after="0"/>
              <w:rPr>
                <w:sz w:val="17"/>
                <w:szCs w:val="17"/>
                <w:color w:val="auto"/>
              </w:rPr>
            </w:pPr>
          </w:p>
        </w:tc>
        <w:tc>
          <w:tcPr>
            <w:tcW w:w="2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Noncurrent investments, at cost(3)</w:t>
            </w:r>
          </w:p>
        </w:tc>
        <w:tc>
          <w:tcPr>
            <w:tcW w:w="0" w:type="dxa"/>
            <w:vAlign w:val="bottom"/>
          </w:tcPr>
          <w:p>
            <w:pPr>
              <w:spacing w:after="0"/>
              <w:rPr>
                <w:sz w:val="1"/>
                <w:szCs w:val="1"/>
                <w:color w:val="auto"/>
              </w:rPr>
            </w:pPr>
          </w:p>
        </w:tc>
      </w:tr>
      <w:tr>
        <w:trPr>
          <w:trHeight w:val="203"/>
        </w:trPr>
        <w:tc>
          <w:tcPr>
            <w:tcW w:w="2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9"/>
              </w:rPr>
              <w:t>(4).......................</w:t>
            </w:r>
          </w:p>
        </w:tc>
        <w:tc>
          <w:tcPr>
            <w:tcW w:w="374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9"/>
              </w:rPr>
              <w:t>-- 7,596 Noncurrent investment</w:t>
            </w:r>
          </w:p>
        </w:tc>
        <w:tc>
          <w:tcPr>
            <w:tcW w:w="0" w:type="dxa"/>
            <w:vAlign w:val="bottom"/>
          </w:tcPr>
          <w:p>
            <w:pPr>
              <w:spacing w:after="0"/>
              <w:rPr>
                <w:sz w:val="1"/>
                <w:szCs w:val="1"/>
                <w:color w:val="auto"/>
              </w:rPr>
            </w:pPr>
          </w:p>
        </w:tc>
      </w:tr>
      <w:tr>
        <w:trPr>
          <w:trHeight w:val="203"/>
        </w:trPr>
        <w:tc>
          <w:tcPr>
            <w:tcW w:w="42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in convertible debentures(3)..........</w:t>
            </w:r>
          </w:p>
        </w:tc>
        <w:tc>
          <w:tcPr>
            <w:tcW w:w="20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-- 40,857</w:t>
            </w:r>
          </w:p>
        </w:tc>
        <w:tc>
          <w:tcPr>
            <w:tcW w:w="0" w:type="dxa"/>
            <w:vAlign w:val="bottom"/>
          </w:tcPr>
          <w:p>
            <w:pPr>
              <w:spacing w:after="0"/>
              <w:rPr>
                <w:sz w:val="1"/>
                <w:szCs w:val="1"/>
                <w:color w:val="auto"/>
              </w:rPr>
            </w:pPr>
          </w:p>
        </w:tc>
      </w:tr>
      <w:tr>
        <w:trPr>
          <w:trHeight w:val="203"/>
        </w:trPr>
        <w:tc>
          <w:tcPr>
            <w:tcW w:w="62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Convertible notes issuance cost,</w:t>
            </w:r>
          </w:p>
        </w:tc>
        <w:tc>
          <w:tcPr>
            <w:tcW w:w="0" w:type="dxa"/>
            <w:vAlign w:val="bottom"/>
          </w:tcPr>
          <w:p>
            <w:pPr>
              <w:spacing w:after="0"/>
              <w:rPr>
                <w:sz w:val="1"/>
                <w:szCs w:val="1"/>
                <w:color w:val="auto"/>
              </w:rPr>
            </w:pPr>
          </w:p>
        </w:tc>
      </w:tr>
      <w:tr>
        <w:trPr>
          <w:trHeight w:val="203"/>
        </w:trPr>
        <w:tc>
          <w:tcPr>
            <w:tcW w:w="2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6"/>
              </w:rPr>
              <w:t>net........................</w:t>
            </w:r>
          </w:p>
        </w:tc>
        <w:tc>
          <w:tcPr>
            <w:tcW w:w="374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6"/>
              </w:rPr>
              <w:t>2,096 5,934 Restricted cash and</w:t>
            </w:r>
          </w:p>
        </w:tc>
        <w:tc>
          <w:tcPr>
            <w:tcW w:w="0" w:type="dxa"/>
            <w:vAlign w:val="bottom"/>
          </w:tcPr>
          <w:p>
            <w:pPr>
              <w:spacing w:after="0"/>
              <w:rPr>
                <w:sz w:val="1"/>
                <w:szCs w:val="1"/>
                <w:color w:val="auto"/>
              </w:rPr>
            </w:pPr>
          </w:p>
        </w:tc>
      </w:tr>
      <w:tr>
        <w:trPr>
          <w:trHeight w:val="203"/>
        </w:trPr>
        <w:tc>
          <w:tcPr>
            <w:tcW w:w="42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cash equivalents(5).....................</w:t>
            </w:r>
          </w:p>
        </w:tc>
        <w:tc>
          <w:tcPr>
            <w:tcW w:w="20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234 5,072</w:t>
            </w:r>
          </w:p>
        </w:tc>
        <w:tc>
          <w:tcPr>
            <w:tcW w:w="0" w:type="dxa"/>
            <w:vAlign w:val="bottom"/>
          </w:tcPr>
          <w:p>
            <w:pPr>
              <w:spacing w:after="0"/>
              <w:rPr>
                <w:sz w:val="1"/>
                <w:szCs w:val="1"/>
                <w:color w:val="auto"/>
              </w:rPr>
            </w:pPr>
          </w:p>
        </w:tc>
      </w:tr>
      <w:tr>
        <w:trPr>
          <w:trHeight w:val="203"/>
        </w:trPr>
        <w:tc>
          <w:tcPr>
            <w:tcW w:w="2540" w:type="dxa"/>
            <w:vAlign w:val="bottom"/>
          </w:tcPr>
          <w:p>
            <w:pPr>
              <w:jc w:val="right"/>
              <w:spacing w:after="0"/>
              <w:rPr>
                <w:sz w:val="20"/>
                <w:szCs w:val="20"/>
                <w:color w:val="auto"/>
              </w:rPr>
            </w:pPr>
            <w:r>
              <w:rPr>
                <w:rFonts w:ascii="Courier New" w:cs="Courier New" w:eastAsia="Courier New" w:hAnsi="Courier New"/>
                <w:sz w:val="9"/>
                <w:szCs w:val="9"/>
                <w:color w:val="auto"/>
                <w:w w:val="77"/>
              </w:rPr>
              <w:t>Other.......................................................</w:t>
            </w:r>
          </w:p>
        </w:tc>
        <w:tc>
          <w:tcPr>
            <w:tcW w:w="17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6"/>
              </w:rPr>
              <w:t>-------- $76,196</w:t>
            </w:r>
          </w:p>
        </w:tc>
        <w:tc>
          <w:tcPr>
            <w:tcW w:w="200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w w:val="99"/>
              </w:rPr>
              <w:t>$110,179 =======</w:t>
            </w:r>
          </w:p>
        </w:tc>
        <w:tc>
          <w:tcPr>
            <w:tcW w:w="0" w:type="dxa"/>
            <w:vAlign w:val="bottom"/>
          </w:tcPr>
          <w:p>
            <w:pPr>
              <w:spacing w:after="0"/>
              <w:rPr>
                <w:sz w:val="1"/>
                <w:szCs w:val="1"/>
                <w:color w:val="auto"/>
              </w:rPr>
            </w:pPr>
          </w:p>
        </w:tc>
      </w:tr>
      <w:tr>
        <w:trPr>
          <w:trHeight w:val="203"/>
        </w:trPr>
        <w:tc>
          <w:tcPr>
            <w:tcW w:w="2540" w:type="dxa"/>
            <w:vAlign w:val="bottom"/>
          </w:tcPr>
          <w:p>
            <w:pPr>
              <w:jc w:val="right"/>
              <w:ind w:right="18"/>
              <w:spacing w:after="0" w:line="203" w:lineRule="exact"/>
              <w:rPr>
                <w:sz w:val="20"/>
                <w:szCs w:val="20"/>
                <w:color w:val="auto"/>
              </w:rPr>
            </w:pPr>
            <w:r>
              <w:rPr>
                <w:rFonts w:ascii="Courier New" w:cs="Courier New" w:eastAsia="Courier New" w:hAnsi="Courier New"/>
                <w:sz w:val="18"/>
                <w:szCs w:val="18"/>
                <w:color w:val="auto"/>
              </w:rPr>
              <w:t>8,930 10,225 -------</w:t>
            </w:r>
          </w:p>
        </w:tc>
        <w:tc>
          <w:tcPr>
            <w:tcW w:w="1740" w:type="dxa"/>
            <w:vAlign w:val="bottom"/>
            <w:vMerge w:val="continue"/>
          </w:tcPr>
          <w:p>
            <w:pPr>
              <w:spacing w:after="0"/>
              <w:rPr>
                <w:sz w:val="17"/>
                <w:szCs w:val="17"/>
                <w:color w:val="auto"/>
              </w:rPr>
            </w:pPr>
          </w:p>
        </w:tc>
        <w:tc>
          <w:tcPr>
            <w:tcW w:w="2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540" w:type="dxa"/>
            <w:vAlign w:val="bottom"/>
          </w:tcPr>
          <w:p>
            <w:pPr>
              <w:spacing w:after="0"/>
              <w:rPr>
                <w:sz w:val="24"/>
                <w:szCs w:val="24"/>
                <w:color w:val="auto"/>
              </w:rPr>
            </w:pPr>
          </w:p>
        </w:tc>
        <w:tc>
          <w:tcPr>
            <w:tcW w:w="1740" w:type="dxa"/>
            <w:vAlign w:val="bottom"/>
          </w:tcPr>
          <w:p>
            <w:pPr>
              <w:jc w:val="center"/>
              <w:ind w:right="412"/>
              <w:spacing w:after="0"/>
              <w:rPr>
                <w:sz w:val="20"/>
                <w:szCs w:val="20"/>
                <w:color w:val="auto"/>
              </w:rPr>
            </w:pPr>
            <w:r>
              <w:rPr>
                <w:rFonts w:ascii="Courier New" w:cs="Courier New" w:eastAsia="Courier New" w:hAnsi="Courier New"/>
                <w:sz w:val="18"/>
                <w:szCs w:val="18"/>
                <w:color w:val="auto"/>
                <w:w w:val="97"/>
              </w:rPr>
              <w:t>========</w:t>
            </w: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ind w:left="220" w:hanging="212"/>
        <w:spacing w:after="0"/>
        <w:tabs>
          <w:tab w:leader="none" w:pos="220"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3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 See Note 16.</w:t>
      </w:r>
    </w:p>
    <w:p>
      <w:pPr>
        <w:spacing w:after="0" w:line="169" w:lineRule="exact"/>
        <w:rPr>
          <w:sz w:val="20"/>
          <w:szCs w:val="20"/>
          <w:color w:val="auto"/>
        </w:rPr>
      </w:pPr>
    </w:p>
    <w:p>
      <w:pPr>
        <w:ind w:left="420" w:hanging="412"/>
        <w:spacing w:after="0"/>
        <w:tabs>
          <w:tab w:leader="none" w:pos="420"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Note 2.</w:t>
      </w:r>
    </w:p>
    <w:p>
      <w:pPr>
        <w:spacing w:after="0" w:line="201" w:lineRule="exact"/>
        <w:rPr>
          <w:rFonts w:ascii="Courier New" w:cs="Courier New" w:eastAsia="Courier New" w:hAnsi="Courier New"/>
          <w:sz w:val="18"/>
          <w:szCs w:val="18"/>
          <w:color w:val="auto"/>
        </w:rPr>
      </w:pPr>
    </w:p>
    <w:p>
      <w:pPr>
        <w:ind w:left="420" w:right="1779" w:hanging="412"/>
        <w:spacing w:after="0" w:line="292" w:lineRule="auto"/>
        <w:tabs>
          <w:tab w:leader="none" w:pos="420"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September 30, 2002 consisted of investment in Certen under the cost method. As of September 30, 2003, Certen is a wholly owned subsidiary of the Company and is consolidated as of that date. See Note 3.</w:t>
      </w:r>
    </w:p>
    <w:p>
      <w:pPr>
        <w:spacing w:after="0" w:line="6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F-24</w:t>
      </w:r>
    </w:p>
    <w:p>
      <w:pPr>
        <w:sectPr>
          <w:pgSz w:w="11900" w:h="16838" w:orient="portrait"/>
          <w:cols w:equalWidth="0" w:num="1">
            <w:col w:w="10219"/>
          </w:cols>
          <w:pgMar w:left="240" w:top="488" w:right="1440" w:bottom="388" w:gutter="0" w:footer="0" w:header="0"/>
        </w:sectPr>
      </w:pPr>
    </w:p>
    <w:bookmarkStart w:id="105" w:name="page106"/>
    <w:bookmarkEnd w:id="105"/>
    <w:p>
      <w:pPr>
        <w:jc w:val="center"/>
        <w:ind w:right="175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3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(IN THOUSANDS, EXCEPT PER SHARE DATA)</w:t>
      </w:r>
    </w:p>
    <w:p>
      <w:pPr>
        <w:spacing w:after="0" w:line="169" w:lineRule="exact"/>
        <w:rPr>
          <w:sz w:val="20"/>
          <w:szCs w:val="20"/>
          <w:color w:val="auto"/>
        </w:rPr>
      </w:pPr>
    </w:p>
    <w:p>
      <w:pPr>
        <w:ind w:left="420" w:right="1879" w:hanging="412"/>
        <w:spacing w:after="0" w:line="252" w:lineRule="auto"/>
        <w:tabs>
          <w:tab w:leader="none" w:pos="420"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fiscal 2002, the Company recorded pretax charges of $5,500 to adjust the carrying value of two investments, accounted for by the Company under the cost method. In fiscal 2001, the Company recorded pretax charges of $6,750 to adjust the carrying value of four investments, accounted for by the Company under the cost method. Following these adjustments, as of September 30, 2002, the Company had one remaining investment, the investment in Certen. As of September 30, 2003, following the acquisition of Certen and the adjustments described above, all the Company's remaining cost method investments are presented at nil fair value.</w:t>
      </w:r>
    </w:p>
    <w:p>
      <w:pPr>
        <w:spacing w:after="0" w:line="98" w:lineRule="exact"/>
        <w:rPr>
          <w:rFonts w:ascii="Courier New" w:cs="Courier New" w:eastAsia="Courier New" w:hAnsi="Courier New"/>
          <w:sz w:val="18"/>
          <w:szCs w:val="18"/>
          <w:color w:val="auto"/>
        </w:rPr>
      </w:pPr>
    </w:p>
    <w:p>
      <w:pPr>
        <w:ind w:left="420" w:right="2099" w:hanging="412"/>
        <w:spacing w:after="0" w:line="347" w:lineRule="auto"/>
        <w:tabs>
          <w:tab w:leader="none" w:pos="420"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was required to maintain restricted cash and cash equivalents balances relating to letters of credit and bank guarantees.</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10 -- INCOME TAXES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provision for income taxes consists of the following:</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YEAR ENDED SEPTEMBER 30, ----------------------------</w:t>
      </w:r>
    </w:p>
    <w:tbl>
      <w:tblPr>
        <w:tblLayout w:type="fixed"/>
        <w:tblInd w:w="0" w:type="dxa"/>
        <w:tblCellMar>
          <w:top w:w="0" w:type="dxa"/>
          <w:left w:w="0" w:type="dxa"/>
          <w:bottom w:w="0" w:type="dxa"/>
          <w:right w:w="0" w:type="dxa"/>
        </w:tblCellMar>
      </w:tblPr>
      <w:tr>
        <w:trPr>
          <w:trHeight w:val="201"/>
        </w:trPr>
        <w:tc>
          <w:tcPr>
            <w:tcW w:w="2440" w:type="dxa"/>
            <w:vAlign w:val="bottom"/>
            <w:gridSpan w:val="2"/>
          </w:tcPr>
          <w:p>
            <w:pPr>
              <w:jc w:val="right"/>
              <w:ind w:right="41"/>
              <w:spacing w:after="0" w:line="201" w:lineRule="exact"/>
              <w:rPr>
                <w:sz w:val="20"/>
                <w:szCs w:val="20"/>
                <w:color w:val="auto"/>
              </w:rPr>
            </w:pPr>
            <w:r>
              <w:rPr>
                <w:rFonts w:ascii="Courier New" w:cs="Courier New" w:eastAsia="Courier New" w:hAnsi="Courier New"/>
                <w:sz w:val="18"/>
                <w:szCs w:val="18"/>
                <w:color w:val="auto"/>
              </w:rPr>
              <w:t>2003 2001 2000</w:t>
            </w:r>
          </w:p>
        </w:tc>
        <w:tc>
          <w:tcPr>
            <w:tcW w:w="3200" w:type="dxa"/>
            <w:vAlign w:val="bottom"/>
          </w:tcPr>
          <w:p>
            <w:pPr>
              <w:jc w:val="right"/>
              <w:ind w:right="592"/>
              <w:spacing w:after="0" w:line="201" w:lineRule="exact"/>
              <w:rPr>
                <w:sz w:val="20"/>
                <w:szCs w:val="20"/>
                <w:color w:val="auto"/>
              </w:rPr>
            </w:pPr>
            <w:r>
              <w:rPr>
                <w:rFonts w:ascii="Courier New" w:cs="Courier New" w:eastAsia="Courier New" w:hAnsi="Courier New"/>
                <w:sz w:val="18"/>
                <w:szCs w:val="18"/>
                <w:color w:val="auto"/>
                <w:w w:val="96"/>
              </w:rPr>
              <w:t>------- ------- --------</w:t>
            </w:r>
          </w:p>
        </w:tc>
        <w:tc>
          <w:tcPr>
            <w:tcW w:w="0" w:type="dxa"/>
            <w:vAlign w:val="bottom"/>
          </w:tcPr>
          <w:p>
            <w:pPr>
              <w:spacing w:after="0"/>
              <w:rPr>
                <w:sz w:val="1"/>
                <w:szCs w:val="1"/>
                <w:color w:val="auto"/>
              </w:rPr>
            </w:pPr>
          </w:p>
        </w:tc>
      </w:tr>
      <w:tr>
        <w:trPr>
          <w:trHeight w:val="381"/>
        </w:trPr>
        <w:tc>
          <w:tcPr>
            <w:tcW w:w="1580" w:type="dxa"/>
            <w:vAlign w:val="bottom"/>
          </w:tcPr>
          <w:p>
            <w:pPr>
              <w:spacing w:after="0"/>
              <w:rPr>
                <w:sz w:val="20"/>
                <w:szCs w:val="20"/>
                <w:color w:val="auto"/>
              </w:rPr>
            </w:pPr>
            <w:r>
              <w:rPr>
                <w:rFonts w:ascii="Courier New" w:cs="Courier New" w:eastAsia="Courier New" w:hAnsi="Courier New"/>
                <w:sz w:val="3"/>
                <w:szCs w:val="3"/>
                <w:color w:val="auto"/>
                <w:w w:val="73"/>
              </w:rPr>
              <w:t>Current................................................</w:t>
            </w:r>
            <w:r>
              <w:rPr>
                <w:rFonts w:ascii="Courier New" w:cs="Courier New" w:eastAsia="Courier New" w:hAnsi="Courier New"/>
                <w:sz w:val="6"/>
                <w:szCs w:val="6"/>
                <w:color w:val="auto"/>
                <w:w w:val="73"/>
                <w:vertAlign w:val="subscript"/>
              </w:rPr>
              <w:t>...............................................</w:t>
            </w:r>
          </w:p>
        </w:tc>
        <w:tc>
          <w:tcPr>
            <w:tcW w:w="8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$52,293</w:t>
            </w:r>
          </w:p>
        </w:tc>
        <w:tc>
          <w:tcPr>
            <w:tcW w:w="3200" w:type="dxa"/>
            <w:vAlign w:val="bottom"/>
            <w:vMerge w:val="restart"/>
          </w:tcPr>
          <w:p>
            <w:pPr>
              <w:jc w:val="right"/>
              <w:ind w:right="1392"/>
              <w:spacing w:after="0"/>
              <w:rPr>
                <w:sz w:val="20"/>
                <w:szCs w:val="20"/>
                <w:color w:val="auto"/>
              </w:rPr>
            </w:pPr>
            <w:r>
              <w:rPr>
                <w:rFonts w:ascii="Courier New" w:cs="Courier New" w:eastAsia="Courier New" w:hAnsi="Courier New"/>
                <w:sz w:val="18"/>
                <w:szCs w:val="18"/>
                <w:color w:val="auto"/>
                <w:w w:val="98"/>
              </w:rPr>
              <w:t>$75,185 $110,163</w:t>
            </w:r>
          </w:p>
        </w:tc>
        <w:tc>
          <w:tcPr>
            <w:tcW w:w="0" w:type="dxa"/>
            <w:vAlign w:val="bottom"/>
          </w:tcPr>
          <w:p>
            <w:pPr>
              <w:spacing w:after="0"/>
              <w:rPr>
                <w:sz w:val="1"/>
                <w:szCs w:val="1"/>
                <w:color w:val="auto"/>
              </w:rPr>
            </w:pPr>
          </w:p>
        </w:tc>
      </w:tr>
      <w:tr>
        <w:trPr>
          <w:trHeight w:val="118"/>
        </w:trPr>
        <w:tc>
          <w:tcPr>
            <w:tcW w:w="1580" w:type="dxa"/>
            <w:vAlign w:val="bottom"/>
            <w:vMerge w:val="restart"/>
          </w:tcPr>
          <w:p>
            <w:pPr>
              <w:spacing w:after="0"/>
              <w:rPr>
                <w:sz w:val="20"/>
                <w:szCs w:val="20"/>
                <w:color w:val="auto"/>
              </w:rPr>
            </w:pPr>
            <w:r>
              <w:rPr>
                <w:rFonts w:ascii="Courier New" w:cs="Courier New" w:eastAsia="Courier New" w:hAnsi="Courier New"/>
                <w:sz w:val="18"/>
                <w:szCs w:val="18"/>
                <w:color w:val="auto"/>
              </w:rPr>
              <w:t>Deferred</w:t>
            </w:r>
          </w:p>
        </w:tc>
        <w:tc>
          <w:tcPr>
            <w:tcW w:w="860" w:type="dxa"/>
            <w:vAlign w:val="bottom"/>
            <w:vMerge w:val="continue"/>
          </w:tcPr>
          <w:p>
            <w:pPr>
              <w:spacing w:after="0"/>
              <w:rPr>
                <w:sz w:val="10"/>
                <w:szCs w:val="10"/>
                <w:color w:val="auto"/>
              </w:rPr>
            </w:pPr>
          </w:p>
        </w:tc>
        <w:tc>
          <w:tcPr>
            <w:tcW w:w="3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1580" w:type="dxa"/>
            <w:vAlign w:val="bottom"/>
            <w:vMerge w:val="continue"/>
          </w:tcPr>
          <w:p>
            <w:pPr>
              <w:spacing w:after="0"/>
              <w:rPr>
                <w:sz w:val="9"/>
                <w:szCs w:val="9"/>
                <w:color w:val="auto"/>
              </w:rPr>
            </w:pPr>
          </w:p>
        </w:tc>
        <w:tc>
          <w:tcPr>
            <w:tcW w:w="860" w:type="dxa"/>
            <w:vAlign w:val="bottom"/>
          </w:tcPr>
          <w:p>
            <w:pPr>
              <w:jc w:val="right"/>
              <w:spacing w:after="0" w:line="109" w:lineRule="exact"/>
              <w:rPr>
                <w:sz w:val="20"/>
                <w:szCs w:val="20"/>
                <w:color w:val="auto"/>
              </w:rPr>
            </w:pPr>
            <w:r>
              <w:rPr>
                <w:rFonts w:ascii="Courier New" w:cs="Courier New" w:eastAsia="Courier New" w:hAnsi="Courier New"/>
                <w:sz w:val="12"/>
                <w:szCs w:val="12"/>
                <w:color w:val="auto"/>
              </w:rPr>
              <w:t>-------</w:t>
            </w:r>
          </w:p>
        </w:tc>
        <w:tc>
          <w:tcPr>
            <w:tcW w:w="32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 -------- $56,294</w:t>
            </w:r>
          </w:p>
        </w:tc>
        <w:tc>
          <w:tcPr>
            <w:tcW w:w="0" w:type="dxa"/>
            <w:vAlign w:val="bottom"/>
          </w:tcPr>
          <w:p>
            <w:pPr>
              <w:spacing w:after="0"/>
              <w:rPr>
                <w:sz w:val="1"/>
                <w:szCs w:val="1"/>
                <w:color w:val="auto"/>
              </w:rPr>
            </w:pPr>
          </w:p>
        </w:tc>
      </w:tr>
      <w:tr>
        <w:trPr>
          <w:trHeight w:val="203"/>
        </w:trPr>
        <w:tc>
          <w:tcPr>
            <w:tcW w:w="2440" w:type="dxa"/>
            <w:vAlign w:val="bottom"/>
            <w:gridSpan w:val="2"/>
          </w:tcPr>
          <w:p>
            <w:pPr>
              <w:jc w:val="right"/>
              <w:ind w:right="201"/>
              <w:spacing w:after="0" w:line="203" w:lineRule="exact"/>
              <w:rPr>
                <w:sz w:val="20"/>
                <w:szCs w:val="20"/>
                <w:color w:val="auto"/>
              </w:rPr>
            </w:pPr>
            <w:r>
              <w:rPr>
                <w:rFonts w:ascii="Courier New" w:cs="Courier New" w:eastAsia="Courier New" w:hAnsi="Courier New"/>
                <w:sz w:val="18"/>
                <w:szCs w:val="18"/>
                <w:color w:val="auto"/>
              </w:rPr>
              <w:t>4,001 (1,665) 5,018</w:t>
            </w:r>
          </w:p>
        </w:tc>
        <w:tc>
          <w:tcPr>
            <w:tcW w:w="3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580" w:type="dxa"/>
            <w:vAlign w:val="bottom"/>
          </w:tcPr>
          <w:p>
            <w:pPr>
              <w:jc w:val="right"/>
              <w:ind w:right="27"/>
              <w:spacing w:after="0"/>
              <w:rPr>
                <w:sz w:val="20"/>
                <w:szCs w:val="20"/>
                <w:color w:val="auto"/>
              </w:rPr>
            </w:pPr>
            <w:r>
              <w:rPr>
                <w:rFonts w:ascii="Courier New" w:cs="Courier New" w:eastAsia="Courier New" w:hAnsi="Courier New"/>
                <w:sz w:val="18"/>
                <w:szCs w:val="18"/>
                <w:color w:val="auto"/>
              </w:rPr>
              <w:t>$73,520</w:t>
            </w:r>
          </w:p>
        </w:tc>
        <w:tc>
          <w:tcPr>
            <w:tcW w:w="4060" w:type="dxa"/>
            <w:vAlign w:val="bottom"/>
            <w:gridSpan w:val="2"/>
          </w:tcPr>
          <w:p>
            <w:pPr>
              <w:jc w:val="right"/>
              <w:ind w:right="492"/>
              <w:spacing w:after="0"/>
              <w:rPr>
                <w:sz w:val="20"/>
                <w:szCs w:val="20"/>
                <w:color w:val="auto"/>
              </w:rPr>
            </w:pPr>
            <w:r>
              <w:rPr>
                <w:rFonts w:ascii="Courier New" w:cs="Courier New" w:eastAsia="Courier New" w:hAnsi="Courier New"/>
                <w:sz w:val="18"/>
                <w:szCs w:val="18"/>
                <w:color w:val="auto"/>
                <w:w w:val="97"/>
              </w:rPr>
              <w:t>$115,181 ======= ======= ========</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right="1879" w:firstLine="527"/>
        <w:spacing w:after="0" w:line="274" w:lineRule="auto"/>
        <w:rPr>
          <w:sz w:val="20"/>
          <w:szCs w:val="20"/>
          <w:color w:val="auto"/>
        </w:rPr>
      </w:pPr>
      <w:r>
        <w:rPr>
          <w:rFonts w:ascii="Courier New" w:cs="Courier New" w:eastAsia="Courier New" w:hAnsi="Courier New"/>
          <w:sz w:val="18"/>
          <w:szCs w:val="18"/>
          <w:color w:val="auto"/>
        </w:rPr>
        <w:t>All income taxes are from continuing operations reported by the Company in the applicable taxing jurisdiction. Income taxes also include anticipated withholding taxes due on subsidiaries' earnings when paid as dividends to the Company.</w:t>
      </w:r>
    </w:p>
    <w:p>
      <w:pPr>
        <w:spacing w:after="0" w:line="8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Deferred income taxes are comprised of the following components:</w:t>
      </w:r>
    </w:p>
    <w:p>
      <w:pPr>
        <w:spacing w:after="0" w:line="201"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AS OF SEPTEMBER 30, ------------------- 2003 2002 ---</w:t>
      </w:r>
    </w:p>
    <w:p>
      <w:pPr>
        <w:spacing w:after="0" w:line="2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 -------- Deferred tax assets: Deferred</w:t>
      </w:r>
    </w:p>
    <w:tbl>
      <w:tblPr>
        <w:tblLayout w:type="fixed"/>
        <w:tblInd w:w="0" w:type="dxa"/>
        <w:tblCellMar>
          <w:top w:w="0" w:type="dxa"/>
          <w:left w:w="0" w:type="dxa"/>
          <w:bottom w:w="0" w:type="dxa"/>
          <w:right w:w="0" w:type="dxa"/>
        </w:tblCellMar>
      </w:tblPr>
      <w:tr>
        <w:trPr>
          <w:trHeight w:val="349"/>
        </w:trPr>
        <w:tc>
          <w:tcPr>
            <w:tcW w:w="1120" w:type="dxa"/>
            <w:vAlign w:val="bottom"/>
          </w:tcPr>
          <w:p>
            <w:pPr>
              <w:ind w:left="380"/>
              <w:spacing w:after="0"/>
              <w:rPr>
                <w:sz w:val="20"/>
                <w:szCs w:val="20"/>
                <w:color w:val="auto"/>
              </w:rPr>
            </w:pPr>
            <w:r>
              <w:rPr>
                <w:rFonts w:ascii="Courier New" w:cs="Courier New" w:eastAsia="Courier New" w:hAnsi="Courier New"/>
                <w:sz w:val="8"/>
                <w:szCs w:val="8"/>
                <w:color w:val="auto"/>
                <w:w w:val="72"/>
                <w:vertAlign w:val="superscript"/>
              </w:rPr>
              <w:t>revenue</w:t>
            </w:r>
            <w:r>
              <w:rPr>
                <w:rFonts w:ascii="Courier New" w:cs="Courier New" w:eastAsia="Courier New" w:hAnsi="Courier New"/>
                <w:sz w:val="4"/>
                <w:szCs w:val="4"/>
                <w:color w:val="auto"/>
                <w:w w:val="72"/>
              </w:rPr>
              <w:t>................................</w:t>
            </w:r>
          </w:p>
        </w:tc>
        <w:tc>
          <w:tcPr>
            <w:tcW w:w="780" w:type="dxa"/>
            <w:vAlign w:val="bottom"/>
            <w:vMerge w:val="restart"/>
          </w:tcPr>
          <w:p>
            <w:pPr>
              <w:jc w:val="right"/>
              <w:spacing w:after="0"/>
              <w:rPr>
                <w:sz w:val="20"/>
                <w:szCs w:val="20"/>
                <w:color w:val="auto"/>
              </w:rPr>
            </w:pPr>
            <w:r>
              <w:rPr>
                <w:rFonts w:ascii="Courier New" w:cs="Courier New" w:eastAsia="Courier New" w:hAnsi="Courier New"/>
                <w:sz w:val="4"/>
                <w:szCs w:val="4"/>
                <w:color w:val="auto"/>
                <w:w w:val="70"/>
              </w:rPr>
              <w:t>......................................</w:t>
            </w:r>
            <w:r>
              <w:rPr>
                <w:rFonts w:ascii="Courier New" w:cs="Courier New" w:eastAsia="Courier New" w:hAnsi="Courier New"/>
                <w:sz w:val="7"/>
                <w:szCs w:val="7"/>
                <w:color w:val="auto"/>
                <w:w w:val="70"/>
                <w:vertAlign w:val="subscript"/>
              </w:rPr>
              <w:t>27,056</w:t>
            </w:r>
          </w:p>
        </w:tc>
        <w:tc>
          <w:tcPr>
            <w:tcW w:w="2740" w:type="dxa"/>
            <w:vAlign w:val="bottom"/>
            <w:gridSpan w:val="3"/>
            <w:vMerge w:val="restart"/>
          </w:tcPr>
          <w:p>
            <w:pPr>
              <w:jc w:val="center"/>
              <w:ind w:right="12"/>
              <w:spacing w:after="0"/>
              <w:rPr>
                <w:sz w:val="20"/>
                <w:szCs w:val="20"/>
                <w:color w:val="auto"/>
              </w:rPr>
            </w:pPr>
            <w:r>
              <w:rPr>
                <w:rFonts w:ascii="Courier New" w:cs="Courier New" w:eastAsia="Courier New" w:hAnsi="Courier New"/>
                <w:sz w:val="18"/>
                <w:szCs w:val="18"/>
                <w:color w:val="auto"/>
                <w:w w:val="97"/>
              </w:rPr>
              <w:t>$ 23,303 Accrued employee</w:t>
            </w:r>
          </w:p>
        </w:tc>
        <w:tc>
          <w:tcPr>
            <w:tcW w:w="10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4"/>
        </w:trPr>
        <w:tc>
          <w:tcPr>
            <w:tcW w:w="1120" w:type="dxa"/>
            <w:vAlign w:val="bottom"/>
            <w:vMerge w:val="restart"/>
          </w:tcPr>
          <w:p>
            <w:pPr>
              <w:ind w:left="160"/>
              <w:spacing w:after="0"/>
              <w:rPr>
                <w:sz w:val="20"/>
                <w:szCs w:val="20"/>
                <w:color w:val="auto"/>
              </w:rPr>
            </w:pPr>
            <w:r>
              <w:rPr>
                <w:rFonts w:ascii="Courier New" w:cs="Courier New" w:eastAsia="Courier New" w:hAnsi="Courier New"/>
                <w:sz w:val="18"/>
                <w:szCs w:val="18"/>
                <w:color w:val="auto"/>
              </w:rPr>
              <w:t>costs</w:t>
            </w:r>
          </w:p>
        </w:tc>
        <w:tc>
          <w:tcPr>
            <w:tcW w:w="780" w:type="dxa"/>
            <w:vAlign w:val="bottom"/>
            <w:vMerge w:val="continue"/>
          </w:tcPr>
          <w:p>
            <w:pPr>
              <w:spacing w:after="0"/>
              <w:rPr>
                <w:sz w:val="2"/>
                <w:szCs w:val="2"/>
                <w:color w:val="auto"/>
              </w:rPr>
            </w:pPr>
          </w:p>
        </w:tc>
        <w:tc>
          <w:tcPr>
            <w:tcW w:w="2740" w:type="dxa"/>
            <w:vAlign w:val="bottom"/>
            <w:gridSpan w:val="3"/>
            <w:vMerge w:val="continue"/>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120" w:type="dxa"/>
            <w:vAlign w:val="bottom"/>
            <w:vMerge w:val="continue"/>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26,333 19,367</w:t>
            </w:r>
          </w:p>
        </w:tc>
        <w:tc>
          <w:tcPr>
            <w:tcW w:w="0" w:type="dxa"/>
            <w:vAlign w:val="bottom"/>
          </w:tcPr>
          <w:p>
            <w:pPr>
              <w:spacing w:after="0"/>
              <w:rPr>
                <w:sz w:val="1"/>
                <w:szCs w:val="1"/>
                <w:color w:val="auto"/>
              </w:rPr>
            </w:pPr>
          </w:p>
        </w:tc>
      </w:tr>
      <w:tr>
        <w:trPr>
          <w:trHeight w:val="203"/>
        </w:trPr>
        <w:tc>
          <w:tcPr>
            <w:tcW w:w="5640" w:type="dxa"/>
            <w:vAlign w:val="bottom"/>
            <w:gridSpan w:val="6"/>
          </w:tcPr>
          <w:p>
            <w:pPr>
              <w:ind w:left="380"/>
              <w:spacing w:after="0" w:line="203" w:lineRule="exact"/>
              <w:rPr>
                <w:sz w:val="20"/>
                <w:szCs w:val="20"/>
                <w:color w:val="auto"/>
              </w:rPr>
            </w:pPr>
            <w:r>
              <w:rPr>
                <w:rFonts w:ascii="Courier New" w:cs="Courier New" w:eastAsia="Courier New" w:hAnsi="Courier New"/>
                <w:sz w:val="18"/>
                <w:szCs w:val="18"/>
                <w:color w:val="auto"/>
              </w:rPr>
              <w:t>Equipment, vehicles and leasehold improvements,</w:t>
            </w:r>
          </w:p>
        </w:tc>
        <w:tc>
          <w:tcPr>
            <w:tcW w:w="0" w:type="dxa"/>
            <w:vAlign w:val="bottom"/>
          </w:tcPr>
          <w:p>
            <w:pPr>
              <w:spacing w:after="0"/>
              <w:rPr>
                <w:sz w:val="1"/>
                <w:szCs w:val="1"/>
                <w:color w:val="auto"/>
              </w:rPr>
            </w:pPr>
          </w:p>
        </w:tc>
      </w:tr>
      <w:tr>
        <w:trPr>
          <w:trHeight w:val="203"/>
        </w:trPr>
        <w:tc>
          <w:tcPr>
            <w:tcW w:w="11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net...</w:t>
            </w:r>
          </w:p>
        </w:tc>
        <w:tc>
          <w:tcPr>
            <w:tcW w:w="4520" w:type="dxa"/>
            <w:vAlign w:val="bottom"/>
            <w:gridSpan w:val="5"/>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47,932 3,315 Intangible assets, computer</w:t>
            </w:r>
          </w:p>
        </w:tc>
        <w:tc>
          <w:tcPr>
            <w:tcW w:w="0" w:type="dxa"/>
            <w:vAlign w:val="bottom"/>
          </w:tcPr>
          <w:p>
            <w:pPr>
              <w:spacing w:after="0"/>
              <w:rPr>
                <w:sz w:val="1"/>
                <w:szCs w:val="1"/>
                <w:color w:val="auto"/>
              </w:rPr>
            </w:pPr>
          </w:p>
        </w:tc>
      </w:tr>
      <w:tr>
        <w:trPr>
          <w:trHeight w:val="296"/>
        </w:trPr>
        <w:tc>
          <w:tcPr>
            <w:tcW w:w="1120" w:type="dxa"/>
            <w:vAlign w:val="bottom"/>
            <w:vMerge w:val="restart"/>
          </w:tcPr>
          <w:p>
            <w:pPr>
              <w:ind w:left="160"/>
              <w:spacing w:after="0"/>
              <w:rPr>
                <w:sz w:val="20"/>
                <w:szCs w:val="20"/>
                <w:color w:val="auto"/>
              </w:rPr>
            </w:pPr>
            <w:r>
              <w:rPr>
                <w:rFonts w:ascii="Courier New" w:cs="Courier New" w:eastAsia="Courier New" w:hAnsi="Courier New"/>
                <w:sz w:val="4"/>
                <w:szCs w:val="4"/>
                <w:color w:val="auto"/>
                <w:w w:val="76"/>
              </w:rPr>
              <w:t>property...........................................</w:t>
            </w:r>
          </w:p>
        </w:tc>
        <w:tc>
          <w:tcPr>
            <w:tcW w:w="3520" w:type="dxa"/>
            <w:vAlign w:val="bottom"/>
            <w:gridSpan w:val="4"/>
          </w:tcPr>
          <w:p>
            <w:pPr>
              <w:jc w:val="center"/>
              <w:spacing w:after="0"/>
              <w:rPr>
                <w:sz w:val="20"/>
                <w:szCs w:val="20"/>
                <w:color w:val="auto"/>
              </w:rPr>
            </w:pPr>
            <w:r>
              <w:rPr>
                <w:rFonts w:ascii="Courier New" w:cs="Courier New" w:eastAsia="Courier New" w:hAnsi="Courier New"/>
                <w:sz w:val="18"/>
                <w:szCs w:val="18"/>
                <w:color w:val="auto"/>
                <w:w w:val="97"/>
              </w:rPr>
              <w:t>software and intellectual</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5640" w:type="dxa"/>
            <w:vAlign w:val="bottom"/>
            <w:gridSpan w:val="6"/>
          </w:tcPr>
          <w:p>
            <w:pPr>
              <w:jc w:val="center"/>
              <w:spacing w:after="0" w:line="203" w:lineRule="exact"/>
              <w:rPr>
                <w:sz w:val="20"/>
                <w:szCs w:val="20"/>
                <w:color w:val="auto"/>
              </w:rPr>
            </w:pPr>
            <w:r>
              <w:rPr>
                <w:rFonts w:ascii="Courier New" w:cs="Courier New" w:eastAsia="Courier New" w:hAnsi="Courier New"/>
                <w:sz w:val="18"/>
                <w:szCs w:val="18"/>
                <w:color w:val="auto"/>
                <w:w w:val="97"/>
              </w:rPr>
              <w:t>15,052 14,790 Net operating loss carry</w:t>
            </w:r>
          </w:p>
        </w:tc>
        <w:tc>
          <w:tcPr>
            <w:tcW w:w="0" w:type="dxa"/>
            <w:vAlign w:val="bottom"/>
          </w:tcPr>
          <w:p>
            <w:pPr>
              <w:spacing w:after="0"/>
              <w:rPr>
                <w:sz w:val="1"/>
                <w:szCs w:val="1"/>
                <w:color w:val="auto"/>
              </w:rPr>
            </w:pPr>
          </w:p>
        </w:tc>
      </w:tr>
      <w:tr>
        <w:trPr>
          <w:trHeight w:val="203"/>
        </w:trPr>
        <w:tc>
          <w:tcPr>
            <w:tcW w:w="2160" w:type="dxa"/>
            <w:vAlign w:val="bottom"/>
            <w:gridSpan w:val="3"/>
          </w:tcPr>
          <w:p>
            <w:pPr>
              <w:ind w:left="580"/>
              <w:spacing w:after="0"/>
              <w:rPr>
                <w:sz w:val="20"/>
                <w:szCs w:val="20"/>
                <w:color w:val="auto"/>
              </w:rPr>
            </w:pPr>
            <w:r>
              <w:rPr>
                <w:rFonts w:ascii="Courier New" w:cs="Courier New" w:eastAsia="Courier New" w:hAnsi="Courier New"/>
                <w:sz w:val="12"/>
                <w:szCs w:val="12"/>
                <w:color w:val="auto"/>
                <w:w w:val="74"/>
              </w:rPr>
              <w:t>forwards.....................</w:t>
            </w:r>
          </w:p>
        </w:tc>
        <w:tc>
          <w:tcPr>
            <w:tcW w:w="640" w:type="dxa"/>
            <w:vAlign w:val="bottom"/>
          </w:tcPr>
          <w:p>
            <w:pPr>
              <w:spacing w:after="0"/>
              <w:rPr>
                <w:sz w:val="17"/>
                <w:szCs w:val="17"/>
                <w:color w:val="auto"/>
              </w:rPr>
            </w:pPr>
          </w:p>
        </w:tc>
        <w:tc>
          <w:tcPr>
            <w:tcW w:w="284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13,629 19,342</w:t>
            </w:r>
          </w:p>
        </w:tc>
        <w:tc>
          <w:tcPr>
            <w:tcW w:w="0" w:type="dxa"/>
            <w:vAlign w:val="bottom"/>
          </w:tcPr>
          <w:p>
            <w:pPr>
              <w:spacing w:after="0"/>
              <w:rPr>
                <w:sz w:val="1"/>
                <w:szCs w:val="1"/>
                <w:color w:val="auto"/>
              </w:rPr>
            </w:pPr>
          </w:p>
        </w:tc>
      </w:tr>
      <w:tr>
        <w:trPr>
          <w:trHeight w:val="296"/>
        </w:trPr>
        <w:tc>
          <w:tcPr>
            <w:tcW w:w="1120" w:type="dxa"/>
            <w:vAlign w:val="bottom"/>
          </w:tcPr>
          <w:p>
            <w:pPr>
              <w:jc w:val="right"/>
              <w:spacing w:after="0"/>
              <w:rPr>
                <w:sz w:val="20"/>
                <w:szCs w:val="20"/>
                <w:color w:val="auto"/>
              </w:rPr>
            </w:pPr>
            <w:r>
              <w:rPr>
                <w:rFonts w:ascii="Courier New" w:cs="Courier New" w:eastAsia="Courier New" w:hAnsi="Courier New"/>
                <w:sz w:val="4"/>
                <w:szCs w:val="4"/>
                <w:color w:val="auto"/>
                <w:w w:val="84"/>
              </w:rPr>
              <w:t>Other.................................................</w:t>
            </w:r>
          </w:p>
        </w:tc>
        <w:tc>
          <w:tcPr>
            <w:tcW w:w="4520" w:type="dxa"/>
            <w:vAlign w:val="bottom"/>
            <w:gridSpan w:val="5"/>
            <w:vMerge w:val="restart"/>
          </w:tcPr>
          <w:p>
            <w:pPr>
              <w:jc w:val="center"/>
              <w:ind w:right="232"/>
              <w:spacing w:after="0"/>
              <w:rPr>
                <w:sz w:val="20"/>
                <w:szCs w:val="20"/>
                <w:color w:val="auto"/>
              </w:rPr>
            </w:pPr>
            <w:r>
              <w:rPr>
                <w:rFonts w:ascii="Courier New" w:cs="Courier New" w:eastAsia="Courier New" w:hAnsi="Courier New"/>
                <w:sz w:val="14"/>
                <w:szCs w:val="14"/>
                <w:color w:val="auto"/>
                <w:w w:val="71"/>
              </w:rPr>
              <w:t>..................................</w:t>
            </w:r>
            <w:r>
              <w:rPr>
                <w:rFonts w:ascii="Courier New" w:cs="Courier New" w:eastAsia="Courier New" w:hAnsi="Courier New"/>
                <w:sz w:val="26"/>
                <w:szCs w:val="26"/>
                <w:color w:val="auto"/>
                <w:w w:val="71"/>
                <w:vertAlign w:val="superscript"/>
              </w:rPr>
              <w:t>23,06111,899Valuation</w:t>
            </w:r>
          </w:p>
        </w:tc>
        <w:tc>
          <w:tcPr>
            <w:tcW w:w="0" w:type="dxa"/>
            <w:vAlign w:val="bottom"/>
          </w:tcPr>
          <w:p>
            <w:pPr>
              <w:spacing w:after="0"/>
              <w:rPr>
                <w:sz w:val="1"/>
                <w:szCs w:val="1"/>
                <w:color w:val="auto"/>
              </w:rPr>
            </w:pPr>
          </w:p>
        </w:tc>
      </w:tr>
      <w:tr>
        <w:trPr>
          <w:trHeight w:val="109"/>
        </w:trPr>
        <w:tc>
          <w:tcPr>
            <w:tcW w:w="1120" w:type="dxa"/>
            <w:vAlign w:val="bottom"/>
          </w:tcPr>
          <w:p>
            <w:pPr>
              <w:spacing w:after="0"/>
              <w:rPr>
                <w:sz w:val="9"/>
                <w:szCs w:val="9"/>
                <w:color w:val="auto"/>
              </w:rPr>
            </w:pPr>
          </w:p>
        </w:tc>
        <w:tc>
          <w:tcPr>
            <w:tcW w:w="3520" w:type="dxa"/>
            <w:vAlign w:val="bottom"/>
            <w:gridSpan w:val="4"/>
            <w:vMerge w:val="continue"/>
          </w:tcPr>
          <w:p>
            <w:pPr>
              <w:spacing w:after="0"/>
              <w:rPr>
                <w:sz w:val="9"/>
                <w:szCs w:val="9"/>
                <w:color w:val="auto"/>
              </w:rPr>
            </w:pPr>
          </w:p>
        </w:tc>
        <w:tc>
          <w:tcPr>
            <w:tcW w:w="100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90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allowances</w:t>
            </w: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(10,704) --------</w:t>
            </w:r>
          </w:p>
        </w:tc>
        <w:tc>
          <w:tcPr>
            <w:tcW w:w="3480" w:type="dxa"/>
            <w:vAlign w:val="bottom"/>
            <w:gridSpan w:val="3"/>
          </w:tcPr>
          <w:p>
            <w:pPr>
              <w:jc w:val="right"/>
              <w:ind w:right="332"/>
              <w:spacing w:after="0" w:line="203" w:lineRule="exact"/>
              <w:rPr>
                <w:sz w:val="20"/>
                <w:szCs w:val="20"/>
                <w:color w:val="auto"/>
              </w:rPr>
            </w:pPr>
            <w:r>
              <w:rPr>
                <w:rFonts w:ascii="Courier New" w:cs="Courier New" w:eastAsia="Courier New" w:hAnsi="Courier New"/>
                <w:sz w:val="18"/>
                <w:szCs w:val="18"/>
                <w:color w:val="auto"/>
              </w:rPr>
              <w:t>-------- Total deferred tax</w:t>
            </w:r>
          </w:p>
        </w:tc>
        <w:tc>
          <w:tcPr>
            <w:tcW w:w="0" w:type="dxa"/>
            <w:vAlign w:val="bottom"/>
          </w:tcPr>
          <w:p>
            <w:pPr>
              <w:spacing w:after="0"/>
              <w:rPr>
                <w:sz w:val="1"/>
                <w:szCs w:val="1"/>
                <w:color w:val="auto"/>
              </w:rPr>
            </w:pPr>
          </w:p>
        </w:tc>
      </w:tr>
      <w:tr>
        <w:trPr>
          <w:trHeight w:val="203"/>
        </w:trPr>
        <w:tc>
          <w:tcPr>
            <w:tcW w:w="1900" w:type="dxa"/>
            <w:vAlign w:val="bottom"/>
            <w:gridSpan w:val="2"/>
          </w:tcPr>
          <w:p>
            <w:pPr>
              <w:ind w:left="60"/>
              <w:spacing w:after="0"/>
              <w:rPr>
                <w:sz w:val="20"/>
                <w:szCs w:val="20"/>
                <w:color w:val="auto"/>
              </w:rPr>
            </w:pPr>
            <w:r>
              <w:rPr>
                <w:rFonts w:ascii="Courier New" w:cs="Courier New" w:eastAsia="Courier New" w:hAnsi="Courier New"/>
                <w:sz w:val="16"/>
                <w:szCs w:val="16"/>
                <w:color w:val="auto"/>
                <w:w w:val="70"/>
              </w:rPr>
              <w:t>assets.....................</w:t>
            </w: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153,063 81,312 -------- -</w:t>
            </w:r>
          </w:p>
        </w:tc>
        <w:tc>
          <w:tcPr>
            <w:tcW w:w="0" w:type="dxa"/>
            <w:vAlign w:val="bottom"/>
          </w:tcPr>
          <w:p>
            <w:pPr>
              <w:spacing w:after="0"/>
              <w:rPr>
                <w:sz w:val="1"/>
                <w:szCs w:val="1"/>
                <w:color w:val="auto"/>
              </w:rPr>
            </w:pPr>
          </w:p>
        </w:tc>
      </w:tr>
      <w:tr>
        <w:trPr>
          <w:trHeight w:val="203"/>
        </w:trPr>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4520" w:type="dxa"/>
            <w:vAlign w:val="bottom"/>
            <w:gridSpan w:val="5"/>
          </w:tcPr>
          <w:p>
            <w:pPr>
              <w:jc w:val="right"/>
              <w:ind w:right="332"/>
              <w:spacing w:after="0" w:line="203" w:lineRule="exact"/>
              <w:rPr>
                <w:sz w:val="20"/>
                <w:szCs w:val="20"/>
                <w:color w:val="auto"/>
              </w:rPr>
            </w:pPr>
            <w:r>
              <w:rPr>
                <w:rFonts w:ascii="Courier New" w:cs="Courier New" w:eastAsia="Courier New" w:hAnsi="Courier New"/>
                <w:sz w:val="18"/>
                <w:szCs w:val="18"/>
                <w:color w:val="auto"/>
              </w:rPr>
              <w:t>Deferred tax liabilities: Anticipated</w:t>
            </w:r>
          </w:p>
        </w:tc>
        <w:tc>
          <w:tcPr>
            <w:tcW w:w="0" w:type="dxa"/>
            <w:vAlign w:val="bottom"/>
          </w:tcPr>
          <w:p>
            <w:pPr>
              <w:spacing w:after="0"/>
              <w:rPr>
                <w:sz w:val="1"/>
                <w:szCs w:val="1"/>
                <w:color w:val="auto"/>
              </w:rPr>
            </w:pPr>
          </w:p>
        </w:tc>
      </w:tr>
      <w:tr>
        <w:trPr>
          <w:trHeight w:val="203"/>
        </w:trPr>
        <w:tc>
          <w:tcPr>
            <w:tcW w:w="4640" w:type="dxa"/>
            <w:vAlign w:val="bottom"/>
            <w:gridSpan w:val="5"/>
          </w:tcPr>
          <w:p>
            <w:pPr>
              <w:ind w:left="160"/>
              <w:spacing w:after="0" w:line="203" w:lineRule="exact"/>
              <w:rPr>
                <w:sz w:val="20"/>
                <w:szCs w:val="20"/>
                <w:color w:val="auto"/>
              </w:rPr>
            </w:pPr>
            <w:r>
              <w:rPr>
                <w:rFonts w:ascii="Courier New" w:cs="Courier New" w:eastAsia="Courier New" w:hAnsi="Courier New"/>
                <w:sz w:val="18"/>
                <w:szCs w:val="18"/>
                <w:color w:val="auto"/>
                <w:w w:val="98"/>
              </w:rPr>
              <w:t>withholdings on subsidiaries' earnings....</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(43,046)</w:t>
            </w:r>
          </w:p>
        </w:tc>
        <w:tc>
          <w:tcPr>
            <w:tcW w:w="0" w:type="dxa"/>
            <w:vAlign w:val="bottom"/>
          </w:tcPr>
          <w:p>
            <w:pPr>
              <w:spacing w:after="0"/>
              <w:rPr>
                <w:sz w:val="1"/>
                <w:szCs w:val="1"/>
                <w:color w:val="auto"/>
              </w:rPr>
            </w:pPr>
          </w:p>
        </w:tc>
      </w:tr>
      <w:tr>
        <w:trPr>
          <w:trHeight w:val="203"/>
        </w:trPr>
        <w:tc>
          <w:tcPr>
            <w:tcW w:w="5640" w:type="dxa"/>
            <w:vAlign w:val="bottom"/>
            <w:gridSpan w:val="6"/>
          </w:tcPr>
          <w:p>
            <w:pPr>
              <w:jc w:val="center"/>
              <w:spacing w:after="0" w:line="203" w:lineRule="exact"/>
              <w:rPr>
                <w:sz w:val="20"/>
                <w:szCs w:val="20"/>
                <w:color w:val="auto"/>
              </w:rPr>
            </w:pPr>
            <w:r>
              <w:rPr>
                <w:rFonts w:ascii="Courier New" w:cs="Courier New" w:eastAsia="Courier New" w:hAnsi="Courier New"/>
                <w:sz w:val="18"/>
                <w:szCs w:val="18"/>
                <w:color w:val="auto"/>
                <w:w w:val="97"/>
              </w:rPr>
              <w:t>(42,149) Equipment, vehicles and leasehold</w:t>
            </w:r>
          </w:p>
        </w:tc>
        <w:tc>
          <w:tcPr>
            <w:tcW w:w="0" w:type="dxa"/>
            <w:vAlign w:val="bottom"/>
          </w:tcPr>
          <w:p>
            <w:pPr>
              <w:spacing w:after="0"/>
              <w:rPr>
                <w:sz w:val="1"/>
                <w:szCs w:val="1"/>
                <w:color w:val="auto"/>
              </w:rPr>
            </w:pPr>
          </w:p>
        </w:tc>
      </w:tr>
      <w:tr>
        <w:trPr>
          <w:trHeight w:val="203"/>
        </w:trPr>
        <w:tc>
          <w:tcPr>
            <w:tcW w:w="2160" w:type="dxa"/>
            <w:vAlign w:val="bottom"/>
            <w:gridSpan w:val="3"/>
          </w:tcPr>
          <w:p>
            <w:pPr>
              <w:ind w:left="380"/>
              <w:spacing w:after="0" w:line="203" w:lineRule="exact"/>
              <w:rPr>
                <w:sz w:val="20"/>
                <w:szCs w:val="20"/>
                <w:color w:val="auto"/>
              </w:rPr>
            </w:pPr>
            <w:r>
              <w:rPr>
                <w:rFonts w:ascii="Courier New" w:cs="Courier New" w:eastAsia="Courier New" w:hAnsi="Courier New"/>
                <w:sz w:val="18"/>
                <w:szCs w:val="18"/>
                <w:color w:val="auto"/>
                <w:w w:val="95"/>
              </w:rPr>
              <w:t>improvements, net</w:t>
            </w:r>
          </w:p>
        </w:tc>
        <w:tc>
          <w:tcPr>
            <w:tcW w:w="3480" w:type="dxa"/>
            <w:vAlign w:val="bottom"/>
            <w:gridSpan w:val="3"/>
          </w:tcPr>
          <w:p>
            <w:pPr>
              <w:jc w:val="right"/>
              <w:ind w:right="232"/>
              <w:spacing w:after="0" w:line="203" w:lineRule="exact"/>
              <w:rPr>
                <w:sz w:val="20"/>
                <w:szCs w:val="20"/>
                <w:color w:val="auto"/>
              </w:rPr>
            </w:pPr>
            <w:r>
              <w:rPr>
                <w:rFonts w:ascii="Courier New" w:cs="Courier New" w:eastAsia="Courier New" w:hAnsi="Courier New"/>
                <w:sz w:val="18"/>
                <w:szCs w:val="18"/>
                <w:color w:val="auto"/>
                <w:w w:val="96"/>
              </w:rPr>
              <w:t>... (6,634) (4,254) Intangible</w:t>
            </w:r>
          </w:p>
        </w:tc>
        <w:tc>
          <w:tcPr>
            <w:tcW w:w="0" w:type="dxa"/>
            <w:vAlign w:val="bottom"/>
          </w:tcPr>
          <w:p>
            <w:pPr>
              <w:spacing w:after="0"/>
              <w:rPr>
                <w:sz w:val="1"/>
                <w:szCs w:val="1"/>
                <w:color w:val="auto"/>
              </w:rPr>
            </w:pPr>
          </w:p>
        </w:tc>
      </w:tr>
      <w:tr>
        <w:trPr>
          <w:trHeight w:val="203"/>
        </w:trPr>
        <w:tc>
          <w:tcPr>
            <w:tcW w:w="5640" w:type="dxa"/>
            <w:vAlign w:val="bottom"/>
            <w:gridSpan w:val="6"/>
          </w:tcPr>
          <w:p>
            <w:pPr>
              <w:jc w:val="center"/>
              <w:spacing w:after="0" w:line="203" w:lineRule="exact"/>
              <w:rPr>
                <w:sz w:val="20"/>
                <w:szCs w:val="20"/>
                <w:color w:val="auto"/>
              </w:rPr>
            </w:pPr>
            <w:r>
              <w:rPr>
                <w:rFonts w:ascii="Courier New" w:cs="Courier New" w:eastAsia="Courier New" w:hAnsi="Courier New"/>
                <w:sz w:val="18"/>
                <w:szCs w:val="18"/>
                <w:color w:val="auto"/>
                <w:w w:val="97"/>
              </w:rPr>
              <w:t>assets, computer software and intellectual</w:t>
            </w:r>
          </w:p>
        </w:tc>
        <w:tc>
          <w:tcPr>
            <w:tcW w:w="0" w:type="dxa"/>
            <w:vAlign w:val="bottom"/>
          </w:tcPr>
          <w:p>
            <w:pPr>
              <w:spacing w:after="0"/>
              <w:rPr>
                <w:sz w:val="1"/>
                <w:szCs w:val="1"/>
                <w:color w:val="auto"/>
              </w:rPr>
            </w:pPr>
          </w:p>
        </w:tc>
      </w:tr>
      <w:tr>
        <w:trPr>
          <w:trHeight w:val="381"/>
        </w:trPr>
        <w:tc>
          <w:tcPr>
            <w:tcW w:w="1900" w:type="dxa"/>
            <w:vAlign w:val="bottom"/>
            <w:gridSpan w:val="2"/>
          </w:tcPr>
          <w:p>
            <w:pPr>
              <w:ind w:left="160"/>
              <w:spacing w:after="0"/>
              <w:rPr>
                <w:sz w:val="20"/>
                <w:szCs w:val="20"/>
                <w:color w:val="auto"/>
              </w:rPr>
            </w:pPr>
            <w:r>
              <w:rPr>
                <w:rFonts w:ascii="Courier New" w:cs="Courier New" w:eastAsia="Courier New" w:hAnsi="Courier New"/>
                <w:sz w:val="3"/>
                <w:szCs w:val="3"/>
                <w:color w:val="auto"/>
                <w:w w:val="82"/>
              </w:rPr>
              <w:t>property</w:t>
            </w:r>
            <w:r>
              <w:rPr>
                <w:rFonts w:ascii="Courier New" w:cs="Courier New" w:eastAsia="Courier New" w:hAnsi="Courier New"/>
                <w:sz w:val="6"/>
                <w:szCs w:val="6"/>
                <w:color w:val="auto"/>
                <w:w w:val="82"/>
                <w:vertAlign w:val="subscript"/>
              </w:rPr>
              <w:t>.................................................</w:t>
            </w:r>
            <w:r>
              <w:rPr>
                <w:rFonts w:ascii="Courier New" w:cs="Courier New" w:eastAsia="Courier New" w:hAnsi="Courier New"/>
                <w:sz w:val="3"/>
                <w:szCs w:val="3"/>
                <w:color w:val="auto"/>
                <w:w w:val="82"/>
              </w:rPr>
              <w:t>...........................................</w:t>
            </w:r>
          </w:p>
        </w:tc>
        <w:tc>
          <w:tcPr>
            <w:tcW w:w="900" w:type="dxa"/>
            <w:vAlign w:val="bottom"/>
            <w:gridSpan w:val="2"/>
            <w:vMerge w:val="restart"/>
          </w:tcPr>
          <w:p>
            <w:pPr>
              <w:jc w:val="right"/>
              <w:spacing w:after="0"/>
              <w:rPr>
                <w:sz w:val="20"/>
                <w:szCs w:val="20"/>
                <w:color w:val="auto"/>
              </w:rPr>
            </w:pPr>
            <w:r>
              <w:rPr>
                <w:rFonts w:ascii="Courier New" w:cs="Courier New" w:eastAsia="Courier New" w:hAnsi="Courier New"/>
                <w:sz w:val="18"/>
                <w:szCs w:val="18"/>
                <w:color w:val="auto"/>
              </w:rPr>
              <w:t>(28,563)</w:t>
            </w:r>
          </w:p>
        </w:tc>
        <w:tc>
          <w:tcPr>
            <w:tcW w:w="1840" w:type="dxa"/>
            <w:vAlign w:val="bottom"/>
            <w:vMerge w:val="restart"/>
          </w:tcPr>
          <w:p>
            <w:pPr>
              <w:jc w:val="right"/>
              <w:ind w:right="812"/>
              <w:spacing w:after="0"/>
              <w:rPr>
                <w:sz w:val="20"/>
                <w:szCs w:val="20"/>
                <w:color w:val="auto"/>
              </w:rPr>
            </w:pPr>
            <w:r>
              <w:rPr>
                <w:rFonts w:ascii="Courier New" w:cs="Courier New" w:eastAsia="Courier New" w:hAnsi="Courier New"/>
                <w:sz w:val="18"/>
                <w:szCs w:val="18"/>
                <w:color w:val="auto"/>
              </w:rPr>
              <w:t>(10,007)</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120" w:type="dxa"/>
            <w:vAlign w:val="bottom"/>
            <w:vMerge w:val="restart"/>
          </w:tcPr>
          <w:p>
            <w:pPr>
              <w:spacing w:after="0"/>
              <w:rPr>
                <w:sz w:val="20"/>
                <w:szCs w:val="20"/>
                <w:color w:val="auto"/>
              </w:rPr>
            </w:pPr>
            <w:r>
              <w:rPr>
                <w:rFonts w:ascii="Courier New" w:cs="Courier New" w:eastAsia="Courier New" w:hAnsi="Courier New"/>
                <w:sz w:val="18"/>
                <w:szCs w:val="18"/>
                <w:color w:val="auto"/>
              </w:rPr>
              <w:t>Other</w:t>
            </w:r>
          </w:p>
        </w:tc>
        <w:tc>
          <w:tcPr>
            <w:tcW w:w="78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840" w:type="dxa"/>
            <w:vAlign w:val="bottom"/>
            <w:vMerge w:val="continue"/>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40" w:type="dxa"/>
            <w:vAlign w:val="bottom"/>
            <w:gridSpan w:val="2"/>
            <w:vMerge w:val="restart"/>
          </w:tcPr>
          <w:p>
            <w:pPr>
              <w:jc w:val="right"/>
              <w:spacing w:after="0"/>
              <w:rPr>
                <w:sz w:val="20"/>
                <w:szCs w:val="20"/>
                <w:color w:val="auto"/>
              </w:rPr>
            </w:pPr>
            <w:r>
              <w:rPr>
                <w:rFonts w:ascii="Courier New" w:cs="Courier New" w:eastAsia="Courier New" w:hAnsi="Courier New"/>
                <w:sz w:val="18"/>
                <w:szCs w:val="18"/>
                <w:color w:val="auto"/>
                <w:w w:val="96"/>
              </w:rPr>
              <w:t>-------- Total deferred tax</w:t>
            </w:r>
          </w:p>
        </w:tc>
        <w:tc>
          <w:tcPr>
            <w:tcW w:w="0" w:type="dxa"/>
            <w:vAlign w:val="bottom"/>
          </w:tcPr>
          <w:p>
            <w:pPr>
              <w:spacing w:after="0"/>
              <w:rPr>
                <w:sz w:val="1"/>
                <w:szCs w:val="1"/>
                <w:color w:val="auto"/>
              </w:rPr>
            </w:pPr>
          </w:p>
        </w:tc>
      </w:tr>
      <w:tr>
        <w:trPr>
          <w:trHeight w:val="203"/>
        </w:trPr>
        <w:tc>
          <w:tcPr>
            <w:tcW w:w="21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79"/>
              </w:rPr>
              <w:t>(14,867) (4,268) --------</w:t>
            </w:r>
          </w:p>
        </w:tc>
        <w:tc>
          <w:tcPr>
            <w:tcW w:w="640" w:type="dxa"/>
            <w:vAlign w:val="bottom"/>
          </w:tcPr>
          <w:p>
            <w:pPr>
              <w:spacing w:after="0"/>
              <w:rPr>
                <w:sz w:val="17"/>
                <w:szCs w:val="17"/>
                <w:color w:val="auto"/>
              </w:rPr>
            </w:pPr>
          </w:p>
        </w:tc>
        <w:tc>
          <w:tcPr>
            <w:tcW w:w="28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6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71"/>
              </w:rPr>
              <w:t>liabilities................</w:t>
            </w:r>
          </w:p>
        </w:tc>
        <w:tc>
          <w:tcPr>
            <w:tcW w:w="640" w:type="dxa"/>
            <w:vAlign w:val="bottom"/>
          </w:tcPr>
          <w:p>
            <w:pPr>
              <w:spacing w:after="0"/>
              <w:rPr>
                <w:sz w:val="17"/>
                <w:szCs w:val="17"/>
                <w:color w:val="auto"/>
              </w:rPr>
            </w:pPr>
          </w:p>
        </w:tc>
        <w:tc>
          <w:tcPr>
            <w:tcW w:w="2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(93,110) (60,678) -------</w:t>
            </w:r>
          </w:p>
        </w:tc>
        <w:tc>
          <w:tcPr>
            <w:tcW w:w="0" w:type="dxa"/>
            <w:vAlign w:val="bottom"/>
          </w:tcPr>
          <w:p>
            <w:pPr>
              <w:spacing w:after="0"/>
              <w:rPr>
                <w:sz w:val="1"/>
                <w:szCs w:val="1"/>
                <w:color w:val="auto"/>
              </w:rPr>
            </w:pPr>
          </w:p>
        </w:tc>
      </w:tr>
      <w:tr>
        <w:trPr>
          <w:trHeight w:val="203"/>
        </w:trPr>
        <w:tc>
          <w:tcPr>
            <w:tcW w:w="1120" w:type="dxa"/>
            <w:vAlign w:val="bottom"/>
            <w:vMerge w:val="restart"/>
          </w:tcPr>
          <w:p>
            <w:pPr>
              <w:jc w:val="right"/>
              <w:spacing w:after="0"/>
              <w:rPr>
                <w:sz w:val="20"/>
                <w:szCs w:val="20"/>
                <w:color w:val="auto"/>
              </w:rPr>
            </w:pPr>
            <w:r>
              <w:rPr>
                <w:rFonts w:ascii="Courier New" w:cs="Courier New" w:eastAsia="Courier New" w:hAnsi="Courier New"/>
                <w:sz w:val="5"/>
                <w:szCs w:val="5"/>
                <w:color w:val="auto"/>
                <w:w w:val="93"/>
              </w:rPr>
              <w:t>assets.................................</w:t>
            </w:r>
          </w:p>
        </w:tc>
        <w:tc>
          <w:tcPr>
            <w:tcW w:w="352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8"/>
              </w:rPr>
              <w:t>- -------- Net deferred tax</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vMerge w:val="continue"/>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$ 59,953 $</w:t>
            </w:r>
          </w:p>
        </w:tc>
        <w:tc>
          <w:tcPr>
            <w:tcW w:w="0" w:type="dxa"/>
            <w:vAlign w:val="bottom"/>
          </w:tcPr>
          <w:p>
            <w:pPr>
              <w:spacing w:after="0"/>
              <w:rPr>
                <w:sz w:val="1"/>
                <w:szCs w:val="1"/>
                <w:color w:val="auto"/>
              </w:rPr>
            </w:pPr>
          </w:p>
        </w:tc>
      </w:tr>
      <w:tr>
        <w:trPr>
          <w:trHeight w:val="296"/>
        </w:trPr>
        <w:tc>
          <w:tcPr>
            <w:tcW w:w="1120" w:type="dxa"/>
            <w:vAlign w:val="bottom"/>
          </w:tcPr>
          <w:p>
            <w:pPr>
              <w:spacing w:after="0"/>
              <w:rPr>
                <w:sz w:val="24"/>
                <w:szCs w:val="24"/>
                <w:color w:val="auto"/>
              </w:rPr>
            </w:pPr>
          </w:p>
        </w:tc>
        <w:tc>
          <w:tcPr>
            <w:tcW w:w="3520" w:type="dxa"/>
            <w:vAlign w:val="bottom"/>
            <w:gridSpan w:val="4"/>
          </w:tcPr>
          <w:p>
            <w:pPr>
              <w:jc w:val="center"/>
              <w:spacing w:after="0"/>
              <w:rPr>
                <w:sz w:val="20"/>
                <w:szCs w:val="20"/>
                <w:color w:val="auto"/>
              </w:rPr>
            </w:pPr>
            <w:r>
              <w:rPr>
                <w:rFonts w:ascii="Courier New" w:cs="Courier New" w:eastAsia="Courier New" w:hAnsi="Courier New"/>
                <w:sz w:val="18"/>
                <w:szCs w:val="18"/>
                <w:color w:val="auto"/>
                <w:w w:val="97"/>
              </w:rPr>
              <w:t>20,634 ======== ========</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F-25</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488" w:right="1440" w:bottom="1440" w:gutter="0" w:footer="0" w:header="0"/>
        </w:sectPr>
      </w:pPr>
    </w:p>
    <w:bookmarkStart w:id="106" w:name="page107"/>
    <w:bookmarkEnd w:id="106"/>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3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(IN THOUSANDS, EXCEPT PER SHARE DATA)</w:t>
      </w:r>
    </w:p>
    <w:p>
      <w:pPr>
        <w:spacing w:after="0" w:line="169" w:lineRule="exact"/>
        <w:rPr>
          <w:sz w:val="20"/>
          <w:szCs w:val="20"/>
          <w:color w:val="auto"/>
        </w:rPr>
      </w:pPr>
    </w:p>
    <w:p>
      <w:pPr>
        <w:ind w:right="1999" w:firstLine="527"/>
        <w:spacing w:after="0" w:line="347" w:lineRule="auto"/>
        <w:rPr>
          <w:sz w:val="20"/>
          <w:szCs w:val="20"/>
          <w:color w:val="auto"/>
        </w:rPr>
      </w:pPr>
      <w:r>
        <w:rPr>
          <w:rFonts w:ascii="Courier New" w:cs="Courier New" w:eastAsia="Courier New" w:hAnsi="Courier New"/>
          <w:sz w:val="18"/>
          <w:szCs w:val="18"/>
          <w:color w:val="auto"/>
        </w:rPr>
        <w:t>The effective income tax rate varied from the statutory Guernsey tax rate as follows:</w:t>
      </w:r>
    </w:p>
    <w:p>
      <w:pPr>
        <w:spacing w:after="0" w:line="18"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YEAR ENDED SEPTEMBER 30, ------------------ 2003</w:t>
      </w:r>
    </w:p>
    <w:p>
      <w:pPr>
        <w:spacing w:after="0" w:line="29"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2002 2001 ---- ---- ---- Statutory Guernsey tax</w:t>
      </w:r>
    </w:p>
    <w:tbl>
      <w:tblPr>
        <w:tblLayout w:type="fixed"/>
        <w:tblInd w:w="0" w:type="dxa"/>
        <w:tblCellMar>
          <w:top w:w="0" w:type="dxa"/>
          <w:left w:w="0" w:type="dxa"/>
          <w:bottom w:w="0" w:type="dxa"/>
          <w:right w:w="0" w:type="dxa"/>
        </w:tblCellMar>
      </w:tblPr>
      <w:tr>
        <w:trPr>
          <w:trHeight w:val="171"/>
        </w:trPr>
        <w:tc>
          <w:tcPr>
            <w:tcW w:w="3960" w:type="dxa"/>
            <w:vAlign w:val="bottom"/>
          </w:tcPr>
          <w:p>
            <w:pPr>
              <w:ind w:left="160"/>
              <w:spacing w:after="0" w:line="170" w:lineRule="exact"/>
              <w:rPr>
                <w:sz w:val="20"/>
                <w:szCs w:val="20"/>
                <w:color w:val="auto"/>
              </w:rPr>
            </w:pPr>
            <w:r>
              <w:rPr>
                <w:rFonts w:ascii="Courier New" w:cs="Courier New" w:eastAsia="Courier New" w:hAnsi="Courier New"/>
                <w:sz w:val="18"/>
                <w:szCs w:val="18"/>
                <w:color w:val="auto"/>
                <w:w w:val="99"/>
              </w:rPr>
              <w:t>rate...............................</w:t>
            </w:r>
          </w:p>
        </w:tc>
        <w:tc>
          <w:tcPr>
            <w:tcW w:w="1260" w:type="dxa"/>
            <w:vAlign w:val="bottom"/>
          </w:tcPr>
          <w:p>
            <w:pPr>
              <w:jc w:val="right"/>
              <w:ind w:right="12"/>
              <w:spacing w:after="0" w:line="170" w:lineRule="exact"/>
              <w:rPr>
                <w:sz w:val="20"/>
                <w:szCs w:val="20"/>
                <w:color w:val="auto"/>
              </w:rPr>
            </w:pPr>
            <w:r>
              <w:rPr>
                <w:rFonts w:ascii="Courier New" w:cs="Courier New" w:eastAsia="Courier New" w:hAnsi="Courier New"/>
                <w:sz w:val="18"/>
                <w:szCs w:val="18"/>
                <w:color w:val="auto"/>
                <w:w w:val="95"/>
              </w:rPr>
              <w:t>20% 20% 20%</w:t>
            </w:r>
          </w:p>
        </w:tc>
        <w:tc>
          <w:tcPr>
            <w:tcW w:w="0" w:type="dxa"/>
            <w:vAlign w:val="bottom"/>
          </w:tcPr>
          <w:p>
            <w:pPr>
              <w:spacing w:after="0"/>
              <w:rPr>
                <w:sz w:val="1"/>
                <w:szCs w:val="1"/>
                <w:color w:val="auto"/>
              </w:rPr>
            </w:pPr>
          </w:p>
        </w:tc>
      </w:tr>
      <w:tr>
        <w:trPr>
          <w:trHeight w:val="203"/>
        </w:trPr>
        <w:tc>
          <w:tcPr>
            <w:tcW w:w="3960" w:type="dxa"/>
            <w:vAlign w:val="bottom"/>
          </w:tcPr>
          <w:p>
            <w:pPr>
              <w:jc w:val="right"/>
              <w:spacing w:after="0" w:line="202" w:lineRule="exact"/>
              <w:rPr>
                <w:sz w:val="20"/>
                <w:szCs w:val="20"/>
                <w:color w:val="auto"/>
              </w:rPr>
            </w:pPr>
            <w:r>
              <w:rPr>
                <w:rFonts w:ascii="Courier New" w:cs="Courier New" w:eastAsia="Courier New" w:hAnsi="Courier New"/>
                <w:sz w:val="13"/>
                <w:szCs w:val="13"/>
                <w:color w:val="auto"/>
                <w:w w:val="94"/>
              </w:rPr>
              <w:t>................................</w:t>
            </w:r>
            <w:r>
              <w:rPr>
                <w:rFonts w:ascii="Courier New" w:cs="Courier New" w:eastAsia="Courier New" w:hAnsi="Courier New"/>
                <w:sz w:val="23"/>
                <w:szCs w:val="23"/>
                <w:color w:val="auto"/>
                <w:w w:val="94"/>
                <w:vertAlign w:val="superscript"/>
              </w:rPr>
              <w:t>Guernseytax-exempt</w:t>
            </w:r>
          </w:p>
        </w:tc>
        <w:tc>
          <w:tcPr>
            <w:tcW w:w="126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(20) (20)</w:t>
            </w:r>
          </w:p>
        </w:tc>
        <w:tc>
          <w:tcPr>
            <w:tcW w:w="0" w:type="dxa"/>
            <w:vAlign w:val="bottom"/>
          </w:tcPr>
          <w:p>
            <w:pPr>
              <w:spacing w:after="0"/>
              <w:rPr>
                <w:sz w:val="1"/>
                <w:szCs w:val="1"/>
                <w:color w:val="auto"/>
              </w:rPr>
            </w:pPr>
          </w:p>
        </w:tc>
      </w:tr>
      <w:tr>
        <w:trPr>
          <w:trHeight w:val="203"/>
        </w:trPr>
        <w:tc>
          <w:tcPr>
            <w:tcW w:w="3960" w:type="dxa"/>
            <w:vAlign w:val="bottom"/>
          </w:tcPr>
          <w:p>
            <w:pPr>
              <w:jc w:val="right"/>
              <w:ind w:right="3135"/>
              <w:spacing w:after="0" w:line="203" w:lineRule="exact"/>
              <w:rPr>
                <w:sz w:val="20"/>
                <w:szCs w:val="20"/>
                <w:color w:val="auto"/>
              </w:rPr>
            </w:pPr>
            <w:r>
              <w:rPr>
                <w:rFonts w:ascii="Courier New" w:cs="Courier New" w:eastAsia="Courier New" w:hAnsi="Courier New"/>
                <w:sz w:val="18"/>
                <w:szCs w:val="18"/>
                <w:color w:val="auto"/>
              </w:rPr>
              <w:t>status</w:t>
            </w: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60" w:type="dxa"/>
            <w:vAlign w:val="bottom"/>
          </w:tcPr>
          <w:p>
            <w:pPr>
              <w:jc w:val="center"/>
              <w:ind w:left="1235"/>
              <w:spacing w:after="0" w:line="203" w:lineRule="exact"/>
              <w:rPr>
                <w:sz w:val="20"/>
                <w:szCs w:val="20"/>
                <w:color w:val="auto"/>
              </w:rPr>
            </w:pPr>
            <w:r>
              <w:rPr>
                <w:rFonts w:ascii="Courier New" w:cs="Courier New" w:eastAsia="Courier New" w:hAnsi="Courier New"/>
                <w:sz w:val="18"/>
                <w:szCs w:val="18"/>
                <w:color w:val="auto"/>
                <w:w w:val="98"/>
              </w:rPr>
              <w:t>(20) Foreign</w:t>
            </w: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taxes.............................................</w:t>
            </w:r>
          </w:p>
        </w:tc>
        <w:tc>
          <w:tcPr>
            <w:tcW w:w="0" w:type="dxa"/>
            <w:vAlign w:val="bottom"/>
          </w:tcPr>
          <w:p>
            <w:pPr>
              <w:spacing w:after="0"/>
              <w:rPr>
                <w:sz w:val="1"/>
                <w:szCs w:val="1"/>
                <w:color w:val="auto"/>
              </w:rPr>
            </w:pPr>
          </w:p>
        </w:tc>
      </w:tr>
      <w:tr>
        <w:trPr>
          <w:trHeight w:val="203"/>
        </w:trPr>
        <w:tc>
          <w:tcPr>
            <w:tcW w:w="522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25 28 30 --- --- --- Income tax rate before</w:t>
            </w:r>
          </w:p>
        </w:tc>
        <w:tc>
          <w:tcPr>
            <w:tcW w:w="0" w:type="dxa"/>
            <w:vAlign w:val="bottom"/>
          </w:tcPr>
          <w:p>
            <w:pPr>
              <w:spacing w:after="0"/>
              <w:rPr>
                <w:sz w:val="1"/>
                <w:szCs w:val="1"/>
                <w:color w:val="auto"/>
              </w:rPr>
            </w:pPr>
          </w:p>
        </w:tc>
      </w:tr>
      <w:tr>
        <w:trPr>
          <w:trHeight w:val="203"/>
        </w:trPr>
        <w:tc>
          <w:tcPr>
            <w:tcW w:w="522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effect of acquisition-related costs,</w:t>
            </w:r>
          </w:p>
        </w:tc>
        <w:tc>
          <w:tcPr>
            <w:tcW w:w="0" w:type="dxa"/>
            <w:vAlign w:val="bottom"/>
          </w:tcPr>
          <w:p>
            <w:pPr>
              <w:spacing w:after="0"/>
              <w:rPr>
                <w:sz w:val="1"/>
                <w:szCs w:val="1"/>
                <w:color w:val="auto"/>
              </w:rPr>
            </w:pPr>
          </w:p>
        </w:tc>
      </w:tr>
      <w:tr>
        <w:trPr>
          <w:trHeight w:val="203"/>
        </w:trPr>
        <w:tc>
          <w:tcPr>
            <w:tcW w:w="522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restructuring charges and gains from the</w:t>
            </w:r>
          </w:p>
        </w:tc>
        <w:tc>
          <w:tcPr>
            <w:tcW w:w="0" w:type="dxa"/>
            <w:vAlign w:val="bottom"/>
          </w:tcPr>
          <w:p>
            <w:pPr>
              <w:spacing w:after="0"/>
              <w:rPr>
                <w:sz w:val="1"/>
                <w:szCs w:val="1"/>
                <w:color w:val="auto"/>
              </w:rPr>
            </w:pPr>
          </w:p>
        </w:tc>
      </w:tr>
      <w:tr>
        <w:trPr>
          <w:trHeight w:val="203"/>
        </w:trPr>
        <w:tc>
          <w:tcPr>
            <w:tcW w:w="3960" w:type="dxa"/>
            <w:vAlign w:val="bottom"/>
          </w:tcPr>
          <w:p>
            <w:pPr>
              <w:jc w:val="right"/>
              <w:spacing w:after="0" w:line="202" w:lineRule="exact"/>
              <w:rPr>
                <w:sz w:val="20"/>
                <w:szCs w:val="20"/>
                <w:color w:val="auto"/>
              </w:rPr>
            </w:pPr>
            <w:r>
              <w:rPr>
                <w:rFonts w:ascii="Courier New" w:cs="Courier New" w:eastAsia="Courier New" w:hAnsi="Courier New"/>
                <w:sz w:val="13"/>
                <w:szCs w:val="13"/>
                <w:color w:val="auto"/>
                <w:w w:val="98"/>
              </w:rPr>
              <w:t>....................................</w:t>
            </w:r>
            <w:r>
              <w:rPr>
                <w:rFonts w:ascii="Courier New" w:cs="Courier New" w:eastAsia="Courier New" w:hAnsi="Courier New"/>
                <w:sz w:val="23"/>
                <w:szCs w:val="23"/>
                <w:color w:val="auto"/>
                <w:w w:val="98"/>
                <w:vertAlign w:val="superscript"/>
              </w:rPr>
              <w:t>repurchasesof</w:t>
            </w:r>
          </w:p>
        </w:tc>
        <w:tc>
          <w:tcPr>
            <w:tcW w:w="12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25 28</w:t>
            </w:r>
          </w:p>
        </w:tc>
        <w:tc>
          <w:tcPr>
            <w:tcW w:w="0" w:type="dxa"/>
            <w:vAlign w:val="bottom"/>
          </w:tcPr>
          <w:p>
            <w:pPr>
              <w:spacing w:after="0"/>
              <w:rPr>
                <w:sz w:val="1"/>
                <w:szCs w:val="1"/>
                <w:color w:val="auto"/>
              </w:rPr>
            </w:pPr>
          </w:p>
        </w:tc>
      </w:tr>
      <w:tr>
        <w:trPr>
          <w:trHeight w:val="203"/>
        </w:trPr>
        <w:tc>
          <w:tcPr>
            <w:tcW w:w="3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Notes</w:t>
            </w: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2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30 Effect of acquisition-related costs,</w:t>
            </w:r>
          </w:p>
        </w:tc>
        <w:tc>
          <w:tcPr>
            <w:tcW w:w="0" w:type="dxa"/>
            <w:vAlign w:val="bottom"/>
          </w:tcPr>
          <w:p>
            <w:pPr>
              <w:spacing w:after="0"/>
              <w:rPr>
                <w:sz w:val="1"/>
                <w:szCs w:val="1"/>
                <w:color w:val="auto"/>
              </w:rPr>
            </w:pPr>
          </w:p>
        </w:tc>
      </w:tr>
      <w:tr>
        <w:trPr>
          <w:trHeight w:val="203"/>
        </w:trPr>
        <w:tc>
          <w:tcPr>
            <w:tcW w:w="522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restructuring charges and gains from the</w:t>
            </w:r>
          </w:p>
        </w:tc>
        <w:tc>
          <w:tcPr>
            <w:tcW w:w="0" w:type="dxa"/>
            <w:vAlign w:val="bottom"/>
          </w:tcPr>
          <w:p>
            <w:pPr>
              <w:spacing w:after="0"/>
              <w:rPr>
                <w:sz w:val="1"/>
                <w:szCs w:val="1"/>
                <w:color w:val="auto"/>
              </w:rPr>
            </w:pPr>
          </w:p>
        </w:tc>
      </w:tr>
      <w:tr>
        <w:trPr>
          <w:trHeight w:val="203"/>
        </w:trPr>
        <w:tc>
          <w:tcPr>
            <w:tcW w:w="3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repurchases of Notes.................</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-- 79 33 --</w:t>
            </w:r>
          </w:p>
        </w:tc>
        <w:tc>
          <w:tcPr>
            <w:tcW w:w="0" w:type="dxa"/>
            <w:vAlign w:val="bottom"/>
          </w:tcPr>
          <w:p>
            <w:pPr>
              <w:spacing w:after="0"/>
              <w:rPr>
                <w:sz w:val="1"/>
                <w:szCs w:val="1"/>
                <w:color w:val="auto"/>
              </w:rPr>
            </w:pPr>
          </w:p>
        </w:tc>
      </w:tr>
      <w:tr>
        <w:trPr>
          <w:trHeight w:val="203"/>
        </w:trPr>
        <w:tc>
          <w:tcPr>
            <w:tcW w:w="522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 --- --- Effective income tax</w:t>
            </w:r>
          </w:p>
        </w:tc>
        <w:tc>
          <w:tcPr>
            <w:tcW w:w="0" w:type="dxa"/>
            <w:vAlign w:val="bottom"/>
          </w:tcPr>
          <w:p>
            <w:pPr>
              <w:spacing w:after="0"/>
              <w:rPr>
                <w:sz w:val="1"/>
                <w:szCs w:val="1"/>
                <w:color w:val="auto"/>
              </w:rPr>
            </w:pPr>
          </w:p>
        </w:tc>
      </w:tr>
      <w:tr>
        <w:trPr>
          <w:trHeight w:val="203"/>
        </w:trPr>
        <w:tc>
          <w:tcPr>
            <w:tcW w:w="3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rate.................................</w:t>
            </w:r>
          </w:p>
        </w:tc>
        <w:tc>
          <w:tcPr>
            <w:tcW w:w="12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25% 107%</w:t>
            </w:r>
          </w:p>
        </w:tc>
        <w:tc>
          <w:tcPr>
            <w:tcW w:w="0" w:type="dxa"/>
            <w:vAlign w:val="bottom"/>
          </w:tcPr>
          <w:p>
            <w:pPr>
              <w:spacing w:after="0"/>
              <w:rPr>
                <w:sz w:val="1"/>
                <w:szCs w:val="1"/>
                <w:color w:val="auto"/>
              </w:rPr>
            </w:pPr>
          </w:p>
        </w:tc>
      </w:tr>
      <w:tr>
        <w:trPr>
          <w:trHeight w:val="296"/>
        </w:trPr>
        <w:tc>
          <w:tcPr>
            <w:tcW w:w="3960" w:type="dxa"/>
            <w:vAlign w:val="bottom"/>
          </w:tcPr>
          <w:p>
            <w:pPr>
              <w:jc w:val="center"/>
              <w:ind w:left="1255"/>
              <w:spacing w:after="0"/>
              <w:rPr>
                <w:sz w:val="20"/>
                <w:szCs w:val="20"/>
                <w:color w:val="auto"/>
              </w:rPr>
            </w:pPr>
            <w:r>
              <w:rPr>
                <w:rFonts w:ascii="Courier New" w:cs="Courier New" w:eastAsia="Courier New" w:hAnsi="Courier New"/>
                <w:sz w:val="18"/>
                <w:szCs w:val="18"/>
                <w:color w:val="auto"/>
                <w:w w:val="97"/>
              </w:rPr>
              <w:t>63% === === ===</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ind w:right="1779" w:firstLine="527"/>
        <w:spacing w:after="0" w:line="260" w:lineRule="auto"/>
        <w:rPr>
          <w:sz w:val="20"/>
          <w:szCs w:val="20"/>
          <w:color w:val="auto"/>
        </w:rPr>
      </w:pPr>
      <w:r>
        <w:rPr>
          <w:rFonts w:ascii="Courier New" w:cs="Courier New" w:eastAsia="Courier New" w:hAnsi="Courier New"/>
          <w:sz w:val="18"/>
          <w:szCs w:val="18"/>
          <w:color w:val="auto"/>
        </w:rPr>
        <w:t>As a Guernsey corporation with tax-exempt status, the Company's overall effective tax rate is attributable solely to foreign taxes. Effective October 1, 2002, following the adoption of SFAS No. 142, the Company no longer amortizes goodwill resulting from acquisitions. See Note 3 above. As a result, goodwill amortization that is not tax-deductible no longer affects the Company's effective tax rate.</w:t>
      </w:r>
    </w:p>
    <w:p>
      <w:pPr>
        <w:spacing w:after="0" w:line="93" w:lineRule="exact"/>
        <w:rPr>
          <w:sz w:val="20"/>
          <w:szCs w:val="20"/>
          <w:color w:val="auto"/>
        </w:rPr>
      </w:pPr>
    </w:p>
    <w:p>
      <w:pPr>
        <w:ind w:right="1779" w:firstLine="527"/>
        <w:spacing w:after="0" w:line="260" w:lineRule="auto"/>
        <w:rPr>
          <w:sz w:val="20"/>
          <w:szCs w:val="20"/>
          <w:color w:val="auto"/>
        </w:rPr>
      </w:pPr>
      <w:r>
        <w:rPr>
          <w:rFonts w:ascii="Courier New" w:cs="Courier New" w:eastAsia="Courier New" w:hAnsi="Courier New"/>
          <w:sz w:val="18"/>
          <w:szCs w:val="18"/>
          <w:color w:val="auto"/>
        </w:rPr>
        <w:t>The high effective tax rates in the years ended September 30, 2002 and 2001 were primarily attributable to amortization of goodwill related to the Company's acquisitions, much of which is not tax deductible. In the year ended September 30, 2002 the Company's effective tax rate was also adversely affected by the fixed non-deductible expenditures representing a larger component of the Company's pretax income.</w:t>
      </w:r>
    </w:p>
    <w:p>
      <w:pPr>
        <w:spacing w:after="0" w:line="93" w:lineRule="exact"/>
        <w:rPr>
          <w:sz w:val="20"/>
          <w:szCs w:val="20"/>
          <w:color w:val="auto"/>
        </w:rPr>
      </w:pPr>
    </w:p>
    <w:p>
      <w:pPr>
        <w:ind w:right="1779" w:firstLine="527"/>
        <w:spacing w:after="0" w:line="288" w:lineRule="auto"/>
        <w:rPr>
          <w:sz w:val="20"/>
          <w:szCs w:val="20"/>
          <w:color w:val="auto"/>
        </w:rPr>
      </w:pPr>
      <w:r>
        <w:rPr>
          <w:rFonts w:ascii="Courier New" w:cs="Courier New" w:eastAsia="Courier New" w:hAnsi="Courier New"/>
          <w:sz w:val="16"/>
          <w:szCs w:val="16"/>
          <w:color w:val="auto"/>
        </w:rPr>
        <w:t>As of September 30, 2003 the Company estimated that operating losses related to its Canadian subsidiary would be realized through future taxable earnings. As a result, related valuation allowance of $13,282 was released through the income tax provision. As of September 30, 2002, the Company estimated that operating losses incurred by the subsidiary prior to the Company's acquisition of that company in April 2000 would be realized through future taxable earnings. As a result, the related valuation allowance of $8,957 was released as an offsetting reduction of the goodwill recorded in that transaction. As of September 30, 2003, there was no valuation allowance balance.</w:t>
      </w:r>
    </w:p>
    <w:p>
      <w:pPr>
        <w:spacing w:after="0" w:line="2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11 -- FINANCING ARRANGEMENTS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SHORT-TERM</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Company's financing transactions are described below:</w:t>
      </w:r>
    </w:p>
    <w:p>
      <w:pPr>
        <w:spacing w:after="0" w:line="201" w:lineRule="exact"/>
        <w:rPr>
          <w:sz w:val="20"/>
          <w:szCs w:val="20"/>
          <w:color w:val="auto"/>
        </w:rPr>
      </w:pPr>
    </w:p>
    <w:p>
      <w:pPr>
        <w:ind w:right="1779" w:firstLine="527"/>
        <w:spacing w:after="0" w:line="274" w:lineRule="auto"/>
        <w:rPr>
          <w:sz w:val="20"/>
          <w:szCs w:val="20"/>
          <w:color w:val="auto"/>
        </w:rPr>
      </w:pPr>
      <w:r>
        <w:rPr>
          <w:rFonts w:ascii="Courier New" w:cs="Courier New" w:eastAsia="Courier New" w:hAnsi="Courier New"/>
          <w:sz w:val="18"/>
          <w:szCs w:val="18"/>
          <w:color w:val="auto"/>
        </w:rPr>
        <w:t>As of September 30, 2003, the Company had available a short-term general revolving line of credit totaling $30,000. During fiscal 2003 and as of September 30, 2003, there was no outstanding balance under this credit line. The cost of maintaining this revolving line of credit was insignificant.</w:t>
      </w:r>
    </w:p>
    <w:p>
      <w:pPr>
        <w:spacing w:after="0" w:line="82" w:lineRule="exact"/>
        <w:rPr>
          <w:sz w:val="20"/>
          <w:szCs w:val="20"/>
          <w:color w:val="auto"/>
        </w:rPr>
      </w:pPr>
    </w:p>
    <w:p>
      <w:pPr>
        <w:ind w:right="1779" w:firstLine="527"/>
        <w:spacing w:after="0" w:line="260" w:lineRule="auto"/>
        <w:rPr>
          <w:sz w:val="20"/>
          <w:szCs w:val="20"/>
          <w:color w:val="auto"/>
        </w:rPr>
      </w:pPr>
      <w:r>
        <w:rPr>
          <w:rFonts w:ascii="Courier New" w:cs="Courier New" w:eastAsia="Courier New" w:hAnsi="Courier New"/>
          <w:sz w:val="18"/>
          <w:szCs w:val="18"/>
          <w:color w:val="auto"/>
        </w:rPr>
        <w:t>In addition, as of September 30, 2003, the Company had credit facilities totaling $40,340, limited for the use of letters of credit and bank guarantees from various banks. Outstanding letters of credit and bank guarantees as of September 30, 2003 totaled $22,624. These were mostly supported by a combination of the credit facilities described above and restricted cash balances that the Company maintains with the issuing banks. See Note 9.</w:t>
      </w:r>
    </w:p>
    <w:p>
      <w:pPr>
        <w:spacing w:after="0" w:line="9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F-26</w:t>
      </w:r>
    </w:p>
    <w:p>
      <w:pPr>
        <w:sectPr>
          <w:pgSz w:w="11900" w:h="16838" w:orient="portrait"/>
          <w:cols w:equalWidth="0" w:num="1">
            <w:col w:w="10219"/>
          </w:cols>
          <w:pgMar w:left="240" w:top="488" w:right="1440" w:bottom="1440" w:gutter="0" w:footer="0" w:header="0"/>
        </w:sectPr>
      </w:pPr>
    </w:p>
    <w:bookmarkStart w:id="107" w:name="page108"/>
    <w:bookmarkEnd w:id="107"/>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3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(IN THOUSANDS, EXCEPT PER SHARE DATA)</w:t>
      </w:r>
    </w:p>
    <w:p>
      <w:pPr>
        <w:spacing w:after="0" w:line="16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LONG-TERM</w:t>
      </w:r>
    </w:p>
    <w:p>
      <w:pPr>
        <w:spacing w:after="0" w:line="201" w:lineRule="exact"/>
        <w:rPr>
          <w:sz w:val="20"/>
          <w:szCs w:val="20"/>
          <w:color w:val="auto"/>
        </w:rPr>
      </w:pPr>
    </w:p>
    <w:p>
      <w:pPr>
        <w:ind w:right="1779" w:firstLine="527"/>
        <w:spacing w:after="0" w:line="253" w:lineRule="auto"/>
        <w:rPr>
          <w:sz w:val="20"/>
          <w:szCs w:val="20"/>
          <w:color w:val="auto"/>
        </w:rPr>
      </w:pPr>
      <w:r>
        <w:rPr>
          <w:rFonts w:ascii="Courier New" w:cs="Courier New" w:eastAsia="Courier New" w:hAnsi="Courier New"/>
          <w:sz w:val="18"/>
          <w:szCs w:val="18"/>
          <w:color w:val="auto"/>
        </w:rPr>
        <w:t>Following the Company's acquisition of Certen (see Note 3), the Company assumed a loan bearing an annual interest rate of 7.53% denominated in Canadian dollars. The proceeds from this loan, that was recognized on Certen's books as of the acquisition date, were received after the acquisition date, and are reflected in the consolidated cash flow statement for fiscal 2003 as "borrowings under financing arrangement". The principal and interest is payable in quarterly installments and matures in fiscal 2005. Future repayment of the loan is as follows:</w:t>
      </w:r>
    </w:p>
    <w:p>
      <w:pPr>
        <w:spacing w:after="0" w:line="104"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FOR THE YEARS ENDED SEPTEMBER 30, - -------</w:t>
      </w:r>
    </w:p>
    <w:p>
      <w:pPr>
        <w:spacing w:after="0" w:line="29"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2004........................................</w:t>
      </w:r>
    </w:p>
    <w:p>
      <w:pPr>
        <w:jc w:val="center"/>
        <w:ind w:right="5579"/>
        <w:spacing w:after="0"/>
        <w:rPr>
          <w:sz w:val="20"/>
          <w:szCs w:val="20"/>
          <w:color w:val="auto"/>
        </w:rPr>
      </w:pPr>
      <w:r>
        <w:rPr>
          <w:rFonts w:ascii="Courier New" w:cs="Courier New" w:eastAsia="Courier New" w:hAnsi="Courier New"/>
          <w:sz w:val="18"/>
          <w:szCs w:val="18"/>
          <w:color w:val="auto"/>
        </w:rPr>
        <w:t>$2,179</w:t>
      </w:r>
    </w:p>
    <w:p>
      <w:pPr>
        <w:spacing w:after="0" w:line="238" w:lineRule="auto"/>
        <w:rPr>
          <w:sz w:val="20"/>
          <w:szCs w:val="20"/>
          <w:color w:val="auto"/>
        </w:rPr>
      </w:pPr>
      <w:r>
        <w:rPr>
          <w:rFonts w:ascii="Courier New" w:cs="Courier New" w:eastAsia="Courier New" w:hAnsi="Courier New"/>
          <w:sz w:val="18"/>
          <w:szCs w:val="18"/>
          <w:color w:val="auto"/>
        </w:rPr>
        <w:t>2005........................................</w:t>
      </w:r>
    </w:p>
    <w:p>
      <w:pPr>
        <w:ind w:left="1060"/>
        <w:spacing w:after="0"/>
        <w:rPr>
          <w:sz w:val="20"/>
          <w:szCs w:val="20"/>
          <w:color w:val="auto"/>
        </w:rPr>
      </w:pPr>
      <w:r>
        <w:rPr>
          <w:rFonts w:ascii="Courier New" w:cs="Courier New" w:eastAsia="Courier New" w:hAnsi="Courier New"/>
          <w:sz w:val="18"/>
          <w:szCs w:val="18"/>
          <w:color w:val="auto"/>
        </w:rPr>
        <w:t>571 ------ $2,750 ======</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12 -- CONVERTIBLE NOTES</w:t>
      </w:r>
    </w:p>
    <w:p>
      <w:pPr>
        <w:spacing w:after="0" w:line="201" w:lineRule="exact"/>
        <w:rPr>
          <w:sz w:val="20"/>
          <w:szCs w:val="20"/>
          <w:color w:val="auto"/>
        </w:rPr>
      </w:pPr>
    </w:p>
    <w:p>
      <w:pPr>
        <w:ind w:right="1779" w:firstLine="527"/>
        <w:spacing w:after="0" w:line="276" w:lineRule="auto"/>
        <w:rPr>
          <w:sz w:val="20"/>
          <w:szCs w:val="20"/>
          <w:color w:val="auto"/>
        </w:rPr>
      </w:pPr>
      <w:r>
        <w:rPr>
          <w:rFonts w:ascii="Courier New" w:cs="Courier New" w:eastAsia="Courier New" w:hAnsi="Courier New"/>
          <w:sz w:val="16"/>
          <w:szCs w:val="16"/>
          <w:color w:val="auto"/>
        </w:rPr>
        <w:t>In May 2001 the Company issued $500,000 aggregate principal amount of 2% Convertible Notes due June 1, 2008 (the "Notes"). The Company is obligated to pay interest on the Notes semi-annually on June 1 and December 1 of each year. The Notes are senior unsecured obligations of the Company and rank equal in right of payment with all of existing and future senior unsecured indebtedness of the Company. The Notes are convertible, at the option of the holders at any time before the maturity date, into Ordinary Shares of the Company at a conversion rate of 10.8587 shares per one thousand dollars principal amount, representing a conversion price of approximately $92.09 per share. The Notes are subject to redemption at any time on or after June 1, 2006, in whole or in part, at the option of the Company, at a redemption price of 100% of the principal amount plus accrued and unpaid interest. The Notes are subject to repurchase, at the holders' option, on June 1, 2004 and June 1, 2006, at a repurchase price equal to 100% of the principal amount plus accrued and unpaid interest, if any, on such repurchase date. Due to the high conversion price for the Notes, it is likely that the holders of the Notes will require the Company to redeem their Notes on June 1, 2004. The Company may choose to pay the repurchase price in cash, Ordinary Shares or a combination of cash and Ordinary Shares. As of September 30, 2003, the Notes are presented as current liabilities.</w:t>
      </w:r>
    </w:p>
    <w:p>
      <w:pPr>
        <w:spacing w:after="0" w:line="30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On July 23, 2002, the board of directors authorized the Company to</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repurchase the Notes, in such amounts, at such prices and at such times</w:t>
      </w:r>
    </w:p>
    <w:p>
      <w:pPr>
        <w:spacing w:after="0" w:line="238" w:lineRule="auto"/>
        <w:rPr>
          <w:sz w:val="20"/>
          <w:szCs w:val="20"/>
          <w:color w:val="auto"/>
        </w:rPr>
      </w:pPr>
      <w:r>
        <w:rPr>
          <w:rFonts w:ascii="Courier New" w:cs="Courier New" w:eastAsia="Courier New" w:hAnsi="Courier New"/>
          <w:sz w:val="18"/>
          <w:szCs w:val="18"/>
          <w:color w:val="auto"/>
        </w:rPr>
        <w:t>considered appropriate. Such repurchases may be made on the open market, in</w:t>
      </w:r>
    </w:p>
    <w:p>
      <w:pPr>
        <w:spacing w:after="0"/>
        <w:rPr>
          <w:sz w:val="20"/>
          <w:szCs w:val="20"/>
          <w:color w:val="auto"/>
        </w:rPr>
      </w:pPr>
      <w:r>
        <w:rPr>
          <w:rFonts w:ascii="Courier New" w:cs="Courier New" w:eastAsia="Courier New" w:hAnsi="Courier New"/>
          <w:sz w:val="18"/>
          <w:szCs w:val="18"/>
          <w:color w:val="auto"/>
        </w:rPr>
        <w:t>privately negotiated transactions or otherwise, in accordance with any</w:t>
      </w:r>
    </w:p>
    <w:p>
      <w:pPr>
        <w:spacing w:after="0"/>
        <w:rPr>
          <w:sz w:val="20"/>
          <w:szCs w:val="20"/>
          <w:color w:val="auto"/>
        </w:rPr>
      </w:pPr>
      <w:r>
        <w:rPr>
          <w:rFonts w:ascii="Courier New" w:cs="Courier New" w:eastAsia="Courier New" w:hAnsi="Courier New"/>
          <w:sz w:val="16"/>
          <w:szCs w:val="16"/>
          <w:color w:val="auto"/>
        </w:rPr>
        <w:t>applicable laws and the terms of the Notes. During the fourth quarter of fiscal</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2003, the Company repurchased $44,600 aggregate principal amount of the Notes at</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 average price of $990 per $1,000 principal amount, resulting in a gain of</w:t>
      </w:r>
    </w:p>
    <w:p>
      <w:pPr>
        <w:spacing w:after="0"/>
        <w:rPr>
          <w:sz w:val="20"/>
          <w:szCs w:val="20"/>
          <w:color w:val="auto"/>
        </w:rPr>
      </w:pPr>
      <w:r>
        <w:rPr>
          <w:rFonts w:ascii="Courier New" w:cs="Courier New" w:eastAsia="Courier New" w:hAnsi="Courier New"/>
          <w:sz w:val="16"/>
          <w:szCs w:val="16"/>
          <w:color w:val="auto"/>
        </w:rPr>
        <w:t>$448. During the fourth quarter of fiscal 2002, the Company repurchased $54,946</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aggregate principal amount of the Notes at an average price of $890 per $1,000</w:t>
      </w:r>
    </w:p>
    <w:p>
      <w:pPr>
        <w:spacing w:after="0"/>
        <w:rPr>
          <w:sz w:val="20"/>
          <w:szCs w:val="20"/>
          <w:color w:val="auto"/>
        </w:rPr>
      </w:pPr>
      <w:r>
        <w:rPr>
          <w:rFonts w:ascii="Courier New" w:cs="Courier New" w:eastAsia="Courier New" w:hAnsi="Courier New"/>
          <w:sz w:val="16"/>
          <w:szCs w:val="16"/>
          <w:color w:val="auto"/>
        </w:rPr>
        <w:t>principal amount, resulting in a gain of $6,012. See Note 14. The Company funded</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these repurchases, and intends to fund any future repurchases, with available</w:t>
      </w:r>
    </w:p>
    <w:p>
      <w:pPr>
        <w:spacing w:after="0" w:line="238" w:lineRule="auto"/>
        <w:rPr>
          <w:sz w:val="20"/>
          <w:szCs w:val="20"/>
          <w:color w:val="auto"/>
        </w:rPr>
      </w:pPr>
      <w:r>
        <w:rPr>
          <w:rFonts w:ascii="Courier New" w:cs="Courier New" w:eastAsia="Courier New" w:hAnsi="Courier New"/>
          <w:sz w:val="18"/>
          <w:szCs w:val="18"/>
          <w:color w:val="auto"/>
        </w:rPr>
        <w:t>funds. As of September 30, 2003, $400,454 aggregate principal amount of the</w:t>
      </w:r>
    </w:p>
    <w:p>
      <w:pPr>
        <w:spacing w:after="0"/>
        <w:rPr>
          <w:sz w:val="20"/>
          <w:szCs w:val="20"/>
          <w:color w:val="auto"/>
        </w:rPr>
      </w:pPr>
      <w:r>
        <w:rPr>
          <w:rFonts w:ascii="Courier New" w:cs="Courier New" w:eastAsia="Courier New" w:hAnsi="Courier New"/>
          <w:sz w:val="18"/>
          <w:szCs w:val="18"/>
          <w:color w:val="auto"/>
        </w:rPr>
        <w:t>Notes was outstanding.</w:t>
      </w:r>
    </w:p>
    <w:p>
      <w:pPr>
        <w:spacing w:after="0" w:line="16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F-27</w:t>
      </w:r>
    </w:p>
    <w:p>
      <w:pPr>
        <w:sectPr>
          <w:pgSz w:w="11900" w:h="16838" w:orient="portrait"/>
          <w:cols w:equalWidth="0" w:num="1">
            <w:col w:w="10219"/>
          </w:cols>
          <w:pgMar w:left="240" w:top="488" w:right="1440" w:bottom="1440" w:gutter="0" w:footer="0" w:header="0"/>
        </w:sectPr>
      </w:pPr>
    </w:p>
    <w:bookmarkStart w:id="108" w:name="page109"/>
    <w:bookmarkEnd w:id="108"/>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3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(IN THOUSANDS, EXCEPT PER SHARE DATA)</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13 -- NONCURRENT LIABILITIES AND OTHER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Noncurrent liabilities and other consist of the following:</w:t>
      </w:r>
    </w:p>
    <w:p>
      <w:pPr>
        <w:spacing w:after="0" w:line="201"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AS OF SEPTEMBER 30, ------------------- 2003 2002 -----</w:t>
      </w:r>
    </w:p>
    <w:p>
      <w:pPr>
        <w:spacing w:after="0" w:line="29"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 -------- Accrued employees</w:t>
      </w:r>
    </w:p>
    <w:tbl>
      <w:tblPr>
        <w:tblLayout w:type="fixed"/>
        <w:tblInd w:w="0" w:type="dxa"/>
        <w:tblCellMar>
          <w:top w:w="0" w:type="dxa"/>
          <w:left w:w="0" w:type="dxa"/>
          <w:bottom w:w="0" w:type="dxa"/>
          <w:right w:w="0" w:type="dxa"/>
        </w:tblCellMar>
      </w:tblPr>
      <w:tr>
        <w:trPr>
          <w:trHeight w:val="171"/>
        </w:trPr>
        <w:tc>
          <w:tcPr>
            <w:tcW w:w="1800" w:type="dxa"/>
            <w:vAlign w:val="bottom"/>
          </w:tcPr>
          <w:p>
            <w:pPr>
              <w:jc w:val="right"/>
              <w:spacing w:after="0"/>
              <w:rPr>
                <w:sz w:val="20"/>
                <w:szCs w:val="20"/>
                <w:color w:val="auto"/>
              </w:rPr>
            </w:pPr>
            <w:r>
              <w:rPr>
                <w:rFonts w:ascii="Courier New" w:cs="Courier New" w:eastAsia="Courier New" w:hAnsi="Courier New"/>
                <w:sz w:val="11"/>
                <w:szCs w:val="11"/>
                <w:color w:val="auto"/>
                <w:w w:val="70"/>
              </w:rPr>
              <w:t>costs.................................</w:t>
            </w:r>
          </w:p>
        </w:tc>
        <w:tc>
          <w:tcPr>
            <w:tcW w:w="3780" w:type="dxa"/>
            <w:vAlign w:val="bottom"/>
          </w:tcPr>
          <w:p>
            <w:pPr>
              <w:jc w:val="right"/>
              <w:spacing w:after="0" w:line="170" w:lineRule="exact"/>
              <w:rPr>
                <w:sz w:val="20"/>
                <w:szCs w:val="20"/>
                <w:color w:val="auto"/>
              </w:rPr>
            </w:pPr>
            <w:r>
              <w:rPr>
                <w:rFonts w:ascii="Courier New" w:cs="Courier New" w:eastAsia="Courier New" w:hAnsi="Courier New"/>
                <w:sz w:val="18"/>
                <w:szCs w:val="18"/>
                <w:color w:val="auto"/>
              </w:rPr>
              <w:t>$ 75,654 $</w:t>
            </w:r>
          </w:p>
        </w:tc>
        <w:tc>
          <w:tcPr>
            <w:tcW w:w="0" w:type="dxa"/>
            <w:vAlign w:val="bottom"/>
          </w:tcPr>
          <w:p>
            <w:pPr>
              <w:spacing w:after="0"/>
              <w:rPr>
                <w:sz w:val="1"/>
                <w:szCs w:val="1"/>
                <w:color w:val="auto"/>
              </w:rPr>
            </w:pPr>
          </w:p>
        </w:tc>
      </w:tr>
      <w:tr>
        <w:trPr>
          <w:trHeight w:val="203"/>
        </w:trPr>
        <w:tc>
          <w:tcPr>
            <w:tcW w:w="1800" w:type="dxa"/>
            <w:vAlign w:val="bottom"/>
            <w:vMerge w:val="restart"/>
          </w:tcPr>
          <w:p>
            <w:pPr>
              <w:jc w:val="center"/>
              <w:ind w:left="258"/>
              <w:spacing w:after="0"/>
              <w:rPr>
                <w:sz w:val="20"/>
                <w:szCs w:val="20"/>
                <w:color w:val="auto"/>
              </w:rPr>
            </w:pPr>
            <w:r>
              <w:rPr>
                <w:rFonts w:ascii="Courier New" w:cs="Courier New" w:eastAsia="Courier New" w:hAnsi="Courier New"/>
                <w:sz w:val="8"/>
                <w:szCs w:val="8"/>
                <w:color w:val="auto"/>
                <w:w w:val="77"/>
              </w:rPr>
              <w:t>liability(1)............................</w:t>
            </w:r>
          </w:p>
        </w:tc>
        <w:tc>
          <w:tcPr>
            <w:tcW w:w="3780" w:type="dxa"/>
            <w:vAlign w:val="bottom"/>
          </w:tcPr>
          <w:p>
            <w:pPr>
              <w:jc w:val="center"/>
              <w:ind w:right="1372"/>
              <w:spacing w:after="0" w:line="203" w:lineRule="exact"/>
              <w:rPr>
                <w:sz w:val="20"/>
                <w:szCs w:val="20"/>
                <w:color w:val="auto"/>
              </w:rPr>
            </w:pPr>
            <w:r>
              <w:rPr>
                <w:rFonts w:ascii="Courier New" w:cs="Courier New" w:eastAsia="Courier New" w:hAnsi="Courier New"/>
                <w:sz w:val="18"/>
                <w:szCs w:val="18"/>
                <w:color w:val="auto"/>
                <w:w w:val="97"/>
              </w:rPr>
              <w:t>66,850 Accrued pension</w:t>
            </w:r>
          </w:p>
        </w:tc>
        <w:tc>
          <w:tcPr>
            <w:tcW w:w="0" w:type="dxa"/>
            <w:vAlign w:val="bottom"/>
          </w:tcPr>
          <w:p>
            <w:pPr>
              <w:spacing w:after="0"/>
              <w:rPr>
                <w:sz w:val="1"/>
                <w:szCs w:val="1"/>
                <w:color w:val="auto"/>
              </w:rPr>
            </w:pPr>
          </w:p>
        </w:tc>
      </w:tr>
      <w:tr>
        <w:trPr>
          <w:trHeight w:val="203"/>
        </w:trPr>
        <w:tc>
          <w:tcPr>
            <w:tcW w:w="1800" w:type="dxa"/>
            <w:vAlign w:val="bottom"/>
            <w:vMerge w:val="continue"/>
          </w:tcPr>
          <w:p>
            <w:pPr>
              <w:spacing w:after="0"/>
              <w:rPr>
                <w:sz w:val="17"/>
                <w:szCs w:val="17"/>
                <w:color w:val="auto"/>
              </w:rPr>
            </w:pPr>
          </w:p>
        </w:tc>
        <w:tc>
          <w:tcPr>
            <w:tcW w:w="3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16,372 --</w:t>
            </w:r>
          </w:p>
        </w:tc>
        <w:tc>
          <w:tcPr>
            <w:tcW w:w="0" w:type="dxa"/>
            <w:vAlign w:val="bottom"/>
          </w:tcPr>
          <w:p>
            <w:pPr>
              <w:spacing w:after="0"/>
              <w:rPr>
                <w:sz w:val="1"/>
                <w:szCs w:val="1"/>
                <w:color w:val="auto"/>
              </w:rPr>
            </w:pPr>
          </w:p>
        </w:tc>
      </w:tr>
      <w:tr>
        <w:trPr>
          <w:trHeight w:val="203"/>
        </w:trPr>
        <w:tc>
          <w:tcPr>
            <w:tcW w:w="1800" w:type="dxa"/>
            <w:vAlign w:val="bottom"/>
            <w:vMerge w:val="restart"/>
          </w:tcPr>
          <w:p>
            <w:pPr>
              <w:jc w:val="right"/>
              <w:spacing w:after="0"/>
              <w:rPr>
                <w:sz w:val="20"/>
                <w:szCs w:val="20"/>
                <w:color w:val="auto"/>
              </w:rPr>
            </w:pPr>
            <w:r>
              <w:rPr>
                <w:rFonts w:ascii="Courier New" w:cs="Courier New" w:eastAsia="Courier New" w:hAnsi="Courier New"/>
                <w:sz w:val="11"/>
                <w:szCs w:val="11"/>
                <w:color w:val="auto"/>
                <w:w w:val="74"/>
              </w:rPr>
              <w:t>advances............................</w:t>
            </w:r>
          </w:p>
        </w:tc>
        <w:tc>
          <w:tcPr>
            <w:tcW w:w="3780" w:type="dxa"/>
            <w:vAlign w:val="bottom"/>
          </w:tcPr>
          <w:p>
            <w:pPr>
              <w:jc w:val="center"/>
              <w:ind w:right="1372"/>
              <w:spacing w:after="0" w:line="203" w:lineRule="exact"/>
              <w:rPr>
                <w:sz w:val="20"/>
                <w:szCs w:val="20"/>
                <w:color w:val="auto"/>
              </w:rPr>
            </w:pPr>
            <w:r>
              <w:rPr>
                <w:rFonts w:ascii="Courier New" w:cs="Courier New" w:eastAsia="Courier New" w:hAnsi="Courier New"/>
                <w:sz w:val="18"/>
                <w:szCs w:val="18"/>
                <w:color w:val="auto"/>
                <w:w w:val="97"/>
              </w:rPr>
              <w:t>Noncurrent customer</w:t>
            </w:r>
          </w:p>
        </w:tc>
        <w:tc>
          <w:tcPr>
            <w:tcW w:w="0" w:type="dxa"/>
            <w:vAlign w:val="bottom"/>
          </w:tcPr>
          <w:p>
            <w:pPr>
              <w:spacing w:after="0"/>
              <w:rPr>
                <w:sz w:val="1"/>
                <w:szCs w:val="1"/>
                <w:color w:val="auto"/>
              </w:rPr>
            </w:pPr>
          </w:p>
        </w:tc>
      </w:tr>
      <w:tr>
        <w:trPr>
          <w:trHeight w:val="203"/>
        </w:trPr>
        <w:tc>
          <w:tcPr>
            <w:tcW w:w="1800" w:type="dxa"/>
            <w:vAlign w:val="bottom"/>
            <w:vMerge w:val="continue"/>
          </w:tcPr>
          <w:p>
            <w:pPr>
              <w:spacing w:after="0"/>
              <w:rPr>
                <w:sz w:val="17"/>
                <w:szCs w:val="17"/>
                <w:color w:val="auto"/>
              </w:rPr>
            </w:pPr>
          </w:p>
        </w:tc>
        <w:tc>
          <w:tcPr>
            <w:tcW w:w="3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34,725 24,146</w:t>
            </w:r>
          </w:p>
        </w:tc>
        <w:tc>
          <w:tcPr>
            <w:tcW w:w="0" w:type="dxa"/>
            <w:vAlign w:val="bottom"/>
          </w:tcPr>
          <w:p>
            <w:pPr>
              <w:spacing w:after="0"/>
              <w:rPr>
                <w:sz w:val="1"/>
                <w:szCs w:val="1"/>
                <w:color w:val="auto"/>
              </w:rPr>
            </w:pPr>
          </w:p>
        </w:tc>
      </w:tr>
      <w:tr>
        <w:trPr>
          <w:trHeight w:val="203"/>
        </w:trPr>
        <w:tc>
          <w:tcPr>
            <w:tcW w:w="5580" w:type="dxa"/>
            <w:vAlign w:val="bottom"/>
            <w:gridSpan w:val="2"/>
          </w:tcPr>
          <w:p>
            <w:pPr>
              <w:jc w:val="center"/>
              <w:ind w:left="258"/>
              <w:spacing w:after="0" w:line="203" w:lineRule="exact"/>
              <w:rPr>
                <w:sz w:val="20"/>
                <w:szCs w:val="20"/>
                <w:color w:val="auto"/>
              </w:rPr>
            </w:pPr>
            <w:r>
              <w:rPr>
                <w:rFonts w:ascii="Courier New" w:cs="Courier New" w:eastAsia="Courier New" w:hAnsi="Courier New"/>
                <w:sz w:val="18"/>
                <w:szCs w:val="18"/>
                <w:color w:val="auto"/>
                <w:w w:val="97"/>
              </w:rPr>
              <w:t>Long-term portion of capital lease</w:t>
            </w:r>
          </w:p>
        </w:tc>
        <w:tc>
          <w:tcPr>
            <w:tcW w:w="0" w:type="dxa"/>
            <w:vAlign w:val="bottom"/>
          </w:tcPr>
          <w:p>
            <w:pPr>
              <w:spacing w:after="0"/>
              <w:rPr>
                <w:sz w:val="1"/>
                <w:szCs w:val="1"/>
                <w:color w:val="auto"/>
              </w:rPr>
            </w:pPr>
          </w:p>
        </w:tc>
      </w:tr>
      <w:tr>
        <w:trPr>
          <w:trHeight w:val="203"/>
        </w:trPr>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8"/>
              </w:rPr>
              <w:t>obligations..........</w:t>
            </w:r>
          </w:p>
        </w:tc>
        <w:tc>
          <w:tcPr>
            <w:tcW w:w="3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23,825 15,138 Accrued lease</w:t>
            </w:r>
          </w:p>
        </w:tc>
        <w:tc>
          <w:tcPr>
            <w:tcW w:w="0" w:type="dxa"/>
            <w:vAlign w:val="bottom"/>
          </w:tcPr>
          <w:p>
            <w:pPr>
              <w:spacing w:after="0"/>
              <w:rPr>
                <w:sz w:val="1"/>
                <w:szCs w:val="1"/>
                <w:color w:val="auto"/>
              </w:rPr>
            </w:pPr>
          </w:p>
        </w:tc>
      </w:tr>
      <w:tr>
        <w:trPr>
          <w:trHeight w:val="203"/>
        </w:trPr>
        <w:tc>
          <w:tcPr>
            <w:tcW w:w="1800" w:type="dxa"/>
            <w:vAlign w:val="bottom"/>
          </w:tcPr>
          <w:p>
            <w:pPr>
              <w:jc w:val="right"/>
              <w:spacing w:after="0"/>
              <w:rPr>
                <w:sz w:val="20"/>
                <w:szCs w:val="20"/>
                <w:color w:val="auto"/>
              </w:rPr>
            </w:pPr>
            <w:r>
              <w:rPr>
                <w:rFonts w:ascii="Courier New" w:cs="Courier New" w:eastAsia="Courier New" w:hAnsi="Courier New"/>
                <w:sz w:val="10"/>
                <w:szCs w:val="10"/>
                <w:color w:val="auto"/>
                <w:w w:val="70"/>
              </w:rPr>
              <w:t>obligations...............................</w:t>
            </w:r>
          </w:p>
        </w:tc>
        <w:tc>
          <w:tcPr>
            <w:tcW w:w="3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10,235</w:t>
            </w:r>
          </w:p>
        </w:tc>
        <w:tc>
          <w:tcPr>
            <w:tcW w:w="0" w:type="dxa"/>
            <w:vAlign w:val="bottom"/>
          </w:tcPr>
          <w:p>
            <w:pPr>
              <w:spacing w:after="0"/>
              <w:rPr>
                <w:sz w:val="1"/>
                <w:szCs w:val="1"/>
                <w:color w:val="auto"/>
              </w:rPr>
            </w:pPr>
          </w:p>
        </w:tc>
      </w:tr>
      <w:tr>
        <w:trPr>
          <w:trHeight w:val="296"/>
        </w:trPr>
        <w:tc>
          <w:tcPr>
            <w:tcW w:w="1800" w:type="dxa"/>
            <w:vAlign w:val="bottom"/>
            <w:vMerge w:val="restart"/>
          </w:tcPr>
          <w:p>
            <w:pPr>
              <w:jc w:val="right"/>
              <w:spacing w:after="0"/>
              <w:rPr>
                <w:sz w:val="20"/>
                <w:szCs w:val="20"/>
                <w:color w:val="auto"/>
              </w:rPr>
            </w:pPr>
            <w:r>
              <w:rPr>
                <w:rFonts w:ascii="Courier New" w:cs="Courier New" w:eastAsia="Courier New" w:hAnsi="Courier New"/>
                <w:sz w:val="7"/>
                <w:szCs w:val="7"/>
                <w:color w:val="auto"/>
                <w:w w:val="75"/>
              </w:rPr>
              <w:t>Other...................................................</w:t>
            </w:r>
          </w:p>
        </w:tc>
        <w:tc>
          <w:tcPr>
            <w:tcW w:w="3780" w:type="dxa"/>
            <w:vAlign w:val="bottom"/>
          </w:tcPr>
          <w:p>
            <w:pPr>
              <w:jc w:val="right"/>
              <w:ind w:right="2232"/>
              <w:spacing w:after="0"/>
              <w:rPr>
                <w:sz w:val="20"/>
                <w:szCs w:val="20"/>
                <w:color w:val="auto"/>
              </w:rPr>
            </w:pPr>
            <w:r>
              <w:rPr>
                <w:rFonts w:ascii="Courier New" w:cs="Courier New" w:eastAsia="Courier New" w:hAnsi="Courier New"/>
                <w:sz w:val="18"/>
                <w:szCs w:val="18"/>
                <w:color w:val="auto"/>
              </w:rPr>
              <w:t>14,031</w:t>
            </w:r>
          </w:p>
        </w:tc>
        <w:tc>
          <w:tcPr>
            <w:tcW w:w="0" w:type="dxa"/>
            <w:vAlign w:val="bottom"/>
          </w:tcPr>
          <w:p>
            <w:pPr>
              <w:spacing w:after="0"/>
              <w:rPr>
                <w:sz w:val="1"/>
                <w:szCs w:val="1"/>
                <w:color w:val="auto"/>
              </w:rPr>
            </w:pPr>
          </w:p>
        </w:tc>
      </w:tr>
      <w:tr>
        <w:trPr>
          <w:trHeight w:val="109"/>
        </w:trPr>
        <w:tc>
          <w:tcPr>
            <w:tcW w:w="1800" w:type="dxa"/>
            <w:vAlign w:val="bottom"/>
            <w:vMerge w:val="continue"/>
          </w:tcPr>
          <w:p>
            <w:pPr>
              <w:spacing w:after="0"/>
              <w:rPr>
                <w:sz w:val="9"/>
                <w:szCs w:val="9"/>
                <w:color w:val="auto"/>
              </w:rPr>
            </w:pPr>
          </w:p>
        </w:tc>
        <w:tc>
          <w:tcPr>
            <w:tcW w:w="378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w w:val="96"/>
              </w:rPr>
              <w:t>-------- -------- $172,495 $124,079</w:t>
            </w:r>
          </w:p>
        </w:tc>
        <w:tc>
          <w:tcPr>
            <w:tcW w:w="0" w:type="dxa"/>
            <w:vAlign w:val="bottom"/>
          </w:tcPr>
          <w:p>
            <w:pPr>
              <w:spacing w:after="0"/>
              <w:rPr>
                <w:sz w:val="1"/>
                <w:szCs w:val="1"/>
                <w:color w:val="auto"/>
              </w:rPr>
            </w:pPr>
          </w:p>
        </w:tc>
      </w:tr>
      <w:tr>
        <w:trPr>
          <w:trHeight w:val="203"/>
        </w:trPr>
        <w:tc>
          <w:tcPr>
            <w:tcW w:w="1800" w:type="dxa"/>
            <w:vAlign w:val="bottom"/>
          </w:tcPr>
          <w:p>
            <w:pPr>
              <w:jc w:val="right"/>
              <w:ind w:right="58"/>
              <w:spacing w:after="0" w:line="203" w:lineRule="exact"/>
              <w:rPr>
                <w:sz w:val="20"/>
                <w:szCs w:val="20"/>
                <w:color w:val="auto"/>
              </w:rPr>
            </w:pPr>
            <w:r>
              <w:rPr>
                <w:rFonts w:ascii="Courier New" w:cs="Courier New" w:eastAsia="Courier New" w:hAnsi="Courier New"/>
                <w:sz w:val="18"/>
                <w:szCs w:val="18"/>
                <w:color w:val="auto"/>
              </w:rPr>
              <w:t>11,684 3,914</w:t>
            </w:r>
          </w:p>
        </w:tc>
        <w:tc>
          <w:tcPr>
            <w:tcW w:w="3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800" w:type="dxa"/>
            <w:vAlign w:val="bottom"/>
          </w:tcPr>
          <w:p>
            <w:pPr>
              <w:spacing w:after="0"/>
              <w:rPr>
                <w:sz w:val="24"/>
                <w:szCs w:val="24"/>
                <w:color w:val="auto"/>
              </w:rPr>
            </w:pPr>
          </w:p>
        </w:tc>
        <w:tc>
          <w:tcPr>
            <w:tcW w:w="3780" w:type="dxa"/>
            <w:vAlign w:val="bottom"/>
          </w:tcPr>
          <w:p>
            <w:pPr>
              <w:jc w:val="right"/>
              <w:ind w:right="1652"/>
              <w:spacing w:after="0"/>
              <w:rPr>
                <w:sz w:val="20"/>
                <w:szCs w:val="20"/>
                <w:color w:val="auto"/>
              </w:rPr>
            </w:pPr>
            <w:r>
              <w:rPr>
                <w:rFonts w:ascii="Courier New" w:cs="Courier New" w:eastAsia="Courier New" w:hAnsi="Courier New"/>
                <w:sz w:val="18"/>
                <w:szCs w:val="18"/>
                <w:color w:val="auto"/>
              </w:rPr>
              <w:t>======== ========</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left="220" w:hanging="212"/>
        <w:spacing w:after="0"/>
        <w:tabs>
          <w:tab w:leader="none" w:pos="220"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 See Note 16.</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NOTE 14 -- INTEREST INCOME AND OTHER, NET</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Interest income and other, net consists of the following:</w:t>
      </w:r>
    </w:p>
    <w:p>
      <w:pPr>
        <w:spacing w:after="0" w:line="201"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YEAR ENDED SEPTEMBER 30, -------------</w:t>
      </w:r>
    </w:p>
    <w:p>
      <w:pPr>
        <w:spacing w:after="0" w:line="29"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---------------- 2003 2002 2001 ------</w:t>
      </w:r>
    </w:p>
    <w:p>
      <w:pPr>
        <w:ind w:left="120" w:right="6219" w:firstLine="466"/>
        <w:spacing w:after="0" w:line="268" w:lineRule="auto"/>
        <w:tabs>
          <w:tab w:leader="none" w:pos="910"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Interest income...............................</w:t>
      </w:r>
    </w:p>
    <w:p>
      <w:pPr>
        <w:jc w:val="center"/>
        <w:ind w:left="120" w:right="6219" w:firstLine="158"/>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$ 26,580 $ 31,856 $32,156 Interest expense..............................</w:t>
      </w:r>
    </w:p>
    <w:p>
      <w:pPr>
        <w:jc w:val="both"/>
        <w:ind w:left="160" w:right="6259" w:firstLine="53"/>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(11,425) (16,004) (8,678) Gain from repurchase of Notes(1)..............</w:t>
      </w:r>
    </w:p>
    <w:p>
      <w:pPr>
        <w:ind w:left="1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448 6,012 -- Other,</w:t>
      </w:r>
    </w:p>
    <w:p>
      <w:pPr>
        <w:spacing w:after="0"/>
        <w:rPr>
          <w:sz w:val="20"/>
          <w:szCs w:val="20"/>
          <w:color w:val="auto"/>
        </w:rPr>
      </w:pPr>
      <w:r>
        <w:rPr>
          <w:rFonts w:ascii="Courier New" w:cs="Courier New" w:eastAsia="Courier New" w:hAnsi="Courier New"/>
          <w:sz w:val="18"/>
          <w:szCs w:val="18"/>
          <w:color w:val="auto"/>
        </w:rPr>
        <w:t>net....................................</w:t>
      </w:r>
    </w:p>
    <w:p>
      <w:pPr>
        <w:ind w:left="1000" w:hanging="625"/>
        <w:spacing w:after="0" w:line="238" w:lineRule="auto"/>
        <w:tabs>
          <w:tab w:leader="none" w:pos="1000" w:val="left"/>
        </w:tabs>
        <w:numPr>
          <w:ilvl w:val="1"/>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(2,566) (1,192) $ 14,759 $</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19,298 $22,286 ======== ========</w:t>
      </w:r>
    </w:p>
    <w:p>
      <w:pPr>
        <w:ind w:left="17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37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 See Note 12.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15 -- CONTINGENCIES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COMMITMENTS</w:t>
      </w:r>
    </w:p>
    <w:p>
      <w:pPr>
        <w:spacing w:after="0" w:line="201" w:lineRule="exact"/>
        <w:rPr>
          <w:sz w:val="20"/>
          <w:szCs w:val="20"/>
          <w:color w:val="auto"/>
        </w:rPr>
      </w:pPr>
    </w:p>
    <w:p>
      <w:pPr>
        <w:ind w:right="1779" w:firstLine="527"/>
        <w:spacing w:after="0" w:line="292" w:lineRule="auto"/>
        <w:rPr>
          <w:sz w:val="20"/>
          <w:szCs w:val="20"/>
          <w:color w:val="auto"/>
        </w:rPr>
      </w:pPr>
      <w:r>
        <w:rPr>
          <w:rFonts w:ascii="Courier New" w:cs="Courier New" w:eastAsia="Courier New" w:hAnsi="Courier New"/>
          <w:sz w:val="18"/>
          <w:szCs w:val="18"/>
          <w:color w:val="auto"/>
        </w:rPr>
        <w:t>The Company leases office space under non-cancelable operating leases in various countries in which it does business. Future minimum non-cancelable lease payments required after October 1, 2003 are as follows:</w:t>
      </w:r>
    </w:p>
    <w:p>
      <w:pPr>
        <w:spacing w:after="0" w:line="66"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FOR THE YEARS ENDED SEPTEMBER 30, - -----</w:t>
      </w:r>
    </w:p>
    <w:p>
      <w:pPr>
        <w:spacing w:after="0" w:line="29"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w:t>
      </w:r>
    </w:p>
    <w:tbl>
      <w:tblPr>
        <w:tblLayout w:type="fixed"/>
        <w:tblInd w:w="0" w:type="dxa"/>
        <w:tblCellMar>
          <w:top w:w="0" w:type="dxa"/>
          <w:left w:w="0" w:type="dxa"/>
          <w:bottom w:w="0" w:type="dxa"/>
          <w:right w:w="0" w:type="dxa"/>
        </w:tblCellMar>
      </w:tblPr>
      <w:tr>
        <w:trPr>
          <w:trHeight w:val="349"/>
        </w:trPr>
        <w:tc>
          <w:tcPr>
            <w:tcW w:w="1800" w:type="dxa"/>
            <w:vAlign w:val="bottom"/>
          </w:tcPr>
          <w:p>
            <w:pPr>
              <w:spacing w:after="0"/>
              <w:rPr>
                <w:sz w:val="20"/>
                <w:szCs w:val="20"/>
                <w:color w:val="auto"/>
              </w:rPr>
            </w:pPr>
            <w:r>
              <w:rPr>
                <w:rFonts w:ascii="Courier New" w:cs="Courier New" w:eastAsia="Courier New" w:hAnsi="Courier New"/>
                <w:sz w:val="2"/>
                <w:szCs w:val="2"/>
                <w:color w:val="auto"/>
                <w:vertAlign w:val="superscript"/>
              </w:rPr>
              <w:t>2004............................................................................</w:t>
            </w:r>
            <w:r>
              <w:rPr>
                <w:rFonts w:ascii="Courier New" w:cs="Courier New" w:eastAsia="Courier New" w:hAnsi="Courier New"/>
                <w:sz w:val="1"/>
                <w:szCs w:val="1"/>
                <w:color w:val="auto"/>
              </w:rPr>
              <w:t>......................................</w:t>
            </w:r>
            <w:r>
              <w:rPr>
                <w:rFonts w:ascii="Courier New" w:cs="Courier New" w:eastAsia="Courier New" w:hAnsi="Courier New"/>
                <w:sz w:val="2"/>
                <w:szCs w:val="2"/>
                <w:color w:val="auto"/>
                <w:vertAlign w:val="subscript"/>
              </w:rPr>
              <w:t>............................................................................................................</w:t>
            </w:r>
          </w:p>
        </w:tc>
        <w:tc>
          <w:tcPr>
            <w:tcW w:w="2160" w:type="dxa"/>
            <w:vAlign w:val="bottom"/>
            <w:vMerge w:val="restart"/>
          </w:tcPr>
          <w:p>
            <w:pPr>
              <w:jc w:val="center"/>
              <w:ind w:right="1232"/>
              <w:spacing w:after="0"/>
              <w:rPr>
                <w:sz w:val="20"/>
                <w:szCs w:val="20"/>
                <w:color w:val="auto"/>
              </w:rPr>
            </w:pPr>
            <w:r>
              <w:rPr>
                <w:rFonts w:ascii="Courier New" w:cs="Courier New" w:eastAsia="Courier New" w:hAnsi="Courier New"/>
                <w:sz w:val="18"/>
                <w:szCs w:val="18"/>
                <w:color w:val="auto"/>
                <w:w w:val="97"/>
              </w:rPr>
              <w:t>$ 38,757</w:t>
            </w:r>
          </w:p>
        </w:tc>
        <w:tc>
          <w:tcPr>
            <w:tcW w:w="0" w:type="dxa"/>
            <w:vAlign w:val="bottom"/>
          </w:tcPr>
          <w:p>
            <w:pPr>
              <w:spacing w:after="0"/>
              <w:rPr>
                <w:sz w:val="1"/>
                <w:szCs w:val="1"/>
                <w:color w:val="auto"/>
              </w:rPr>
            </w:pPr>
          </w:p>
        </w:tc>
      </w:tr>
      <w:tr>
        <w:trPr>
          <w:trHeight w:val="118"/>
        </w:trPr>
        <w:tc>
          <w:tcPr>
            <w:tcW w:w="1800" w:type="dxa"/>
            <w:vAlign w:val="bottom"/>
            <w:vMerge w:val="restart"/>
          </w:tcPr>
          <w:p>
            <w:pPr>
              <w:spacing w:after="0"/>
              <w:rPr>
                <w:sz w:val="20"/>
                <w:szCs w:val="20"/>
                <w:color w:val="auto"/>
              </w:rPr>
            </w:pPr>
            <w:r>
              <w:rPr>
                <w:rFonts w:ascii="Courier New" w:cs="Courier New" w:eastAsia="Courier New" w:hAnsi="Courier New"/>
                <w:sz w:val="18"/>
                <w:szCs w:val="18"/>
                <w:color w:val="auto"/>
              </w:rPr>
              <w:t>2005</w:t>
            </w:r>
          </w:p>
        </w:tc>
        <w:tc>
          <w:tcPr>
            <w:tcW w:w="2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1800" w:type="dxa"/>
            <w:vAlign w:val="bottom"/>
            <w:vMerge w:val="continue"/>
          </w:tcPr>
          <w:p>
            <w:pPr>
              <w:spacing w:after="0"/>
              <w:rPr>
                <w:sz w:val="17"/>
                <w:szCs w:val="17"/>
                <w:color w:val="auto"/>
              </w:rPr>
            </w:pPr>
          </w:p>
        </w:tc>
        <w:tc>
          <w:tcPr>
            <w:tcW w:w="2160" w:type="dxa"/>
            <w:vAlign w:val="bottom"/>
            <w:vMerge w:val="restart"/>
          </w:tcPr>
          <w:p>
            <w:pPr>
              <w:jc w:val="center"/>
              <w:ind w:right="1232"/>
              <w:spacing w:after="0"/>
              <w:rPr>
                <w:sz w:val="20"/>
                <w:szCs w:val="20"/>
                <w:color w:val="auto"/>
              </w:rPr>
            </w:pPr>
            <w:r>
              <w:rPr>
                <w:rFonts w:ascii="Courier New" w:cs="Courier New" w:eastAsia="Courier New" w:hAnsi="Courier New"/>
                <w:sz w:val="18"/>
                <w:szCs w:val="18"/>
                <w:color w:val="auto"/>
                <w:w w:val="98"/>
              </w:rPr>
              <w:t>30,920</w:t>
            </w:r>
          </w:p>
        </w:tc>
        <w:tc>
          <w:tcPr>
            <w:tcW w:w="0" w:type="dxa"/>
            <w:vAlign w:val="bottom"/>
          </w:tcPr>
          <w:p>
            <w:pPr>
              <w:spacing w:after="0"/>
              <w:rPr>
                <w:sz w:val="1"/>
                <w:szCs w:val="1"/>
                <w:color w:val="auto"/>
              </w:rPr>
            </w:pPr>
          </w:p>
        </w:tc>
      </w:tr>
      <w:tr>
        <w:trPr>
          <w:trHeight w:val="203"/>
        </w:trPr>
        <w:tc>
          <w:tcPr>
            <w:tcW w:w="1800" w:type="dxa"/>
            <w:vAlign w:val="bottom"/>
            <w:vMerge w:val="restart"/>
          </w:tcPr>
          <w:p>
            <w:pPr>
              <w:spacing w:after="0"/>
              <w:rPr>
                <w:sz w:val="20"/>
                <w:szCs w:val="20"/>
                <w:color w:val="auto"/>
              </w:rPr>
            </w:pPr>
            <w:r>
              <w:rPr>
                <w:rFonts w:ascii="Courier New" w:cs="Courier New" w:eastAsia="Courier New" w:hAnsi="Courier New"/>
                <w:sz w:val="18"/>
                <w:szCs w:val="18"/>
                <w:color w:val="auto"/>
              </w:rPr>
              <w:t>2006</w:t>
            </w:r>
          </w:p>
        </w:tc>
        <w:tc>
          <w:tcPr>
            <w:tcW w:w="2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0" w:type="dxa"/>
            <w:vAlign w:val="bottom"/>
            <w:vMerge w:val="continue"/>
          </w:tcPr>
          <w:p>
            <w:pPr>
              <w:spacing w:after="0"/>
              <w:rPr>
                <w:sz w:val="17"/>
                <w:szCs w:val="17"/>
                <w:color w:val="auto"/>
              </w:rPr>
            </w:pPr>
          </w:p>
        </w:tc>
        <w:tc>
          <w:tcPr>
            <w:tcW w:w="2160" w:type="dxa"/>
            <w:vAlign w:val="bottom"/>
            <w:vMerge w:val="restart"/>
          </w:tcPr>
          <w:p>
            <w:pPr>
              <w:jc w:val="center"/>
              <w:ind w:right="1232"/>
              <w:spacing w:after="0"/>
              <w:rPr>
                <w:sz w:val="20"/>
                <w:szCs w:val="20"/>
                <w:color w:val="auto"/>
              </w:rPr>
            </w:pPr>
            <w:r>
              <w:rPr>
                <w:rFonts w:ascii="Courier New" w:cs="Courier New" w:eastAsia="Courier New" w:hAnsi="Courier New"/>
                <w:sz w:val="18"/>
                <w:szCs w:val="18"/>
                <w:color w:val="auto"/>
                <w:w w:val="98"/>
              </w:rPr>
              <w:t>24,263</w:t>
            </w:r>
          </w:p>
        </w:tc>
        <w:tc>
          <w:tcPr>
            <w:tcW w:w="0" w:type="dxa"/>
            <w:vAlign w:val="bottom"/>
          </w:tcPr>
          <w:p>
            <w:pPr>
              <w:spacing w:after="0"/>
              <w:rPr>
                <w:sz w:val="1"/>
                <w:szCs w:val="1"/>
                <w:color w:val="auto"/>
              </w:rPr>
            </w:pPr>
          </w:p>
        </w:tc>
      </w:tr>
      <w:tr>
        <w:trPr>
          <w:trHeight w:val="203"/>
        </w:trPr>
        <w:tc>
          <w:tcPr>
            <w:tcW w:w="1800" w:type="dxa"/>
            <w:vAlign w:val="bottom"/>
            <w:vMerge w:val="restart"/>
          </w:tcPr>
          <w:p>
            <w:pPr>
              <w:spacing w:after="0"/>
              <w:rPr>
                <w:sz w:val="20"/>
                <w:szCs w:val="20"/>
                <w:color w:val="auto"/>
              </w:rPr>
            </w:pPr>
            <w:r>
              <w:rPr>
                <w:rFonts w:ascii="Courier New" w:cs="Courier New" w:eastAsia="Courier New" w:hAnsi="Courier New"/>
                <w:sz w:val="18"/>
                <w:szCs w:val="18"/>
                <w:color w:val="auto"/>
              </w:rPr>
              <w:t>2007</w:t>
            </w:r>
          </w:p>
        </w:tc>
        <w:tc>
          <w:tcPr>
            <w:tcW w:w="2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0" w:type="dxa"/>
            <w:vAlign w:val="bottom"/>
            <w:vMerge w:val="continue"/>
          </w:tcPr>
          <w:p>
            <w:pPr>
              <w:spacing w:after="0"/>
              <w:rPr>
                <w:sz w:val="17"/>
                <w:szCs w:val="17"/>
                <w:color w:val="auto"/>
              </w:rPr>
            </w:pPr>
          </w:p>
        </w:tc>
        <w:tc>
          <w:tcPr>
            <w:tcW w:w="2160" w:type="dxa"/>
            <w:vAlign w:val="bottom"/>
            <w:vMerge w:val="restart"/>
          </w:tcPr>
          <w:p>
            <w:pPr>
              <w:jc w:val="center"/>
              <w:ind w:right="1232"/>
              <w:spacing w:after="0"/>
              <w:rPr>
                <w:sz w:val="20"/>
                <w:szCs w:val="20"/>
                <w:color w:val="auto"/>
              </w:rPr>
            </w:pPr>
            <w:r>
              <w:rPr>
                <w:rFonts w:ascii="Courier New" w:cs="Courier New" w:eastAsia="Courier New" w:hAnsi="Courier New"/>
                <w:sz w:val="18"/>
                <w:szCs w:val="18"/>
                <w:color w:val="auto"/>
                <w:w w:val="98"/>
              </w:rPr>
              <w:t>19,558</w:t>
            </w:r>
          </w:p>
        </w:tc>
        <w:tc>
          <w:tcPr>
            <w:tcW w:w="0" w:type="dxa"/>
            <w:vAlign w:val="bottom"/>
          </w:tcPr>
          <w:p>
            <w:pPr>
              <w:spacing w:after="0"/>
              <w:rPr>
                <w:sz w:val="1"/>
                <w:szCs w:val="1"/>
                <w:color w:val="auto"/>
              </w:rPr>
            </w:pPr>
          </w:p>
        </w:tc>
      </w:tr>
      <w:tr>
        <w:trPr>
          <w:trHeight w:val="203"/>
        </w:trPr>
        <w:tc>
          <w:tcPr>
            <w:tcW w:w="1800" w:type="dxa"/>
            <w:vAlign w:val="bottom"/>
            <w:vMerge w:val="restart"/>
          </w:tcPr>
          <w:p>
            <w:pPr>
              <w:spacing w:after="0"/>
              <w:rPr>
                <w:sz w:val="20"/>
                <w:szCs w:val="20"/>
                <w:color w:val="auto"/>
              </w:rPr>
            </w:pPr>
            <w:r>
              <w:rPr>
                <w:rFonts w:ascii="Courier New" w:cs="Courier New" w:eastAsia="Courier New" w:hAnsi="Courier New"/>
                <w:sz w:val="18"/>
                <w:szCs w:val="18"/>
                <w:color w:val="auto"/>
              </w:rPr>
              <w:t>2008</w:t>
            </w:r>
          </w:p>
        </w:tc>
        <w:tc>
          <w:tcPr>
            <w:tcW w:w="2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0" w:type="dxa"/>
            <w:vAlign w:val="bottom"/>
            <w:vMerge w:val="continue"/>
          </w:tcPr>
          <w:p>
            <w:pPr>
              <w:spacing w:after="0"/>
              <w:rPr>
                <w:sz w:val="17"/>
                <w:szCs w:val="17"/>
                <w:color w:val="auto"/>
              </w:rPr>
            </w:pPr>
          </w:p>
        </w:tc>
        <w:tc>
          <w:tcPr>
            <w:tcW w:w="2160" w:type="dxa"/>
            <w:vAlign w:val="bottom"/>
            <w:vMerge w:val="restart"/>
          </w:tcPr>
          <w:p>
            <w:pPr>
              <w:jc w:val="center"/>
              <w:ind w:right="1232"/>
              <w:spacing w:after="0"/>
              <w:rPr>
                <w:sz w:val="20"/>
                <w:szCs w:val="20"/>
                <w:color w:val="auto"/>
              </w:rPr>
            </w:pPr>
            <w:r>
              <w:rPr>
                <w:rFonts w:ascii="Courier New" w:cs="Courier New" w:eastAsia="Courier New" w:hAnsi="Courier New"/>
                <w:sz w:val="18"/>
                <w:szCs w:val="18"/>
                <w:color w:val="auto"/>
                <w:w w:val="98"/>
              </w:rPr>
              <w:t>13,915</w:t>
            </w:r>
          </w:p>
        </w:tc>
        <w:tc>
          <w:tcPr>
            <w:tcW w:w="0" w:type="dxa"/>
            <w:vAlign w:val="bottom"/>
          </w:tcPr>
          <w:p>
            <w:pPr>
              <w:spacing w:after="0"/>
              <w:rPr>
                <w:sz w:val="1"/>
                <w:szCs w:val="1"/>
                <w:color w:val="auto"/>
              </w:rPr>
            </w:pPr>
          </w:p>
        </w:tc>
      </w:tr>
      <w:tr>
        <w:trPr>
          <w:trHeight w:val="203"/>
        </w:trPr>
        <w:tc>
          <w:tcPr>
            <w:tcW w:w="1800" w:type="dxa"/>
            <w:vAlign w:val="bottom"/>
            <w:vMerge w:val="restart"/>
          </w:tcPr>
          <w:p>
            <w:pPr>
              <w:spacing w:after="0"/>
              <w:rPr>
                <w:sz w:val="20"/>
                <w:szCs w:val="20"/>
                <w:color w:val="auto"/>
              </w:rPr>
            </w:pPr>
            <w:r>
              <w:rPr>
                <w:rFonts w:ascii="Courier New" w:cs="Courier New" w:eastAsia="Courier New" w:hAnsi="Courier New"/>
                <w:sz w:val="18"/>
                <w:szCs w:val="18"/>
                <w:color w:val="auto"/>
              </w:rPr>
              <w:t>Thereafter</w:t>
            </w:r>
          </w:p>
        </w:tc>
        <w:tc>
          <w:tcPr>
            <w:tcW w:w="2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1800" w:type="dxa"/>
            <w:vAlign w:val="bottom"/>
            <w:vMerge w:val="continue"/>
          </w:tcPr>
          <w:p>
            <w:pPr>
              <w:ind w:left="1220"/>
              <w:spacing w:after="0" w:line="109" w:lineRule="exact"/>
              <w:rPr>
                <w:sz w:val="20"/>
                <w:szCs w:val="20"/>
                <w:color w:val="auto"/>
              </w:rPr>
            </w:pPr>
            <w:r>
              <w:rPr>
                <w:rFonts w:ascii="Courier New" w:cs="Courier New" w:eastAsia="Courier New" w:hAnsi="Courier New"/>
                <w:sz w:val="12"/>
                <w:szCs w:val="12"/>
                <w:color w:val="auto"/>
                <w:w w:val="97"/>
              </w:rPr>
              <w:t>--------</w:t>
            </w:r>
          </w:p>
        </w:tc>
        <w:tc>
          <w:tcPr>
            <w:tcW w:w="21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$146,487 ========</w:t>
            </w:r>
          </w:p>
        </w:tc>
        <w:tc>
          <w:tcPr>
            <w:tcW w:w="0" w:type="dxa"/>
            <w:vAlign w:val="bottom"/>
          </w:tcPr>
          <w:p>
            <w:pPr>
              <w:spacing w:after="0"/>
              <w:rPr>
                <w:sz w:val="1"/>
                <w:szCs w:val="1"/>
                <w:color w:val="auto"/>
              </w:rPr>
            </w:pPr>
          </w:p>
        </w:tc>
      </w:tr>
      <w:tr>
        <w:trPr>
          <w:trHeight w:val="296"/>
        </w:trPr>
        <w:tc>
          <w:tcPr>
            <w:tcW w:w="1800" w:type="dxa"/>
            <w:vAlign w:val="bottom"/>
          </w:tcPr>
          <w:p>
            <w:pPr>
              <w:ind w:left="480"/>
              <w:spacing w:after="0"/>
              <w:rPr>
                <w:sz w:val="20"/>
                <w:szCs w:val="20"/>
                <w:color w:val="auto"/>
              </w:rPr>
            </w:pPr>
            <w:r>
              <w:rPr>
                <w:rFonts w:ascii="Courier New" w:cs="Courier New" w:eastAsia="Courier New" w:hAnsi="Courier New"/>
                <w:sz w:val="18"/>
                <w:szCs w:val="18"/>
                <w:color w:val="auto"/>
              </w:rPr>
              <w:t>19,074</w:t>
            </w:r>
          </w:p>
        </w:tc>
        <w:tc>
          <w:tcPr>
            <w:tcW w:w="2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ind w:right="2319" w:firstLine="527"/>
        <w:spacing w:after="0" w:line="292" w:lineRule="auto"/>
        <w:rPr>
          <w:sz w:val="20"/>
          <w:szCs w:val="20"/>
          <w:color w:val="auto"/>
        </w:rPr>
      </w:pPr>
      <w:r>
        <w:rPr>
          <w:rFonts w:ascii="Courier New" w:cs="Courier New" w:eastAsia="Courier New" w:hAnsi="Courier New"/>
          <w:sz w:val="18"/>
          <w:szCs w:val="18"/>
          <w:color w:val="auto"/>
        </w:rPr>
        <w:t>Future minimum non-cancelable lease payments, as stated above, do not reflect committed future sublease income of $5,812, $4,572, $3,625, $3,050, $2,007 and $4,752 for the years ended September 30,</w:t>
      </w:r>
    </w:p>
    <w:p>
      <w:pPr>
        <w:sectPr>
          <w:pgSz w:w="11900" w:h="16838" w:orient="portrait"/>
          <w:cols w:equalWidth="0" w:num="1">
            <w:col w:w="10219"/>
          </w:cols>
          <w:pgMar w:left="240" w:top="488" w:right="1440" w:bottom="0" w:gutter="0" w:footer="0" w:header="0"/>
        </w:sectPr>
      </w:pPr>
    </w:p>
    <w:bookmarkStart w:id="109" w:name="page110"/>
    <w:bookmarkEnd w:id="109"/>
    <w:p>
      <w:pPr>
        <w:ind w:left="2920"/>
        <w:spacing w:after="0"/>
        <w:rPr>
          <w:sz w:val="20"/>
          <w:szCs w:val="20"/>
          <w:color w:val="auto"/>
        </w:rPr>
      </w:pPr>
      <w:r>
        <w:rPr>
          <w:rFonts w:ascii="Courier New" w:cs="Courier New" w:eastAsia="Courier New" w:hAnsi="Courier New"/>
          <w:sz w:val="16"/>
          <w:szCs w:val="16"/>
          <w:color w:val="auto"/>
        </w:rPr>
        <w:t>F-28</w:t>
      </w:r>
    </w:p>
    <w:p>
      <w:pPr>
        <w:sectPr>
          <w:pgSz w:w="11900" w:h="16838" w:orient="portrait"/>
          <w:cols w:equalWidth="0" w:num="1">
            <w:col w:w="9019"/>
          </w:cols>
          <w:pgMar w:left="1440" w:top="312" w:right="1440" w:bottom="1440" w:gutter="0" w:footer="0" w:header="0"/>
        </w:sectPr>
      </w:pPr>
    </w:p>
    <w:bookmarkStart w:id="110" w:name="page111"/>
    <w:bookmarkEnd w:id="110"/>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3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(IN THOUSANDS, EXCEPT PER SHARE DATA)</w:t>
      </w:r>
    </w:p>
    <w:p>
      <w:pPr>
        <w:spacing w:after="0" w:line="169" w:lineRule="exact"/>
        <w:rPr>
          <w:sz w:val="20"/>
          <w:szCs w:val="20"/>
          <w:color w:val="auto"/>
        </w:rPr>
      </w:pPr>
    </w:p>
    <w:p>
      <w:pPr>
        <w:ind w:right="1779"/>
        <w:spacing w:after="0" w:line="292" w:lineRule="auto"/>
        <w:rPr>
          <w:sz w:val="20"/>
          <w:szCs w:val="20"/>
          <w:color w:val="auto"/>
        </w:rPr>
      </w:pPr>
      <w:r>
        <w:rPr>
          <w:rFonts w:ascii="Courier New" w:cs="Courier New" w:eastAsia="Courier New" w:hAnsi="Courier New"/>
          <w:sz w:val="18"/>
          <w:szCs w:val="18"/>
          <w:color w:val="auto"/>
        </w:rPr>
        <w:t>2004, 2005, 2006, 2007, 2008 and thereafter, respectively. Of the $122,669 net operating leases, net of $23,818 of sublease income, $9,006 has been included in accrued restructuring charges as of September 30, 2003.</w:t>
      </w:r>
    </w:p>
    <w:p>
      <w:pPr>
        <w:spacing w:after="0" w:line="66" w:lineRule="exact"/>
        <w:rPr>
          <w:sz w:val="20"/>
          <w:szCs w:val="20"/>
          <w:color w:val="auto"/>
        </w:rPr>
      </w:pPr>
    </w:p>
    <w:p>
      <w:pPr>
        <w:ind w:right="1779" w:firstLine="527"/>
        <w:spacing w:after="0" w:line="402" w:lineRule="auto"/>
        <w:rPr>
          <w:sz w:val="20"/>
          <w:szCs w:val="20"/>
          <w:color w:val="auto"/>
        </w:rPr>
      </w:pPr>
      <w:r>
        <w:rPr>
          <w:rFonts w:ascii="Courier New" w:cs="Courier New" w:eastAsia="Courier New" w:hAnsi="Courier New"/>
          <w:sz w:val="16"/>
          <w:szCs w:val="16"/>
          <w:color w:val="auto"/>
        </w:rPr>
        <w:t>Rent expense, including accruals for future lease losses, was approximately $33,039, $39,141 and $40,506 for fiscal 2003, 2002 and 2001, respectively.</w:t>
      </w:r>
    </w:p>
    <w:p>
      <w:pPr>
        <w:spacing w:after="0" w:line="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LITIGATION</w:t>
      </w:r>
    </w:p>
    <w:p>
      <w:pPr>
        <w:spacing w:after="0" w:line="201" w:lineRule="exact"/>
        <w:rPr>
          <w:sz w:val="20"/>
          <w:szCs w:val="20"/>
          <w:color w:val="auto"/>
        </w:rPr>
      </w:pPr>
    </w:p>
    <w:p>
      <w:pPr>
        <w:ind w:right="1779" w:firstLine="527"/>
        <w:spacing w:after="0" w:line="285" w:lineRule="auto"/>
        <w:rPr>
          <w:sz w:val="20"/>
          <w:szCs w:val="20"/>
          <w:color w:val="auto"/>
        </w:rPr>
      </w:pPr>
      <w:r>
        <w:rPr>
          <w:rFonts w:ascii="Courier New" w:cs="Courier New" w:eastAsia="Courier New" w:hAnsi="Courier New"/>
          <w:sz w:val="16"/>
          <w:szCs w:val="16"/>
          <w:color w:val="auto"/>
        </w:rPr>
        <w:t>On December 2, 2003 the Company announced that the United States District Court for the Eastern District of Missouri had issued an order granting the Company's motion to dismiss the securities class action lawsuits that had been pending against the Company and certain of its directors and officers since June 2002. The court's order also directed that judgment be entered in favor of the defendants. The consolidated complaint filed in the action alleged that the Company and the individual defendants had made false or misleading statements about the Company's business and future prospects during a putative class period between July 18, 2000 and June 20, 2002. Under the federal rules the plaintiffs have a period of 30 days in which to appeal the court's decision.</w:t>
      </w:r>
    </w:p>
    <w:p>
      <w:pPr>
        <w:spacing w:after="0" w:line="7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LEGAL PROCEEDINGS</w:t>
      </w:r>
    </w:p>
    <w:p>
      <w:pPr>
        <w:spacing w:after="0" w:line="201" w:lineRule="exact"/>
        <w:rPr>
          <w:sz w:val="20"/>
          <w:szCs w:val="20"/>
          <w:color w:val="auto"/>
        </w:rPr>
      </w:pPr>
    </w:p>
    <w:p>
      <w:pPr>
        <w:ind w:right="1999" w:firstLine="527"/>
        <w:spacing w:after="0" w:line="265" w:lineRule="auto"/>
        <w:rPr>
          <w:sz w:val="20"/>
          <w:szCs w:val="20"/>
          <w:color w:val="auto"/>
        </w:rPr>
      </w:pPr>
      <w:r>
        <w:rPr>
          <w:rFonts w:ascii="Courier New" w:cs="Courier New" w:eastAsia="Courier New" w:hAnsi="Courier New"/>
          <w:sz w:val="18"/>
          <w:szCs w:val="18"/>
          <w:color w:val="auto"/>
        </w:rPr>
        <w:t>The Company is involved in various other legal proceedings arising in the normal course of its business. Based upon the advice of counsel, the Company does not believe that the ultimate resolution of these matters will have a material adverse effect on the Company's consolidated financial position, results of operations or cash flows.</w:t>
      </w:r>
    </w:p>
    <w:p>
      <w:pPr>
        <w:spacing w:after="0" w:line="9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SECURITIES AND EXCHANGE COMMISSION INVESTIGATION</w:t>
      </w:r>
    </w:p>
    <w:p>
      <w:pPr>
        <w:spacing w:after="0" w:line="201" w:lineRule="exact"/>
        <w:rPr>
          <w:sz w:val="20"/>
          <w:szCs w:val="20"/>
          <w:color w:val="auto"/>
        </w:rPr>
      </w:pPr>
    </w:p>
    <w:p>
      <w:pPr>
        <w:ind w:right="1779" w:firstLine="527"/>
        <w:spacing w:after="0" w:line="252" w:lineRule="auto"/>
        <w:rPr>
          <w:sz w:val="20"/>
          <w:szCs w:val="20"/>
          <w:color w:val="auto"/>
        </w:rPr>
      </w:pPr>
      <w:r>
        <w:rPr>
          <w:rFonts w:ascii="Courier New" w:cs="Courier New" w:eastAsia="Courier New" w:hAnsi="Courier New"/>
          <w:sz w:val="18"/>
          <w:szCs w:val="18"/>
          <w:color w:val="auto"/>
        </w:rPr>
        <w:t>The Company has been informed that the Midwest Regional Office of the SEC is conducting a private investigation into the events leading up to the Company's announcement in June 2002 of revised projected revenue for the third and fourth quarters of fiscal 2002. The investigation appears to be focused on, but is not explicitly limited to, the Company's forecasting beginning with its April 23, 2002 press release. Although the Company believes that it will be able to satisfy any concerns the SEC staff may have in this regard, the Company is unable to predict the duration, scope, or outcome of the investigation. The Company is cooperating fully with the SEC staff.</w:t>
      </w:r>
    </w:p>
    <w:p>
      <w:pPr>
        <w:spacing w:after="0" w:line="9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16 -- EMPLOYEE BENEFITS</w:t>
      </w:r>
    </w:p>
    <w:p>
      <w:pPr>
        <w:spacing w:after="0" w:line="201" w:lineRule="exact"/>
        <w:rPr>
          <w:sz w:val="20"/>
          <w:szCs w:val="20"/>
          <w:color w:val="auto"/>
        </w:rPr>
      </w:pPr>
    </w:p>
    <w:p>
      <w:pPr>
        <w:ind w:right="1779" w:firstLine="527"/>
        <w:spacing w:after="0" w:line="253" w:lineRule="auto"/>
        <w:rPr>
          <w:sz w:val="20"/>
          <w:szCs w:val="20"/>
          <w:color w:val="auto"/>
        </w:rPr>
      </w:pPr>
      <w:r>
        <w:rPr>
          <w:rFonts w:ascii="Courier New" w:cs="Courier New" w:eastAsia="Courier New" w:hAnsi="Courier New"/>
          <w:sz w:val="18"/>
          <w:szCs w:val="18"/>
          <w:color w:val="auto"/>
        </w:rPr>
        <w:t>The Company accrues severance pay for the employees of its Israeli operations in accordance with Israeli law and certain employment procedures on the basis of the latest monthly salary paid to these employees and the length of time that they have worked for the Israeli operations. The severance pay liability, which is included in noncurrent liabilities and other, is partially funded by amounts on deposit with insurance companies, which are included in other noncurrent assets. Severance expenses were approximately $15,036, $9,953 and $17,242 for fiscal 2003, 2002 and 2001, respectively.</w:t>
      </w:r>
    </w:p>
    <w:p>
      <w:pPr>
        <w:spacing w:after="0" w:line="104" w:lineRule="exact"/>
        <w:rPr>
          <w:sz w:val="20"/>
          <w:szCs w:val="20"/>
          <w:color w:val="auto"/>
        </w:rPr>
      </w:pPr>
    </w:p>
    <w:p>
      <w:pPr>
        <w:ind w:right="1779" w:firstLine="527"/>
        <w:spacing w:after="0" w:line="265" w:lineRule="auto"/>
        <w:rPr>
          <w:sz w:val="20"/>
          <w:szCs w:val="20"/>
          <w:color w:val="auto"/>
        </w:rPr>
      </w:pPr>
      <w:r>
        <w:rPr>
          <w:rFonts w:ascii="Courier New" w:cs="Courier New" w:eastAsia="Courier New" w:hAnsi="Courier New"/>
          <w:sz w:val="18"/>
          <w:szCs w:val="18"/>
          <w:color w:val="auto"/>
        </w:rPr>
        <w:t>The Company sponsors defined contribution plans covering certain employees in the U.S., U.K. and Canada. The plans provide for Company matching contributions based upon a percentage of the employees' voluntary contributions. The Company's fiscal 2003, 2002 and 2001 plan contributions were not significant.</w:t>
      </w:r>
    </w:p>
    <w:p>
      <w:pPr>
        <w:spacing w:after="0" w:line="90" w:lineRule="exact"/>
        <w:rPr>
          <w:sz w:val="20"/>
          <w:szCs w:val="20"/>
          <w:color w:val="auto"/>
        </w:rPr>
      </w:pPr>
    </w:p>
    <w:p>
      <w:pPr>
        <w:ind w:right="1779" w:firstLine="527"/>
        <w:spacing w:after="0" w:line="267" w:lineRule="auto"/>
        <w:rPr>
          <w:sz w:val="20"/>
          <w:szCs w:val="20"/>
          <w:color w:val="auto"/>
        </w:rPr>
      </w:pPr>
      <w:r>
        <w:rPr>
          <w:rFonts w:ascii="Courier New" w:cs="Courier New" w:eastAsia="Courier New" w:hAnsi="Courier New"/>
          <w:sz w:val="18"/>
          <w:szCs w:val="18"/>
          <w:color w:val="auto"/>
        </w:rPr>
        <w:t>Following the Company's acquisition of Certen (see Note 3) and commencing on the acquisition date, July 2, 2003, the Company maintains several non-contributory defined benefit plans that provide for pension, other retirement and post employment benefits for the Certen employees based on length of</w:t>
      </w:r>
    </w:p>
    <w:p>
      <w:pPr>
        <w:spacing w:after="0" w:line="3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F-29</w:t>
      </w:r>
    </w:p>
    <w:p>
      <w:pPr>
        <w:sectPr>
          <w:pgSz w:w="11900" w:h="16838" w:orient="portrait"/>
          <w:cols w:equalWidth="0" w:num="1">
            <w:col w:w="10219"/>
          </w:cols>
          <w:pgMar w:left="240" w:top="488" w:right="1440" w:bottom="1440" w:gutter="0" w:footer="0" w:header="0"/>
        </w:sectPr>
      </w:pPr>
    </w:p>
    <w:bookmarkStart w:id="111" w:name="page112"/>
    <w:bookmarkEnd w:id="111"/>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3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(IN THOUSANDS, EXCEPT PER SHARE DATA)</w:t>
      </w:r>
    </w:p>
    <w:p>
      <w:pPr>
        <w:spacing w:after="0" w:line="169" w:lineRule="exact"/>
        <w:rPr>
          <w:sz w:val="20"/>
          <w:szCs w:val="20"/>
          <w:color w:val="auto"/>
        </w:rPr>
      </w:pPr>
    </w:p>
    <w:p>
      <w:pPr>
        <w:ind w:right="1779"/>
        <w:spacing w:after="0" w:line="256" w:lineRule="auto"/>
        <w:rPr>
          <w:sz w:val="20"/>
          <w:szCs w:val="20"/>
          <w:color w:val="auto"/>
        </w:rPr>
      </w:pPr>
      <w:r>
        <w:rPr>
          <w:rFonts w:ascii="Courier New" w:cs="Courier New" w:eastAsia="Courier New" w:hAnsi="Courier New"/>
          <w:sz w:val="18"/>
          <w:szCs w:val="18"/>
          <w:color w:val="auto"/>
        </w:rPr>
        <w:t>service and rate of pay. The funding policy is to make contributions to the plans based on various generally accepted actuarial methods. Contributions reflect actuarial assumptions concerning future investment returns, salary projections and future service benefits. Plan assets consist primarily of Canadian and other equities, government and corporate bonds, debentures and secured mortgages, which are held in units of the BCE Master Trust Fund, a Trust established by Bell.</w:t>
      </w:r>
    </w:p>
    <w:p>
      <w:pPr>
        <w:spacing w:after="0" w:line="98" w:lineRule="exact"/>
        <w:rPr>
          <w:sz w:val="20"/>
          <w:szCs w:val="20"/>
          <w:color w:val="auto"/>
        </w:rPr>
      </w:pPr>
    </w:p>
    <w:p>
      <w:pPr>
        <w:jc w:val="both"/>
        <w:ind w:right="2619" w:firstLine="527"/>
        <w:spacing w:after="0" w:line="292" w:lineRule="auto"/>
        <w:rPr>
          <w:sz w:val="20"/>
          <w:szCs w:val="20"/>
          <w:color w:val="auto"/>
        </w:rPr>
      </w:pPr>
      <w:r>
        <w:rPr>
          <w:rFonts w:ascii="Courier New" w:cs="Courier New" w:eastAsia="Courier New" w:hAnsi="Courier New"/>
          <w:sz w:val="18"/>
          <w:szCs w:val="18"/>
          <w:color w:val="auto"/>
        </w:rPr>
        <w:t>The net periodic benefit cost for the year ended September 30, 2003 (commencing July 2, 2003), related to pension and other benefits were as follows:</w:t>
      </w:r>
    </w:p>
    <w:p>
      <w:pPr>
        <w:spacing w:after="0" w:line="66"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PENSION OTHER BENEFITS BENEFITS -------- --------</w:t>
      </w:r>
    </w:p>
    <w:p>
      <w:pPr>
        <w:spacing w:after="0" w:line="29" w:lineRule="exact"/>
        <w:rPr>
          <w:sz w:val="20"/>
          <w:szCs w:val="20"/>
          <w:color w:val="auto"/>
        </w:rPr>
      </w:pPr>
    </w:p>
    <w:p>
      <w:pPr>
        <w:ind w:left="2380"/>
        <w:spacing w:after="0"/>
        <w:rPr>
          <w:sz w:val="20"/>
          <w:szCs w:val="20"/>
          <w:color w:val="auto"/>
        </w:rPr>
      </w:pPr>
      <w:r>
        <w:rPr>
          <w:rFonts w:ascii="Courier New" w:cs="Courier New" w:eastAsia="Courier New" w:hAnsi="Courier New"/>
          <w:sz w:val="18"/>
          <w:szCs w:val="18"/>
          <w:color w:val="auto"/>
        </w:rPr>
        <w:t>Service</w:t>
      </w:r>
    </w:p>
    <w:p>
      <w:pPr>
        <w:spacing w:after="0"/>
        <w:tabs>
          <w:tab w:leader="none" w:pos="520" w:val="left"/>
        </w:tabs>
        <w:rPr>
          <w:sz w:val="20"/>
          <w:szCs w:val="20"/>
          <w:color w:val="auto"/>
        </w:rPr>
      </w:pPr>
      <w:r>
        <w:rPr>
          <w:rFonts w:ascii="Courier New" w:cs="Courier New" w:eastAsia="Courier New" w:hAnsi="Courier New"/>
          <w:sz w:val="18"/>
          <w:szCs w:val="18"/>
          <w:color w:val="auto"/>
        </w:rPr>
        <w:t>costs</w:t>
      </w:r>
      <w:r>
        <w:rPr>
          <w:sz w:val="20"/>
          <w:szCs w:val="20"/>
          <w:color w:val="auto"/>
        </w:rPr>
        <w:tab/>
      </w:r>
      <w:r>
        <w:rPr>
          <w:rFonts w:ascii="Courier New" w:cs="Courier New" w:eastAsia="Courier New" w:hAnsi="Courier New"/>
          <w:sz w:val="16"/>
          <w:szCs w:val="16"/>
          <w:color w:val="auto"/>
        </w:rPr>
        <w:t>...............................................</w:t>
      </w:r>
    </w:p>
    <w:p>
      <w:pPr>
        <w:ind w:left="1160"/>
        <w:spacing w:after="0"/>
        <w:rPr>
          <w:sz w:val="20"/>
          <w:szCs w:val="20"/>
          <w:color w:val="auto"/>
        </w:rPr>
      </w:pPr>
      <w:r>
        <w:rPr>
          <w:rFonts w:ascii="Courier New" w:cs="Courier New" w:eastAsia="Courier New" w:hAnsi="Courier New"/>
          <w:sz w:val="18"/>
          <w:szCs w:val="18"/>
          <w:color w:val="auto"/>
        </w:rPr>
        <w:t>$ 493 $ 90 Interest on benefit</w:t>
      </w:r>
    </w:p>
    <w:p>
      <w:pPr>
        <w:ind w:left="260"/>
        <w:spacing w:after="0"/>
        <w:tabs>
          <w:tab w:leader="dot" w:pos="4560" w:val="left"/>
        </w:tabs>
        <w:rPr>
          <w:sz w:val="20"/>
          <w:szCs w:val="20"/>
          <w:color w:val="auto"/>
        </w:rPr>
      </w:pPr>
      <w:r>
        <w:rPr>
          <w:rFonts w:ascii="Courier New" w:cs="Courier New" w:eastAsia="Courier New" w:hAnsi="Courier New"/>
          <w:sz w:val="18"/>
          <w:szCs w:val="18"/>
          <w:color w:val="auto"/>
        </w:rPr>
        <w:t>obligations</w:t>
      </w:r>
      <w:r>
        <w:rPr>
          <w:sz w:val="20"/>
          <w:szCs w:val="20"/>
          <w:color w:val="auto"/>
        </w:rPr>
        <w:tab/>
      </w:r>
      <w:r>
        <w:rPr>
          <w:rFonts w:ascii="Courier New" w:cs="Courier New" w:eastAsia="Courier New" w:hAnsi="Courier New"/>
          <w:sz w:val="16"/>
          <w:szCs w:val="16"/>
          <w:color w:val="auto"/>
        </w:rPr>
        <w:t>564 98</w:t>
      </w:r>
    </w:p>
    <w:p>
      <w:pPr>
        <w:ind w:left="1540"/>
        <w:spacing w:after="0"/>
        <w:rPr>
          <w:sz w:val="20"/>
          <w:szCs w:val="20"/>
          <w:color w:val="auto"/>
        </w:rPr>
      </w:pPr>
      <w:r>
        <w:rPr>
          <w:rFonts w:ascii="Courier New" w:cs="Courier New" w:eastAsia="Courier New" w:hAnsi="Courier New"/>
          <w:sz w:val="18"/>
          <w:szCs w:val="18"/>
          <w:color w:val="auto"/>
        </w:rPr>
        <w:t>Expected return on plan</w:t>
      </w:r>
    </w:p>
    <w:p>
      <w:pPr>
        <w:ind w:left="60"/>
        <w:spacing w:after="0"/>
        <w:tabs>
          <w:tab w:leader="dot" w:pos="3940" w:val="left"/>
        </w:tabs>
        <w:rPr>
          <w:sz w:val="20"/>
          <w:szCs w:val="20"/>
          <w:color w:val="auto"/>
        </w:rPr>
      </w:pPr>
      <w:r>
        <w:rPr>
          <w:rFonts w:ascii="Courier New" w:cs="Courier New" w:eastAsia="Courier New" w:hAnsi="Courier New"/>
          <w:sz w:val="18"/>
          <w:szCs w:val="18"/>
          <w:color w:val="auto"/>
        </w:rPr>
        <w:t>assets</w:t>
      </w:r>
      <w:r>
        <w:rPr>
          <w:sz w:val="20"/>
          <w:szCs w:val="20"/>
          <w:color w:val="auto"/>
        </w:rPr>
        <w:tab/>
      </w:r>
      <w:r>
        <w:rPr>
          <w:rFonts w:ascii="Courier New" w:cs="Courier New" w:eastAsia="Courier New" w:hAnsi="Courier New"/>
          <w:sz w:val="16"/>
          <w:szCs w:val="16"/>
          <w:color w:val="auto"/>
        </w:rPr>
        <w:t>(409) -- -----</w:t>
      </w:r>
    </w:p>
    <w:p>
      <w:pPr>
        <w:ind w:left="1380"/>
        <w:spacing w:after="0"/>
        <w:rPr>
          <w:sz w:val="20"/>
          <w:szCs w:val="20"/>
          <w:color w:val="auto"/>
        </w:rPr>
      </w:pPr>
      <w:r>
        <w:rPr>
          <w:rFonts w:ascii="Courier New" w:cs="Courier New" w:eastAsia="Courier New" w:hAnsi="Courier New"/>
          <w:sz w:val="18"/>
          <w:szCs w:val="18"/>
          <w:color w:val="auto"/>
        </w:rPr>
        <w:t>---- $ 648 $188 ===== ====</w:t>
      </w:r>
    </w:p>
    <w:p>
      <w:pPr>
        <w:spacing w:after="0" w:line="37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following table sets forth the funded status of the plans as of</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September 30, 2003:</w:t>
      </w:r>
    </w:p>
    <w:p>
      <w:pPr>
        <w:spacing w:after="0" w:line="168" w:lineRule="exact"/>
        <w:rPr>
          <w:sz w:val="20"/>
          <w:szCs w:val="20"/>
          <w:color w:val="auto"/>
        </w:rPr>
      </w:pPr>
    </w:p>
    <w:tbl>
      <w:tblPr>
        <w:tblLayout w:type="fixed"/>
        <w:tblInd w:w="60" w:type="dxa"/>
        <w:tblCellMar>
          <w:top w:w="0" w:type="dxa"/>
          <w:left w:w="0" w:type="dxa"/>
          <w:bottom w:w="0" w:type="dxa"/>
          <w:right w:w="0" w:type="dxa"/>
        </w:tblCellMar>
      </w:tblPr>
      <w:tr>
        <w:trPr>
          <w:trHeight w:val="204"/>
        </w:trPr>
        <w:tc>
          <w:tcPr>
            <w:tcW w:w="4000" w:type="dxa"/>
            <w:vAlign w:val="bottom"/>
            <w:gridSpan w:val="2"/>
          </w:tcPr>
          <w:p>
            <w:pPr>
              <w:spacing w:after="0"/>
              <w:rPr>
                <w:sz w:val="20"/>
                <w:szCs w:val="20"/>
                <w:color w:val="auto"/>
              </w:rPr>
            </w:pPr>
            <w:r>
              <w:rPr>
                <w:rFonts w:ascii="Courier New" w:cs="Courier New" w:eastAsia="Courier New" w:hAnsi="Courier New"/>
                <w:sz w:val="18"/>
                <w:szCs w:val="18"/>
                <w:color w:val="auto"/>
                <w:w w:val="92"/>
              </w:rPr>
              <w:t>PENSION OTHER BENEFITS BENEFITS --------</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06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 Change in plan assets: Fair value of plan</w:t>
            </w:r>
          </w:p>
        </w:tc>
        <w:tc>
          <w:tcPr>
            <w:tcW w:w="0" w:type="dxa"/>
            <w:vAlign w:val="bottom"/>
          </w:tcPr>
          <w:p>
            <w:pPr>
              <w:spacing w:after="0"/>
              <w:rPr>
                <w:sz w:val="1"/>
                <w:szCs w:val="1"/>
                <w:color w:val="auto"/>
              </w:rPr>
            </w:pPr>
          </w:p>
        </w:tc>
      </w:tr>
      <w:tr>
        <w:trPr>
          <w:trHeight w:val="203"/>
        </w:trPr>
        <w:tc>
          <w:tcPr>
            <w:tcW w:w="4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assets in acquisition acquired........</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$ 27,060</w:t>
            </w:r>
          </w:p>
        </w:tc>
        <w:tc>
          <w:tcPr>
            <w:tcW w:w="0" w:type="dxa"/>
            <w:vAlign w:val="bottom"/>
          </w:tcPr>
          <w:p>
            <w:pPr>
              <w:spacing w:after="0"/>
              <w:rPr>
                <w:sz w:val="1"/>
                <w:szCs w:val="1"/>
                <w:color w:val="auto"/>
              </w:rPr>
            </w:pPr>
          </w:p>
        </w:tc>
      </w:tr>
      <w:tr>
        <w:trPr>
          <w:trHeight w:val="203"/>
        </w:trPr>
        <w:tc>
          <w:tcPr>
            <w:tcW w:w="400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1"/>
                <w:vertAlign w:val="subscript"/>
              </w:rPr>
              <w:t>............................................</w:t>
            </w:r>
            <w:r>
              <w:rPr>
                <w:rFonts w:ascii="Courier New" w:cs="Courier New" w:eastAsia="Courier New" w:hAnsi="Courier New"/>
                <w:sz w:val="10"/>
                <w:szCs w:val="10"/>
                <w:color w:val="auto"/>
                <w:w w:val="71"/>
              </w:rPr>
              <w:t>....................................</w:t>
            </w:r>
            <w:r>
              <w:rPr>
                <w:rFonts w:ascii="Courier New" w:cs="Courier New" w:eastAsia="Courier New" w:hAnsi="Courier New"/>
                <w:sz w:val="13"/>
                <w:szCs w:val="13"/>
                <w:color w:val="auto"/>
                <w:w w:val="71"/>
                <w:vertAlign w:val="superscript"/>
              </w:rPr>
              <w:t>$--Actualreturnonplan</w:t>
            </w:r>
          </w:p>
        </w:tc>
        <w:tc>
          <w:tcPr>
            <w:tcW w:w="106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w w:val="94"/>
              </w:rPr>
              <w:t>1,032 --</w:t>
            </w:r>
          </w:p>
        </w:tc>
        <w:tc>
          <w:tcPr>
            <w:tcW w:w="0" w:type="dxa"/>
            <w:vAlign w:val="bottom"/>
          </w:tcPr>
          <w:p>
            <w:pPr>
              <w:spacing w:after="0"/>
              <w:rPr>
                <w:sz w:val="1"/>
                <w:szCs w:val="1"/>
                <w:color w:val="auto"/>
              </w:rPr>
            </w:pPr>
          </w:p>
        </w:tc>
      </w:tr>
      <w:tr>
        <w:trPr>
          <w:trHeight w:val="296"/>
        </w:trPr>
        <w:tc>
          <w:tcPr>
            <w:tcW w:w="1680" w:type="dxa"/>
            <w:vAlign w:val="bottom"/>
          </w:tcPr>
          <w:p>
            <w:pPr>
              <w:jc w:val="right"/>
              <w:spacing w:after="0"/>
              <w:rPr>
                <w:sz w:val="20"/>
                <w:szCs w:val="20"/>
                <w:color w:val="auto"/>
              </w:rPr>
            </w:pPr>
            <w:r>
              <w:rPr>
                <w:rFonts w:ascii="Courier New" w:cs="Courier New" w:eastAsia="Courier New" w:hAnsi="Courier New"/>
                <w:sz w:val="11"/>
                <w:szCs w:val="11"/>
                <w:color w:val="auto"/>
                <w:w w:val="71"/>
              </w:rPr>
              <w:t>assets.............................</w:t>
            </w:r>
          </w:p>
        </w:tc>
        <w:tc>
          <w:tcPr>
            <w:tcW w:w="2320" w:type="dxa"/>
            <w:vAlign w:val="bottom"/>
            <w:vMerge w:val="restart"/>
          </w:tcPr>
          <w:p>
            <w:pPr>
              <w:jc w:val="center"/>
              <w:ind w:right="532"/>
              <w:spacing w:after="0"/>
              <w:rPr>
                <w:sz w:val="20"/>
                <w:szCs w:val="20"/>
                <w:color w:val="auto"/>
              </w:rPr>
            </w:pPr>
            <w:r>
              <w:rPr>
                <w:rFonts w:ascii="Courier New" w:cs="Courier New" w:eastAsia="Courier New" w:hAnsi="Courier New"/>
                <w:sz w:val="18"/>
                <w:szCs w:val="18"/>
                <w:color w:val="auto"/>
                <w:w w:val="98"/>
              </w:rPr>
              <w:t>Foreign exchange</w:t>
            </w:r>
          </w:p>
        </w:tc>
        <w:tc>
          <w:tcPr>
            <w:tcW w:w="10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680" w:type="dxa"/>
            <w:vAlign w:val="bottom"/>
            <w:vMerge w:val="restart"/>
          </w:tcPr>
          <w:p>
            <w:pPr>
              <w:spacing w:after="0"/>
              <w:rPr>
                <w:sz w:val="20"/>
                <w:szCs w:val="20"/>
                <w:color w:val="auto"/>
              </w:rPr>
            </w:pPr>
            <w:r>
              <w:rPr>
                <w:rFonts w:ascii="Courier New" w:cs="Courier New" w:eastAsia="Courier New" w:hAnsi="Courier New"/>
                <w:sz w:val="18"/>
                <w:szCs w:val="18"/>
                <w:color w:val="auto"/>
              </w:rPr>
              <w:t>loss</w:t>
            </w:r>
          </w:p>
        </w:tc>
        <w:tc>
          <w:tcPr>
            <w:tcW w:w="2320" w:type="dxa"/>
            <w:vAlign w:val="bottom"/>
            <w:vMerge w:val="continue"/>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(107) -</w:t>
            </w:r>
          </w:p>
        </w:tc>
        <w:tc>
          <w:tcPr>
            <w:tcW w:w="0" w:type="dxa"/>
            <w:vAlign w:val="bottom"/>
          </w:tcPr>
          <w:p>
            <w:pPr>
              <w:spacing w:after="0"/>
              <w:rPr>
                <w:sz w:val="1"/>
                <w:szCs w:val="1"/>
                <w:color w:val="auto"/>
              </w:rPr>
            </w:pPr>
          </w:p>
        </w:tc>
      </w:tr>
      <w:tr>
        <w:trPr>
          <w:trHeight w:val="203"/>
        </w:trPr>
        <w:tc>
          <w:tcPr>
            <w:tcW w:w="1680" w:type="dxa"/>
            <w:vAlign w:val="bottom"/>
            <w:vMerge w:val="continue"/>
          </w:tcPr>
          <w:p>
            <w:pPr>
              <w:spacing w:after="0"/>
              <w:rPr>
                <w:sz w:val="17"/>
                <w:szCs w:val="17"/>
                <w:color w:val="auto"/>
              </w:rPr>
            </w:pPr>
          </w:p>
        </w:tc>
        <w:tc>
          <w:tcPr>
            <w:tcW w:w="2320" w:type="dxa"/>
            <w:vAlign w:val="bottom"/>
            <w:vMerge w:val="restart"/>
          </w:tcPr>
          <w:p>
            <w:pPr>
              <w:jc w:val="center"/>
              <w:ind w:right="532"/>
              <w:spacing w:after="0"/>
              <w:rPr>
                <w:sz w:val="20"/>
                <w:szCs w:val="20"/>
                <w:color w:val="auto"/>
              </w:rPr>
            </w:pPr>
            <w:r>
              <w:rPr>
                <w:rFonts w:ascii="Courier New" w:cs="Courier New" w:eastAsia="Courier New" w:hAnsi="Courier New"/>
                <w:sz w:val="18"/>
                <w:szCs w:val="18"/>
                <w:color w:val="auto"/>
                <w:w w:val="98"/>
              </w:rPr>
              <w:t>- Benefits</w:t>
            </w: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80" w:type="dxa"/>
            <w:vAlign w:val="bottom"/>
            <w:vMerge w:val="restart"/>
          </w:tcPr>
          <w:p>
            <w:pPr>
              <w:spacing w:after="0"/>
              <w:rPr>
                <w:sz w:val="20"/>
                <w:szCs w:val="20"/>
                <w:color w:val="auto"/>
              </w:rPr>
            </w:pPr>
            <w:r>
              <w:rPr>
                <w:rFonts w:ascii="Courier New" w:cs="Courier New" w:eastAsia="Courier New" w:hAnsi="Courier New"/>
                <w:sz w:val="18"/>
                <w:szCs w:val="18"/>
                <w:color w:val="auto"/>
              </w:rPr>
              <w:t>paid</w:t>
            </w:r>
          </w:p>
        </w:tc>
        <w:tc>
          <w:tcPr>
            <w:tcW w:w="2320" w:type="dxa"/>
            <w:vAlign w:val="bottom"/>
            <w:vMerge w:val="continue"/>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1680" w:type="dxa"/>
            <w:vAlign w:val="bottom"/>
            <w:vMerge w:val="continue"/>
          </w:tcPr>
          <w:p>
            <w:pPr>
              <w:spacing w:after="0"/>
              <w:rPr>
                <w:sz w:val="9"/>
                <w:szCs w:val="9"/>
                <w:color w:val="auto"/>
              </w:rPr>
            </w:pPr>
          </w:p>
        </w:tc>
        <w:tc>
          <w:tcPr>
            <w:tcW w:w="23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506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(14) -- -------- ------- Fair value of plan</w:t>
            </w:r>
          </w:p>
        </w:tc>
        <w:tc>
          <w:tcPr>
            <w:tcW w:w="0" w:type="dxa"/>
            <w:vAlign w:val="bottom"/>
          </w:tcPr>
          <w:p>
            <w:pPr>
              <w:spacing w:after="0"/>
              <w:rPr>
                <w:sz w:val="1"/>
                <w:szCs w:val="1"/>
                <w:color w:val="auto"/>
              </w:rPr>
            </w:pPr>
          </w:p>
        </w:tc>
      </w:tr>
      <w:tr>
        <w:trPr>
          <w:trHeight w:val="203"/>
        </w:trPr>
        <w:tc>
          <w:tcPr>
            <w:tcW w:w="4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assets as of September 30, 2003.......</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27,971 --</w:t>
            </w:r>
          </w:p>
        </w:tc>
        <w:tc>
          <w:tcPr>
            <w:tcW w:w="0" w:type="dxa"/>
            <w:vAlign w:val="bottom"/>
          </w:tcPr>
          <w:p>
            <w:pPr>
              <w:spacing w:after="0"/>
              <w:rPr>
                <w:sz w:val="1"/>
                <w:szCs w:val="1"/>
                <w:color w:val="auto"/>
              </w:rPr>
            </w:pPr>
          </w:p>
        </w:tc>
      </w:tr>
      <w:tr>
        <w:trPr>
          <w:trHeight w:val="203"/>
        </w:trPr>
        <w:tc>
          <w:tcPr>
            <w:tcW w:w="506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 ------- Change in benefit obligations:</w:t>
            </w:r>
          </w:p>
        </w:tc>
        <w:tc>
          <w:tcPr>
            <w:tcW w:w="0" w:type="dxa"/>
            <w:vAlign w:val="bottom"/>
          </w:tcPr>
          <w:p>
            <w:pPr>
              <w:spacing w:after="0"/>
              <w:rPr>
                <w:sz w:val="1"/>
                <w:szCs w:val="1"/>
                <w:color w:val="auto"/>
              </w:rPr>
            </w:pPr>
          </w:p>
        </w:tc>
      </w:tr>
      <w:tr>
        <w:trPr>
          <w:trHeight w:val="203"/>
        </w:trPr>
        <w:tc>
          <w:tcPr>
            <w:tcW w:w="506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Benefit obligations assumed in</w:t>
            </w:r>
          </w:p>
        </w:tc>
        <w:tc>
          <w:tcPr>
            <w:tcW w:w="0" w:type="dxa"/>
            <w:vAlign w:val="bottom"/>
          </w:tcPr>
          <w:p>
            <w:pPr>
              <w:spacing w:after="0"/>
              <w:rPr>
                <w:sz w:val="1"/>
                <w:szCs w:val="1"/>
                <w:color w:val="auto"/>
              </w:rPr>
            </w:pPr>
          </w:p>
        </w:tc>
      </w:tr>
      <w:tr>
        <w:trPr>
          <w:trHeight w:val="203"/>
        </w:trPr>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w w:val="70"/>
              </w:rPr>
              <w:t>acquisition...............</w:t>
            </w:r>
          </w:p>
        </w:tc>
        <w:tc>
          <w:tcPr>
            <w:tcW w:w="33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(37,400) (5,262)</w:t>
            </w:r>
          </w:p>
        </w:tc>
        <w:tc>
          <w:tcPr>
            <w:tcW w:w="0" w:type="dxa"/>
            <w:vAlign w:val="bottom"/>
          </w:tcPr>
          <w:p>
            <w:pPr>
              <w:spacing w:after="0"/>
              <w:rPr>
                <w:sz w:val="1"/>
                <w:szCs w:val="1"/>
                <w:color w:val="auto"/>
              </w:rPr>
            </w:pPr>
          </w:p>
        </w:tc>
      </w:tr>
      <w:tr>
        <w:trPr>
          <w:trHeight w:val="235"/>
        </w:trPr>
        <w:tc>
          <w:tcPr>
            <w:tcW w:w="1680" w:type="dxa"/>
            <w:vAlign w:val="bottom"/>
          </w:tcPr>
          <w:p>
            <w:pPr>
              <w:spacing w:after="0"/>
              <w:rPr>
                <w:sz w:val="20"/>
                <w:szCs w:val="20"/>
                <w:color w:val="auto"/>
              </w:rPr>
            </w:pPr>
          </w:p>
        </w:tc>
        <w:tc>
          <w:tcPr>
            <w:tcW w:w="2320" w:type="dxa"/>
            <w:vAlign w:val="bottom"/>
          </w:tcPr>
          <w:p>
            <w:pPr>
              <w:jc w:val="center"/>
              <w:ind w:right="532"/>
              <w:spacing w:after="0"/>
              <w:rPr>
                <w:sz w:val="20"/>
                <w:szCs w:val="20"/>
                <w:color w:val="auto"/>
              </w:rPr>
            </w:pPr>
            <w:r>
              <w:rPr>
                <w:rFonts w:ascii="Courier New" w:cs="Courier New" w:eastAsia="Courier New" w:hAnsi="Courier New"/>
                <w:sz w:val="18"/>
                <w:szCs w:val="18"/>
                <w:color w:val="auto"/>
                <w:w w:val="97"/>
              </w:rPr>
              <w:t>Service</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38" w:lineRule="auto"/>
        <w:rPr>
          <w:sz w:val="20"/>
          <w:szCs w:val="20"/>
          <w:color w:val="auto"/>
        </w:rPr>
      </w:pPr>
      <w:r>
        <w:rPr>
          <w:rFonts w:ascii="Courier New" w:cs="Courier New" w:eastAsia="Courier New" w:hAnsi="Courier New"/>
          <w:sz w:val="18"/>
          <w:szCs w:val="18"/>
          <w:color w:val="auto"/>
        </w:rPr>
        <w:t>costs............................................</w:t>
      </w:r>
    </w:p>
    <w:p>
      <w:pPr>
        <w:ind w:left="1000"/>
        <w:spacing w:after="0"/>
        <w:rPr>
          <w:sz w:val="20"/>
          <w:szCs w:val="20"/>
          <w:color w:val="auto"/>
        </w:rPr>
      </w:pPr>
      <w:r>
        <w:rPr>
          <w:rFonts w:ascii="Courier New" w:cs="Courier New" w:eastAsia="Courier New" w:hAnsi="Courier New"/>
          <w:sz w:val="18"/>
          <w:szCs w:val="18"/>
          <w:color w:val="auto"/>
        </w:rPr>
        <w:t>(493) (90) Interest on benefit</w:t>
      </w:r>
    </w:p>
    <w:tbl>
      <w:tblPr>
        <w:tblLayout w:type="fixed"/>
        <w:tblInd w:w="60" w:type="dxa"/>
        <w:tblCellMar>
          <w:top w:w="0" w:type="dxa"/>
          <w:left w:w="0" w:type="dxa"/>
          <w:bottom w:w="0" w:type="dxa"/>
          <w:right w:w="0" w:type="dxa"/>
        </w:tblCellMar>
      </w:tblPr>
      <w:tr>
        <w:trPr>
          <w:trHeight w:val="171"/>
        </w:trPr>
        <w:tc>
          <w:tcPr>
            <w:tcW w:w="1160" w:type="dxa"/>
            <w:vAlign w:val="bottom"/>
          </w:tcPr>
          <w:p>
            <w:pPr>
              <w:jc w:val="right"/>
              <w:spacing w:after="0" w:line="170" w:lineRule="exact"/>
              <w:rPr>
                <w:sz w:val="20"/>
                <w:szCs w:val="20"/>
                <w:color w:val="auto"/>
              </w:rPr>
            </w:pPr>
            <w:r>
              <w:rPr>
                <w:rFonts w:ascii="Courier New" w:cs="Courier New" w:eastAsia="Courier New" w:hAnsi="Courier New"/>
                <w:sz w:val="18"/>
                <w:szCs w:val="18"/>
                <w:color w:val="auto"/>
                <w:w w:val="95"/>
              </w:rPr>
              <w:t>obligations</w:t>
            </w:r>
          </w:p>
        </w:tc>
        <w:tc>
          <w:tcPr>
            <w:tcW w:w="3900" w:type="dxa"/>
            <w:vAlign w:val="bottom"/>
          </w:tcPr>
          <w:p>
            <w:pPr>
              <w:jc w:val="right"/>
              <w:spacing w:after="0" w:line="170" w:lineRule="exact"/>
              <w:rPr>
                <w:sz w:val="20"/>
                <w:szCs w:val="20"/>
                <w:color w:val="auto"/>
              </w:rPr>
            </w:pPr>
            <w:r>
              <w:rPr>
                <w:rFonts w:ascii="Courier New" w:cs="Courier New" w:eastAsia="Courier New" w:hAnsi="Courier New"/>
                <w:sz w:val="18"/>
                <w:szCs w:val="18"/>
                <w:color w:val="auto"/>
                <w:w w:val="97"/>
              </w:rPr>
              <w:t>.......................... (564) (98)</w:t>
            </w:r>
          </w:p>
        </w:tc>
        <w:tc>
          <w:tcPr>
            <w:tcW w:w="0" w:type="dxa"/>
            <w:vAlign w:val="bottom"/>
          </w:tcPr>
          <w:p>
            <w:pPr>
              <w:spacing w:after="0"/>
              <w:rPr>
                <w:sz w:val="1"/>
                <w:szCs w:val="1"/>
                <w:color w:val="auto"/>
              </w:rPr>
            </w:pPr>
          </w:p>
        </w:tc>
      </w:tr>
      <w:tr>
        <w:trPr>
          <w:trHeight w:val="203"/>
        </w:trPr>
        <w:tc>
          <w:tcPr>
            <w:tcW w:w="1160" w:type="dxa"/>
            <w:vAlign w:val="bottom"/>
            <w:vMerge w:val="restart"/>
          </w:tcPr>
          <w:p>
            <w:pPr>
              <w:jc w:val="right"/>
              <w:spacing w:after="0"/>
              <w:rPr>
                <w:sz w:val="20"/>
                <w:szCs w:val="20"/>
                <w:color w:val="auto"/>
              </w:rPr>
            </w:pPr>
            <w:r>
              <w:rPr>
                <w:rFonts w:ascii="Courier New" w:cs="Courier New" w:eastAsia="Courier New" w:hAnsi="Courier New"/>
                <w:sz w:val="5"/>
                <w:szCs w:val="5"/>
                <w:color w:val="auto"/>
                <w:w w:val="94"/>
              </w:rPr>
              <w:t>gain....................................</w:t>
            </w:r>
          </w:p>
        </w:tc>
        <w:tc>
          <w:tcPr>
            <w:tcW w:w="3900" w:type="dxa"/>
            <w:vAlign w:val="bottom"/>
          </w:tcPr>
          <w:p>
            <w:pPr>
              <w:jc w:val="center"/>
              <w:ind w:right="1072"/>
              <w:spacing w:after="0" w:line="203" w:lineRule="exact"/>
              <w:rPr>
                <w:sz w:val="20"/>
                <w:szCs w:val="20"/>
                <w:color w:val="auto"/>
              </w:rPr>
            </w:pPr>
            <w:r>
              <w:rPr>
                <w:rFonts w:ascii="Courier New" w:cs="Courier New" w:eastAsia="Courier New" w:hAnsi="Courier New"/>
                <w:sz w:val="18"/>
                <w:szCs w:val="18"/>
                <w:color w:val="auto"/>
                <w:w w:val="98"/>
              </w:rPr>
              <w:t>Foreign exchange</w:t>
            </w:r>
          </w:p>
        </w:tc>
        <w:tc>
          <w:tcPr>
            <w:tcW w:w="0" w:type="dxa"/>
            <w:vAlign w:val="bottom"/>
          </w:tcPr>
          <w:p>
            <w:pPr>
              <w:spacing w:after="0"/>
              <w:rPr>
                <w:sz w:val="1"/>
                <w:szCs w:val="1"/>
                <w:color w:val="auto"/>
              </w:rPr>
            </w:pPr>
          </w:p>
        </w:tc>
      </w:tr>
      <w:tr>
        <w:trPr>
          <w:trHeight w:val="203"/>
        </w:trPr>
        <w:tc>
          <w:tcPr>
            <w:tcW w:w="1160" w:type="dxa"/>
            <w:vAlign w:val="bottom"/>
            <w:vMerge w:val="continue"/>
          </w:tcPr>
          <w:p>
            <w:pPr>
              <w:spacing w:after="0"/>
              <w:rPr>
                <w:sz w:val="17"/>
                <w:szCs w:val="17"/>
                <w:color w:val="auto"/>
              </w:rPr>
            </w:pPr>
          </w:p>
        </w:tc>
        <w:tc>
          <w:tcPr>
            <w:tcW w:w="3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149 24</w:t>
            </w:r>
          </w:p>
        </w:tc>
        <w:tc>
          <w:tcPr>
            <w:tcW w:w="0" w:type="dxa"/>
            <w:vAlign w:val="bottom"/>
          </w:tcPr>
          <w:p>
            <w:pPr>
              <w:spacing w:after="0"/>
              <w:rPr>
                <w:sz w:val="1"/>
                <w:szCs w:val="1"/>
                <w:color w:val="auto"/>
              </w:rPr>
            </w:pPr>
          </w:p>
        </w:tc>
      </w:tr>
      <w:tr>
        <w:trPr>
          <w:trHeight w:val="296"/>
        </w:trPr>
        <w:tc>
          <w:tcPr>
            <w:tcW w:w="1160" w:type="dxa"/>
            <w:vAlign w:val="bottom"/>
            <w:vMerge w:val="restart"/>
          </w:tcPr>
          <w:p>
            <w:pPr>
              <w:jc w:val="right"/>
              <w:spacing w:after="0"/>
              <w:rPr>
                <w:sz w:val="20"/>
                <w:szCs w:val="20"/>
                <w:color w:val="auto"/>
              </w:rPr>
            </w:pPr>
            <w:r>
              <w:rPr>
                <w:rFonts w:ascii="Courier New" w:cs="Courier New" w:eastAsia="Courier New" w:hAnsi="Courier New"/>
                <w:sz w:val="5"/>
                <w:szCs w:val="5"/>
                <w:color w:val="auto"/>
                <w:w w:val="79"/>
              </w:rPr>
              <w:t>paid............................................</w:t>
            </w:r>
          </w:p>
        </w:tc>
        <w:tc>
          <w:tcPr>
            <w:tcW w:w="3900" w:type="dxa"/>
            <w:vAlign w:val="bottom"/>
          </w:tcPr>
          <w:p>
            <w:pPr>
              <w:jc w:val="center"/>
              <w:ind w:right="1092"/>
              <w:spacing w:after="0"/>
              <w:rPr>
                <w:sz w:val="20"/>
                <w:szCs w:val="20"/>
                <w:color w:val="auto"/>
              </w:rPr>
            </w:pPr>
            <w:r>
              <w:rPr>
                <w:rFonts w:ascii="Courier New" w:cs="Courier New" w:eastAsia="Courier New" w:hAnsi="Courier New"/>
                <w:sz w:val="18"/>
                <w:szCs w:val="18"/>
                <w:color w:val="auto"/>
                <w:w w:val="97"/>
              </w:rPr>
              <w:t>Benefits</w:t>
            </w:r>
          </w:p>
        </w:tc>
        <w:tc>
          <w:tcPr>
            <w:tcW w:w="0" w:type="dxa"/>
            <w:vAlign w:val="bottom"/>
          </w:tcPr>
          <w:p>
            <w:pPr>
              <w:spacing w:after="0"/>
              <w:rPr>
                <w:sz w:val="1"/>
                <w:szCs w:val="1"/>
                <w:color w:val="auto"/>
              </w:rPr>
            </w:pPr>
          </w:p>
        </w:tc>
      </w:tr>
      <w:tr>
        <w:trPr>
          <w:trHeight w:val="141"/>
        </w:trPr>
        <w:tc>
          <w:tcPr>
            <w:tcW w:w="1160" w:type="dxa"/>
            <w:vAlign w:val="bottom"/>
            <w:vMerge w:val="continue"/>
          </w:tcPr>
          <w:p>
            <w:pPr>
              <w:spacing w:after="0"/>
              <w:rPr>
                <w:sz w:val="12"/>
                <w:szCs w:val="12"/>
                <w:color w:val="auto"/>
              </w:rPr>
            </w:pPr>
          </w:p>
        </w:tc>
        <w:tc>
          <w:tcPr>
            <w:tcW w:w="39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60"/>
        <w:spacing w:after="0" w:line="238" w:lineRule="auto"/>
        <w:rPr>
          <w:sz w:val="20"/>
          <w:szCs w:val="20"/>
          <w:color w:val="auto"/>
        </w:rPr>
      </w:pPr>
      <w:r>
        <w:rPr>
          <w:rFonts w:ascii="Courier New" w:cs="Courier New" w:eastAsia="Courier New" w:hAnsi="Courier New"/>
          <w:sz w:val="18"/>
          <w:szCs w:val="18"/>
          <w:color w:val="auto"/>
        </w:rPr>
        <w:t>14 -- -------- ------- Benefit obligations as of</w:t>
      </w:r>
    </w:p>
    <w:tbl>
      <w:tblPr>
        <w:tblLayout w:type="fixed"/>
        <w:tblInd w:w="60" w:type="dxa"/>
        <w:tblCellMar>
          <w:top w:w="0" w:type="dxa"/>
          <w:left w:w="0" w:type="dxa"/>
          <w:bottom w:w="0" w:type="dxa"/>
          <w:right w:w="0" w:type="dxa"/>
        </w:tblCellMar>
      </w:tblPr>
      <w:tr>
        <w:trPr>
          <w:trHeight w:val="171"/>
        </w:trPr>
        <w:tc>
          <w:tcPr>
            <w:tcW w:w="3160" w:type="dxa"/>
            <w:vAlign w:val="bottom"/>
            <w:gridSpan w:val="2"/>
          </w:tcPr>
          <w:p>
            <w:pPr>
              <w:spacing w:after="0" w:line="171" w:lineRule="exact"/>
              <w:rPr>
                <w:sz w:val="20"/>
                <w:szCs w:val="20"/>
                <w:color w:val="auto"/>
              </w:rPr>
            </w:pPr>
            <w:r>
              <w:rPr>
                <w:rFonts w:ascii="Courier New" w:cs="Courier New" w:eastAsia="Courier New" w:hAnsi="Courier New"/>
                <w:sz w:val="18"/>
                <w:szCs w:val="18"/>
                <w:color w:val="auto"/>
                <w:w w:val="93"/>
              </w:rPr>
              <w:t>September 30, 2003.............</w:t>
            </w:r>
          </w:p>
        </w:tc>
        <w:tc>
          <w:tcPr>
            <w:tcW w:w="1900" w:type="dxa"/>
            <w:vAlign w:val="bottom"/>
            <w:gridSpan w:val="2"/>
          </w:tcPr>
          <w:p>
            <w:pPr>
              <w:jc w:val="right"/>
              <w:spacing w:after="0" w:line="171" w:lineRule="exact"/>
              <w:rPr>
                <w:sz w:val="20"/>
                <w:szCs w:val="20"/>
                <w:color w:val="auto"/>
              </w:rPr>
            </w:pPr>
            <w:r>
              <w:rPr>
                <w:rFonts w:ascii="Courier New" w:cs="Courier New" w:eastAsia="Courier New" w:hAnsi="Courier New"/>
                <w:sz w:val="18"/>
                <w:szCs w:val="18"/>
                <w:color w:val="auto"/>
              </w:rPr>
              <w:t>(38,294) (5,426)</w:t>
            </w:r>
          </w:p>
        </w:tc>
        <w:tc>
          <w:tcPr>
            <w:tcW w:w="0" w:type="dxa"/>
            <w:vAlign w:val="bottom"/>
          </w:tcPr>
          <w:p>
            <w:pPr>
              <w:spacing w:after="0"/>
              <w:rPr>
                <w:sz w:val="1"/>
                <w:szCs w:val="1"/>
                <w:color w:val="auto"/>
              </w:rPr>
            </w:pPr>
          </w:p>
        </w:tc>
      </w:tr>
      <w:tr>
        <w:trPr>
          <w:trHeight w:val="203"/>
        </w:trPr>
        <w:tc>
          <w:tcPr>
            <w:tcW w:w="520" w:type="dxa"/>
            <w:vAlign w:val="bottom"/>
            <w:vMerge w:val="restart"/>
          </w:tcPr>
          <w:p>
            <w:pPr>
              <w:jc w:val="right"/>
              <w:spacing w:after="0"/>
              <w:rPr>
                <w:sz w:val="20"/>
                <w:szCs w:val="20"/>
                <w:color w:val="auto"/>
              </w:rPr>
            </w:pPr>
            <w:r>
              <w:rPr>
                <w:rFonts w:ascii="Courier New" w:cs="Courier New" w:eastAsia="Courier New" w:hAnsi="Courier New"/>
                <w:sz w:val="11"/>
                <w:szCs w:val="11"/>
                <w:color w:val="auto"/>
                <w:w w:val="75"/>
              </w:rPr>
              <w:t>--------</w:t>
            </w:r>
            <w:r>
              <w:rPr>
                <w:rFonts w:ascii="Courier New" w:cs="Courier New" w:eastAsia="Courier New" w:hAnsi="Courier New"/>
                <w:sz w:val="17"/>
                <w:szCs w:val="17"/>
                <w:color w:val="auto"/>
                <w:w w:val="75"/>
                <w:vertAlign w:val="subscript"/>
              </w:rPr>
              <w:t>of</w:t>
            </w:r>
          </w:p>
        </w:tc>
        <w:tc>
          <w:tcPr>
            <w:tcW w:w="4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Funded status-plan deficit as</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 w:type="dxa"/>
            <w:vAlign w:val="bottom"/>
            <w:vMerge w:val="continue"/>
          </w:tcPr>
          <w:p>
            <w:pPr>
              <w:spacing w:after="0"/>
              <w:rPr>
                <w:sz w:val="17"/>
                <w:szCs w:val="17"/>
                <w:color w:val="auto"/>
              </w:rPr>
            </w:pPr>
          </w:p>
        </w:tc>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September 30, 2003......</w:t>
            </w:r>
          </w:p>
        </w:tc>
        <w:tc>
          <w:tcPr>
            <w:tcW w:w="1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6"/>
              </w:rPr>
              <w:t>(10,323) (5,426)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 w:type="dxa"/>
            <w:vAlign w:val="bottom"/>
            <w:vMerge w:val="restart"/>
          </w:tcPr>
          <w:p>
            <w:pPr>
              <w:jc w:val="right"/>
              <w:spacing w:after="0"/>
              <w:rPr>
                <w:sz w:val="20"/>
                <w:szCs w:val="20"/>
                <w:color w:val="auto"/>
              </w:rPr>
            </w:pPr>
            <w:r>
              <w:rPr>
                <w:rFonts w:ascii="Courier New" w:cs="Courier New" w:eastAsia="Courier New" w:hAnsi="Courier New"/>
                <w:sz w:val="2"/>
                <w:szCs w:val="2"/>
                <w:color w:val="auto"/>
              </w:rPr>
              <w:t>loss....................................</w:t>
            </w:r>
          </w:p>
        </w:tc>
        <w:tc>
          <w:tcPr>
            <w:tcW w:w="4440" w:type="dxa"/>
            <w:vAlign w:val="bottom"/>
            <w:gridSpan w:val="2"/>
          </w:tcPr>
          <w:p>
            <w:pPr>
              <w:jc w:val="right"/>
              <w:ind w:right="1492"/>
              <w:spacing w:after="0" w:line="203" w:lineRule="exact"/>
              <w:rPr>
                <w:sz w:val="20"/>
                <w:szCs w:val="20"/>
                <w:color w:val="auto"/>
              </w:rPr>
            </w:pPr>
            <w:r>
              <w:rPr>
                <w:rFonts w:ascii="Courier New" w:cs="Courier New" w:eastAsia="Courier New" w:hAnsi="Courier New"/>
                <w:sz w:val="18"/>
                <w:szCs w:val="18"/>
                <w:color w:val="auto"/>
              </w:rPr>
              <w:t>Unrecognized net</w:t>
            </w:r>
          </w:p>
        </w:tc>
        <w:tc>
          <w:tcPr>
            <w:tcW w:w="1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73"/>
              </w:rPr>
              <w:t>-</w:t>
            </w:r>
          </w:p>
        </w:tc>
        <w:tc>
          <w:tcPr>
            <w:tcW w:w="0" w:type="dxa"/>
            <w:vAlign w:val="bottom"/>
          </w:tcPr>
          <w:p>
            <w:pPr>
              <w:spacing w:after="0"/>
              <w:rPr>
                <w:sz w:val="1"/>
                <w:szCs w:val="1"/>
                <w:color w:val="auto"/>
              </w:rPr>
            </w:pPr>
          </w:p>
        </w:tc>
      </w:tr>
      <w:tr>
        <w:trPr>
          <w:trHeight w:val="235"/>
        </w:trPr>
        <w:tc>
          <w:tcPr>
            <w:tcW w:w="520" w:type="dxa"/>
            <w:vAlign w:val="bottom"/>
            <w:vMerge w:val="continue"/>
          </w:tcPr>
          <w:p>
            <w:pPr>
              <w:spacing w:after="0"/>
              <w:rPr>
                <w:sz w:val="20"/>
                <w:szCs w:val="20"/>
                <w:color w:val="auto"/>
              </w:rPr>
            </w:pPr>
          </w:p>
        </w:tc>
        <w:tc>
          <w:tcPr>
            <w:tcW w:w="2640" w:type="dxa"/>
            <w:vAlign w:val="bottom"/>
          </w:tcPr>
          <w:p>
            <w:pPr>
              <w:spacing w:after="0"/>
              <w:rPr>
                <w:sz w:val="20"/>
                <w:szCs w:val="20"/>
                <w:color w:val="auto"/>
              </w:rPr>
            </w:pPr>
          </w:p>
        </w:tc>
        <w:tc>
          <w:tcPr>
            <w:tcW w:w="18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(623)</w:t>
            </w:r>
          </w:p>
        </w:tc>
        <w:tc>
          <w:tcPr>
            <w:tcW w:w="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ind w:left="160"/>
        <w:spacing w:after="0" w:line="238" w:lineRule="auto"/>
        <w:rPr>
          <w:sz w:val="20"/>
          <w:szCs w:val="20"/>
          <w:color w:val="auto"/>
        </w:rPr>
      </w:pPr>
      <w:r>
        <w:rPr>
          <w:rFonts w:ascii="Courier New" w:cs="Courier New" w:eastAsia="Courier New" w:hAnsi="Courier New"/>
          <w:sz w:val="18"/>
          <w:szCs w:val="18"/>
          <w:color w:val="auto"/>
        </w:rPr>
        <w:t>- -------- ------- Accrued benefit costs as of</w:t>
      </w:r>
    </w:p>
    <w:tbl>
      <w:tblPr>
        <w:tblLayout w:type="fixed"/>
        <w:tblInd w:w="60" w:type="dxa"/>
        <w:tblCellMar>
          <w:top w:w="0" w:type="dxa"/>
          <w:left w:w="0" w:type="dxa"/>
          <w:bottom w:w="0" w:type="dxa"/>
          <w:right w:w="0" w:type="dxa"/>
        </w:tblCellMar>
      </w:tblPr>
      <w:tr>
        <w:trPr>
          <w:trHeight w:val="171"/>
        </w:trPr>
        <w:tc>
          <w:tcPr>
            <w:tcW w:w="3100" w:type="dxa"/>
            <w:vAlign w:val="bottom"/>
          </w:tcPr>
          <w:p>
            <w:pPr>
              <w:spacing w:after="0" w:line="171" w:lineRule="exact"/>
              <w:rPr>
                <w:sz w:val="20"/>
                <w:szCs w:val="20"/>
                <w:color w:val="auto"/>
              </w:rPr>
            </w:pPr>
            <w:r>
              <w:rPr>
                <w:rFonts w:ascii="Courier New" w:cs="Courier New" w:eastAsia="Courier New" w:hAnsi="Courier New"/>
                <w:sz w:val="18"/>
                <w:szCs w:val="18"/>
                <w:color w:val="auto"/>
                <w:w w:val="98"/>
              </w:rPr>
              <w:t>September 30, 2003...........</w:t>
            </w:r>
          </w:p>
        </w:tc>
        <w:tc>
          <w:tcPr>
            <w:tcW w:w="1060" w:type="dxa"/>
            <w:vAlign w:val="bottom"/>
          </w:tcPr>
          <w:p>
            <w:pPr>
              <w:jc w:val="right"/>
              <w:spacing w:after="0" w:line="171" w:lineRule="exact"/>
              <w:rPr>
                <w:sz w:val="20"/>
                <w:szCs w:val="20"/>
                <w:color w:val="auto"/>
              </w:rPr>
            </w:pPr>
            <w:r>
              <w:rPr>
                <w:rFonts w:ascii="Courier New" w:cs="Courier New" w:eastAsia="Courier New" w:hAnsi="Courier New"/>
                <w:sz w:val="18"/>
                <w:szCs w:val="18"/>
                <w:color w:val="auto"/>
              </w:rPr>
              <w:t>$(10,946)</w:t>
            </w:r>
          </w:p>
        </w:tc>
        <w:tc>
          <w:tcPr>
            <w:tcW w:w="900" w:type="dxa"/>
            <w:vAlign w:val="bottom"/>
          </w:tcPr>
          <w:p>
            <w:pPr>
              <w:jc w:val="right"/>
              <w:spacing w:after="0" w:line="171" w:lineRule="exact"/>
              <w:rPr>
                <w:sz w:val="20"/>
                <w:szCs w:val="20"/>
                <w:color w:val="auto"/>
              </w:rPr>
            </w:pPr>
            <w:r>
              <w:rPr>
                <w:rFonts w:ascii="Courier New" w:cs="Courier New" w:eastAsia="Courier New" w:hAnsi="Courier New"/>
                <w:sz w:val="18"/>
                <w:szCs w:val="18"/>
                <w:color w:val="auto"/>
              </w:rPr>
              <w:t>$(5,426)</w:t>
            </w:r>
          </w:p>
        </w:tc>
      </w:tr>
      <w:tr>
        <w:trPr>
          <w:trHeight w:val="296"/>
        </w:trPr>
        <w:tc>
          <w:tcPr>
            <w:tcW w:w="4160" w:type="dxa"/>
            <w:vAlign w:val="bottom"/>
            <w:gridSpan w:val="2"/>
          </w:tcPr>
          <w:p>
            <w:pPr>
              <w:jc w:val="right"/>
              <w:ind w:right="692"/>
              <w:spacing w:after="0"/>
              <w:rPr>
                <w:sz w:val="20"/>
                <w:szCs w:val="20"/>
                <w:color w:val="auto"/>
              </w:rPr>
            </w:pPr>
            <w:r>
              <w:rPr>
                <w:rFonts w:ascii="Courier New" w:cs="Courier New" w:eastAsia="Courier New" w:hAnsi="Courier New"/>
                <w:sz w:val="18"/>
                <w:szCs w:val="18"/>
                <w:color w:val="auto"/>
              </w:rPr>
              <w:t>======== =======</w:t>
            </w:r>
          </w:p>
        </w:tc>
        <w:tc>
          <w:tcPr>
            <w:tcW w:w="900" w:type="dxa"/>
            <w:vAlign w:val="bottom"/>
          </w:tcPr>
          <w:p>
            <w:pPr>
              <w:spacing w:after="0"/>
              <w:rPr>
                <w:sz w:val="24"/>
                <w:szCs w:val="24"/>
                <w:color w:val="auto"/>
              </w:rPr>
            </w:pPr>
          </w:p>
        </w:tc>
      </w:tr>
    </w:tbl>
    <w:p>
      <w:pPr>
        <w:spacing w:after="0" w:line="311" w:lineRule="exact"/>
        <w:rPr>
          <w:sz w:val="20"/>
          <w:szCs w:val="20"/>
          <w:color w:val="auto"/>
        </w:rPr>
      </w:pPr>
    </w:p>
    <w:p>
      <w:pPr>
        <w:ind w:right="1879" w:firstLine="527"/>
        <w:spacing w:after="0" w:line="347" w:lineRule="auto"/>
        <w:rPr>
          <w:sz w:val="20"/>
          <w:szCs w:val="20"/>
          <w:color w:val="auto"/>
        </w:rPr>
      </w:pPr>
      <w:r>
        <w:rPr>
          <w:rFonts w:ascii="Courier New" w:cs="Courier New" w:eastAsia="Courier New" w:hAnsi="Courier New"/>
          <w:sz w:val="18"/>
          <w:szCs w:val="18"/>
          <w:color w:val="auto"/>
        </w:rPr>
        <w:t>The significant assumptions adopted in measuring the Canadian subsidiary's pension and other benefit obligations were as follows:</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00" w:type="dxa"/>
            <w:vAlign w:val="bottom"/>
          </w:tcPr>
          <w:p>
            <w:pPr>
              <w:jc w:val="right"/>
              <w:spacing w:after="0"/>
              <w:rPr>
                <w:sz w:val="20"/>
                <w:szCs w:val="20"/>
                <w:color w:val="auto"/>
              </w:rPr>
            </w:pPr>
            <w:r>
              <w:rPr>
                <w:rFonts w:ascii="Courier New" w:cs="Courier New" w:eastAsia="Courier New" w:hAnsi="Courier New"/>
                <w:sz w:val="18"/>
                <w:szCs w:val="18"/>
                <w:color w:val="auto"/>
                <w:w w:val="97"/>
              </w:rPr>
              <w:t>Weighted</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rPr>
              <w:t>average</w:t>
            </w:r>
          </w:p>
        </w:tc>
        <w:tc>
          <w:tcPr>
            <w:tcW w:w="3260" w:type="dxa"/>
            <w:vAlign w:val="bottom"/>
          </w:tcPr>
          <w:p>
            <w:pPr>
              <w:spacing w:after="0"/>
              <w:rPr>
                <w:sz w:val="20"/>
                <w:szCs w:val="20"/>
                <w:color w:val="auto"/>
              </w:rPr>
            </w:pPr>
            <w:r>
              <w:rPr>
                <w:rFonts w:ascii="Courier New" w:cs="Courier New" w:eastAsia="Courier New" w:hAnsi="Courier New"/>
                <w:sz w:val="18"/>
                <w:szCs w:val="18"/>
                <w:color w:val="auto"/>
                <w:w w:val="99"/>
              </w:rPr>
              <w:t>discount rate.................</w:t>
            </w:r>
          </w:p>
        </w:tc>
        <w:tc>
          <w:tcPr>
            <w:tcW w:w="540" w:type="dxa"/>
            <w:vAlign w:val="bottom"/>
          </w:tcPr>
          <w:p>
            <w:pPr>
              <w:ind w:left="100"/>
              <w:spacing w:after="0"/>
              <w:rPr>
                <w:sz w:val="20"/>
                <w:szCs w:val="20"/>
                <w:color w:val="auto"/>
              </w:rPr>
            </w:pPr>
            <w:r>
              <w:rPr>
                <w:rFonts w:ascii="Courier New" w:cs="Courier New" w:eastAsia="Courier New" w:hAnsi="Courier New"/>
                <w:sz w:val="18"/>
                <w:szCs w:val="18"/>
                <w:color w:val="auto"/>
                <w:w w:val="97"/>
              </w:rPr>
              <w:t>6.5%</w:t>
            </w:r>
          </w:p>
        </w:tc>
        <w:tc>
          <w:tcPr>
            <w:tcW w:w="0" w:type="dxa"/>
            <w:vAlign w:val="bottom"/>
          </w:tcPr>
          <w:p>
            <w:pPr>
              <w:spacing w:after="0"/>
              <w:rPr>
                <w:sz w:val="1"/>
                <w:szCs w:val="1"/>
                <w:color w:val="auto"/>
              </w:rPr>
            </w:pPr>
          </w:p>
        </w:tc>
      </w:tr>
      <w:tr>
        <w:trPr>
          <w:trHeight w:val="203"/>
        </w:trPr>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Weighted</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average</w:t>
            </w:r>
          </w:p>
        </w:tc>
        <w:tc>
          <w:tcPr>
            <w:tcW w:w="3260" w:type="dxa"/>
            <w:vAlign w:val="bottom"/>
          </w:tcPr>
          <w:p>
            <w:pPr>
              <w:spacing w:after="0" w:line="203" w:lineRule="exact"/>
              <w:rPr>
                <w:sz w:val="20"/>
                <w:szCs w:val="20"/>
                <w:color w:val="auto"/>
              </w:rPr>
            </w:pPr>
            <w:r>
              <w:rPr>
                <w:rFonts w:ascii="Courier New" w:cs="Courier New" w:eastAsia="Courier New" w:hAnsi="Courier New"/>
                <w:sz w:val="18"/>
                <w:szCs w:val="18"/>
                <w:color w:val="auto"/>
              </w:rPr>
              <w:t>expected long-term rate of</w:t>
            </w:r>
          </w:p>
        </w:tc>
        <w:tc>
          <w:tcPr>
            <w:tcW w:w="54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7.5</w:t>
            </w:r>
          </w:p>
        </w:tc>
        <w:tc>
          <w:tcPr>
            <w:tcW w:w="0" w:type="dxa"/>
            <w:vAlign w:val="bottom"/>
          </w:tcPr>
          <w:p>
            <w:pPr>
              <w:spacing w:after="0"/>
              <w:rPr>
                <w:sz w:val="1"/>
                <w:szCs w:val="1"/>
                <w:color w:val="auto"/>
              </w:rPr>
            </w:pPr>
          </w:p>
        </w:tc>
      </w:tr>
      <w:tr>
        <w:trPr>
          <w:trHeight w:val="203"/>
        </w:trPr>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return</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on plan</w:t>
            </w:r>
          </w:p>
        </w:tc>
        <w:tc>
          <w:tcPr>
            <w:tcW w:w="32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assets........................</w:t>
            </w:r>
          </w:p>
        </w:tc>
        <w:tc>
          <w:tcPr>
            <w:tcW w:w="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Weighted</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average</w:t>
            </w:r>
          </w:p>
        </w:tc>
        <w:tc>
          <w:tcPr>
            <w:tcW w:w="3260" w:type="dxa"/>
            <w:vAlign w:val="bottom"/>
          </w:tcPr>
          <w:p>
            <w:pPr>
              <w:spacing w:after="0" w:line="203" w:lineRule="exact"/>
              <w:rPr>
                <w:sz w:val="20"/>
                <w:szCs w:val="20"/>
                <w:color w:val="auto"/>
              </w:rPr>
            </w:pPr>
            <w:r>
              <w:rPr>
                <w:rFonts w:ascii="Courier New" w:cs="Courier New" w:eastAsia="Courier New" w:hAnsi="Courier New"/>
                <w:sz w:val="18"/>
                <w:szCs w:val="18"/>
                <w:color w:val="auto"/>
              </w:rPr>
              <w:t>rate of compensation</w:t>
            </w:r>
          </w:p>
        </w:tc>
        <w:tc>
          <w:tcPr>
            <w:tcW w:w="54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3.5</w:t>
            </w:r>
          </w:p>
        </w:tc>
        <w:tc>
          <w:tcPr>
            <w:tcW w:w="0" w:type="dxa"/>
            <w:vAlign w:val="bottom"/>
          </w:tcPr>
          <w:p>
            <w:pPr>
              <w:spacing w:after="0"/>
              <w:rPr>
                <w:sz w:val="1"/>
                <w:szCs w:val="1"/>
                <w:color w:val="auto"/>
              </w:rPr>
            </w:pPr>
          </w:p>
        </w:tc>
      </w:tr>
      <w:tr>
        <w:trPr>
          <w:trHeight w:val="296"/>
        </w:trPr>
        <w:tc>
          <w:tcPr>
            <w:tcW w:w="5060" w:type="dxa"/>
            <w:vAlign w:val="bottom"/>
            <w:gridSpan w:val="3"/>
          </w:tcPr>
          <w:p>
            <w:pPr>
              <w:ind w:left="220"/>
              <w:spacing w:after="0"/>
              <w:rPr>
                <w:sz w:val="20"/>
                <w:szCs w:val="20"/>
                <w:color w:val="auto"/>
              </w:rPr>
            </w:pPr>
            <w:r>
              <w:rPr>
                <w:rFonts w:ascii="Courier New" w:cs="Courier New" w:eastAsia="Courier New" w:hAnsi="Courier New"/>
                <w:sz w:val="18"/>
                <w:szCs w:val="18"/>
                <w:color w:val="auto"/>
                <w:w w:val="99"/>
              </w:rPr>
              <w:t>increase.....................................</w:t>
            </w:r>
          </w:p>
        </w:tc>
        <w:tc>
          <w:tcPr>
            <w:tcW w:w="5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ind w:right="1879" w:firstLine="527"/>
        <w:spacing w:after="0" w:line="274" w:lineRule="auto"/>
        <w:rPr>
          <w:sz w:val="20"/>
          <w:szCs w:val="20"/>
          <w:color w:val="auto"/>
        </w:rPr>
      </w:pPr>
      <w:r>
        <w:rPr>
          <w:rFonts w:ascii="Courier New" w:cs="Courier New" w:eastAsia="Courier New" w:hAnsi="Courier New"/>
          <w:sz w:val="18"/>
          <w:szCs w:val="18"/>
          <w:color w:val="auto"/>
        </w:rPr>
        <w:t>For measurement purposes, a 4.5% annual rate of increase in the per capita cost of covered health care benefits (the health care cost trend rate) was assumed for the year ended September 30, 2003 (commencing July 2, 2003), except for the cost of medication, which was assumed to increase 10.5%</w:t>
      </w:r>
    </w:p>
    <w:p>
      <w:pPr>
        <w:sectPr>
          <w:pgSz w:w="11900" w:h="16838" w:orient="portrait"/>
          <w:cols w:equalWidth="0" w:num="1">
            <w:col w:w="10219"/>
          </w:cols>
          <w:pgMar w:left="240" w:top="488" w:right="1440" w:bottom="0" w:gutter="0" w:footer="0" w:header="0"/>
        </w:sectPr>
      </w:pPr>
    </w:p>
    <w:bookmarkStart w:id="112" w:name="page113"/>
    <w:bookmarkEnd w:id="112"/>
    <w:p>
      <w:pPr>
        <w:ind w:left="2920"/>
        <w:spacing w:after="0"/>
        <w:rPr>
          <w:sz w:val="20"/>
          <w:szCs w:val="20"/>
          <w:color w:val="auto"/>
        </w:rPr>
      </w:pPr>
      <w:r>
        <w:rPr>
          <w:rFonts w:ascii="Courier New" w:cs="Courier New" w:eastAsia="Courier New" w:hAnsi="Courier New"/>
          <w:sz w:val="16"/>
          <w:szCs w:val="16"/>
          <w:color w:val="auto"/>
        </w:rPr>
        <w:t>F-30</w:t>
      </w:r>
    </w:p>
    <w:p>
      <w:pPr>
        <w:sectPr>
          <w:pgSz w:w="11900" w:h="16838" w:orient="portrait"/>
          <w:cols w:equalWidth="0" w:num="1">
            <w:col w:w="9019"/>
          </w:cols>
          <w:pgMar w:left="1440" w:top="312" w:right="1440" w:bottom="1440" w:gutter="0" w:footer="0" w:header="0"/>
        </w:sectPr>
      </w:pPr>
    </w:p>
    <w:bookmarkStart w:id="113" w:name="page114"/>
    <w:bookmarkEnd w:id="113"/>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3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(IN THOUSANDS, EXCEPT PER SHARE DATA)</w:t>
      </w:r>
    </w:p>
    <w:p>
      <w:pPr>
        <w:spacing w:after="0" w:line="169" w:lineRule="exact"/>
        <w:rPr>
          <w:sz w:val="20"/>
          <w:szCs w:val="20"/>
          <w:color w:val="auto"/>
        </w:rPr>
      </w:pPr>
    </w:p>
    <w:p>
      <w:pPr>
        <w:ind w:right="1779"/>
        <w:spacing w:after="0" w:line="347" w:lineRule="auto"/>
        <w:rPr>
          <w:sz w:val="20"/>
          <w:szCs w:val="20"/>
          <w:color w:val="auto"/>
        </w:rPr>
      </w:pPr>
      <w:r>
        <w:rPr>
          <w:rFonts w:ascii="Courier New" w:cs="Courier New" w:eastAsia="Courier New" w:hAnsi="Courier New"/>
          <w:sz w:val="18"/>
          <w:szCs w:val="18"/>
          <w:color w:val="auto"/>
        </w:rPr>
        <w:t>annual rate for 2003. This rate was assumed to gradually decline to 4.5% by 2008 and remain stable thereafter.</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17 -- CAPITAL TRANSACTIONS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following are details of the Ordinary Shares issued and outstanding:</w:t>
      </w:r>
    </w:p>
    <w:p>
      <w:pPr>
        <w:spacing w:after="0" w:line="201"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AS OF SEPTEMBER 30, -------------------</w:t>
      </w:r>
    </w:p>
    <w:tbl>
      <w:tblPr>
        <w:tblLayout w:type="fixed"/>
        <w:tblInd w:w="0" w:type="dxa"/>
        <w:tblCellMar>
          <w:top w:w="0" w:type="dxa"/>
          <w:left w:w="0" w:type="dxa"/>
          <w:bottom w:w="0" w:type="dxa"/>
          <w:right w:w="0" w:type="dxa"/>
        </w:tblCellMar>
      </w:tblPr>
      <w:tr>
        <w:trPr>
          <w:trHeight w:val="201"/>
        </w:trPr>
        <w:tc>
          <w:tcPr>
            <w:tcW w:w="1740" w:type="dxa"/>
            <w:vAlign w:val="bottom"/>
          </w:tcPr>
          <w:p>
            <w:pPr>
              <w:jc w:val="right"/>
              <w:spacing w:after="0" w:line="201" w:lineRule="exact"/>
              <w:rPr>
                <w:sz w:val="20"/>
                <w:szCs w:val="20"/>
                <w:color w:val="auto"/>
              </w:rPr>
            </w:pPr>
            <w:r>
              <w:rPr>
                <w:rFonts w:ascii="Courier New" w:cs="Courier New" w:eastAsia="Courier New" w:hAnsi="Courier New"/>
                <w:sz w:val="18"/>
                <w:szCs w:val="18"/>
                <w:color w:val="auto"/>
                <w:w w:val="88"/>
              </w:rPr>
              <w:t>2003 2002 --------</w:t>
            </w:r>
          </w:p>
        </w:tc>
        <w:tc>
          <w:tcPr>
            <w:tcW w:w="2640" w:type="dxa"/>
            <w:vAlign w:val="bottom"/>
          </w:tcPr>
          <w:p>
            <w:pPr>
              <w:jc w:val="right"/>
              <w:ind w:right="292"/>
              <w:spacing w:after="0" w:line="201" w:lineRule="exact"/>
              <w:rPr>
                <w:sz w:val="20"/>
                <w:szCs w:val="20"/>
                <w:color w:val="auto"/>
              </w:rPr>
            </w:pPr>
            <w:r>
              <w:rPr>
                <w:rFonts w:ascii="Courier New" w:cs="Courier New" w:eastAsia="Courier New" w:hAnsi="Courier New"/>
                <w:sz w:val="18"/>
                <w:szCs w:val="18"/>
                <w:color w:val="auto"/>
              </w:rPr>
              <w:t>-------- Voting</w:t>
            </w:r>
          </w:p>
        </w:tc>
        <w:tc>
          <w:tcPr>
            <w:tcW w:w="0" w:type="dxa"/>
            <w:vAlign w:val="bottom"/>
          </w:tcPr>
          <w:p>
            <w:pPr>
              <w:spacing w:after="0"/>
              <w:rPr>
                <w:sz w:val="1"/>
                <w:szCs w:val="1"/>
                <w:color w:val="auto"/>
              </w:rPr>
            </w:pPr>
          </w:p>
        </w:tc>
      </w:tr>
      <w:tr>
        <w:trPr>
          <w:trHeight w:val="296"/>
        </w:trPr>
        <w:tc>
          <w:tcPr>
            <w:tcW w:w="1740" w:type="dxa"/>
            <w:vAlign w:val="bottom"/>
            <w:vMerge w:val="restart"/>
          </w:tcPr>
          <w:p>
            <w:pPr>
              <w:jc w:val="right"/>
              <w:spacing w:after="0"/>
              <w:rPr>
                <w:sz w:val="20"/>
                <w:szCs w:val="20"/>
                <w:color w:val="auto"/>
              </w:rPr>
            </w:pPr>
            <w:r>
              <w:rPr>
                <w:rFonts w:ascii="Courier New" w:cs="Courier New" w:eastAsia="Courier New" w:hAnsi="Courier New"/>
                <w:sz w:val="9"/>
                <w:szCs w:val="9"/>
                <w:color w:val="auto"/>
                <w:w w:val="75"/>
              </w:rPr>
              <w:t>Shares....................................</w:t>
            </w:r>
          </w:p>
        </w:tc>
        <w:tc>
          <w:tcPr>
            <w:tcW w:w="2640" w:type="dxa"/>
            <w:vAlign w:val="bottom"/>
          </w:tcPr>
          <w:p>
            <w:pPr>
              <w:jc w:val="center"/>
              <w:ind w:right="1592"/>
              <w:spacing w:after="0"/>
              <w:rPr>
                <w:sz w:val="20"/>
                <w:szCs w:val="20"/>
                <w:color w:val="auto"/>
              </w:rPr>
            </w:pPr>
            <w:r>
              <w:rPr>
                <w:rFonts w:ascii="Courier New" w:cs="Courier New" w:eastAsia="Courier New" w:hAnsi="Courier New"/>
                <w:sz w:val="18"/>
                <w:szCs w:val="18"/>
                <w:color w:val="auto"/>
                <w:w w:val="97"/>
              </w:rPr>
              <w:t>Ordinary</w:t>
            </w:r>
          </w:p>
        </w:tc>
        <w:tc>
          <w:tcPr>
            <w:tcW w:w="0" w:type="dxa"/>
            <w:vAlign w:val="bottom"/>
          </w:tcPr>
          <w:p>
            <w:pPr>
              <w:spacing w:after="0"/>
              <w:rPr>
                <w:sz w:val="1"/>
                <w:szCs w:val="1"/>
                <w:color w:val="auto"/>
              </w:rPr>
            </w:pPr>
          </w:p>
        </w:tc>
      </w:tr>
      <w:tr>
        <w:trPr>
          <w:trHeight w:val="109"/>
        </w:trPr>
        <w:tc>
          <w:tcPr>
            <w:tcW w:w="1740" w:type="dxa"/>
            <w:vAlign w:val="bottom"/>
            <w:vMerge w:val="continue"/>
          </w:tcPr>
          <w:p>
            <w:pPr>
              <w:spacing w:after="0"/>
              <w:rPr>
                <w:sz w:val="9"/>
                <w:szCs w:val="9"/>
                <w:color w:val="auto"/>
              </w:rPr>
            </w:pPr>
          </w:p>
        </w:tc>
        <w:tc>
          <w:tcPr>
            <w:tcW w:w="2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43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223,790 220,780 Non-Voting Ordinary</w:t>
            </w:r>
          </w:p>
        </w:tc>
        <w:tc>
          <w:tcPr>
            <w:tcW w:w="0" w:type="dxa"/>
            <w:vAlign w:val="bottom"/>
          </w:tcPr>
          <w:p>
            <w:pPr>
              <w:spacing w:after="0"/>
              <w:rPr>
                <w:sz w:val="1"/>
                <w:szCs w:val="1"/>
                <w:color w:val="auto"/>
              </w:rPr>
            </w:pPr>
          </w:p>
        </w:tc>
      </w:tr>
      <w:tr>
        <w:trPr>
          <w:trHeight w:val="203"/>
        </w:trPr>
        <w:tc>
          <w:tcPr>
            <w:tcW w:w="1740" w:type="dxa"/>
            <w:vAlign w:val="bottom"/>
          </w:tcPr>
          <w:p>
            <w:pPr>
              <w:jc w:val="right"/>
              <w:spacing w:after="0"/>
              <w:rPr>
                <w:sz w:val="20"/>
                <w:szCs w:val="20"/>
                <w:color w:val="auto"/>
              </w:rPr>
            </w:pPr>
            <w:r>
              <w:rPr>
                <w:rFonts w:ascii="Courier New" w:cs="Courier New" w:eastAsia="Courier New" w:hAnsi="Courier New"/>
                <w:sz w:val="10"/>
                <w:szCs w:val="10"/>
                <w:color w:val="auto"/>
                <w:w w:val="75"/>
              </w:rPr>
              <w:t>Shares................................</w:t>
            </w:r>
          </w:p>
        </w:tc>
        <w:tc>
          <w:tcPr>
            <w:tcW w:w="2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740" w:type="dxa"/>
            <w:vAlign w:val="bottom"/>
          </w:tcPr>
          <w:p>
            <w:pPr>
              <w:jc w:val="right"/>
              <w:ind w:right="29"/>
              <w:spacing w:after="0" w:line="203" w:lineRule="exact"/>
              <w:rPr>
                <w:sz w:val="20"/>
                <w:szCs w:val="20"/>
                <w:color w:val="auto"/>
              </w:rPr>
            </w:pPr>
            <w:r>
              <w:rPr>
                <w:rFonts w:ascii="Courier New" w:cs="Courier New" w:eastAsia="Courier New" w:hAnsi="Courier New"/>
                <w:sz w:val="18"/>
                <w:szCs w:val="18"/>
                <w:color w:val="auto"/>
              </w:rPr>
              <w:t>2,535 -------</w:t>
            </w:r>
          </w:p>
        </w:tc>
        <w:tc>
          <w:tcPr>
            <w:tcW w:w="2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6"/>
              </w:rPr>
              <w:t>------- Ordinary Shares</w:t>
            </w:r>
          </w:p>
        </w:tc>
        <w:tc>
          <w:tcPr>
            <w:tcW w:w="0" w:type="dxa"/>
            <w:vAlign w:val="bottom"/>
          </w:tcPr>
          <w:p>
            <w:pPr>
              <w:spacing w:after="0"/>
              <w:rPr>
                <w:sz w:val="1"/>
                <w:szCs w:val="1"/>
                <w:color w:val="auto"/>
              </w:rPr>
            </w:pPr>
          </w:p>
        </w:tc>
      </w:tr>
      <w:tr>
        <w:trPr>
          <w:trHeight w:val="203"/>
        </w:trPr>
        <w:tc>
          <w:tcPr>
            <w:tcW w:w="43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issued....................................</w:t>
            </w:r>
          </w:p>
        </w:tc>
        <w:tc>
          <w:tcPr>
            <w:tcW w:w="0" w:type="dxa"/>
            <w:vAlign w:val="bottom"/>
          </w:tcPr>
          <w:p>
            <w:pPr>
              <w:spacing w:after="0"/>
              <w:rPr>
                <w:sz w:val="1"/>
                <w:szCs w:val="1"/>
                <w:color w:val="auto"/>
              </w:rPr>
            </w:pPr>
          </w:p>
        </w:tc>
      </w:tr>
      <w:tr>
        <w:trPr>
          <w:trHeight w:val="203"/>
        </w:trPr>
        <w:tc>
          <w:tcPr>
            <w:tcW w:w="43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223,790 223,315 Less -- treasury</w:t>
            </w:r>
          </w:p>
        </w:tc>
        <w:tc>
          <w:tcPr>
            <w:tcW w:w="0" w:type="dxa"/>
            <w:vAlign w:val="bottom"/>
          </w:tcPr>
          <w:p>
            <w:pPr>
              <w:spacing w:after="0"/>
              <w:rPr>
                <w:sz w:val="1"/>
                <w:szCs w:val="1"/>
                <w:color w:val="auto"/>
              </w:rPr>
            </w:pPr>
          </w:p>
        </w:tc>
      </w:tr>
      <w:tr>
        <w:trPr>
          <w:trHeight w:val="203"/>
        </w:trPr>
        <w:tc>
          <w:tcPr>
            <w:tcW w:w="1740" w:type="dxa"/>
            <w:vAlign w:val="bottom"/>
          </w:tcPr>
          <w:p>
            <w:pPr>
              <w:jc w:val="right"/>
              <w:spacing w:after="0"/>
              <w:rPr>
                <w:sz w:val="20"/>
                <w:szCs w:val="20"/>
                <w:color w:val="auto"/>
              </w:rPr>
            </w:pPr>
            <w:r>
              <w:rPr>
                <w:rFonts w:ascii="Courier New" w:cs="Courier New" w:eastAsia="Courier New" w:hAnsi="Courier New"/>
                <w:sz w:val="9"/>
                <w:szCs w:val="9"/>
                <w:color w:val="auto"/>
                <w:w w:val="77"/>
              </w:rPr>
              <w:t>stock....................................</w:t>
            </w:r>
          </w:p>
        </w:tc>
        <w:tc>
          <w:tcPr>
            <w:tcW w:w="26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8"/>
              </w:rPr>
              <w:t>------- ------- Ordinary</w:t>
            </w:r>
          </w:p>
        </w:tc>
        <w:tc>
          <w:tcPr>
            <w:tcW w:w="0" w:type="dxa"/>
            <w:vAlign w:val="bottom"/>
          </w:tcPr>
          <w:p>
            <w:pPr>
              <w:spacing w:after="0"/>
              <w:rPr>
                <w:sz w:val="1"/>
                <w:szCs w:val="1"/>
                <w:color w:val="auto"/>
              </w:rPr>
            </w:pPr>
          </w:p>
        </w:tc>
      </w:tr>
      <w:tr>
        <w:trPr>
          <w:trHeight w:val="203"/>
        </w:trPr>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(7,732) (7,732)</w:t>
            </w:r>
          </w:p>
        </w:tc>
        <w:tc>
          <w:tcPr>
            <w:tcW w:w="2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740" w:type="dxa"/>
            <w:vAlign w:val="bottom"/>
            <w:vMerge w:val="restart"/>
          </w:tcPr>
          <w:p>
            <w:pPr>
              <w:jc w:val="right"/>
              <w:spacing w:after="0"/>
              <w:rPr>
                <w:sz w:val="20"/>
                <w:szCs w:val="20"/>
                <w:color w:val="auto"/>
              </w:rPr>
            </w:pPr>
            <w:r>
              <w:rPr>
                <w:rFonts w:ascii="Courier New" w:cs="Courier New" w:eastAsia="Courier New" w:hAnsi="Courier New"/>
                <w:sz w:val="9"/>
                <w:szCs w:val="9"/>
                <w:color w:val="auto"/>
                <w:w w:val="75"/>
              </w:rPr>
              <w:t>outstanding...............................</w:t>
            </w:r>
          </w:p>
        </w:tc>
        <w:tc>
          <w:tcPr>
            <w:tcW w:w="2640" w:type="dxa"/>
            <w:vAlign w:val="bottom"/>
          </w:tcPr>
          <w:p>
            <w:pPr>
              <w:jc w:val="center"/>
              <w:ind w:right="1592"/>
              <w:spacing w:after="0"/>
              <w:rPr>
                <w:sz w:val="20"/>
                <w:szCs w:val="20"/>
                <w:color w:val="auto"/>
              </w:rPr>
            </w:pPr>
            <w:r>
              <w:rPr>
                <w:rFonts w:ascii="Courier New" w:cs="Courier New" w:eastAsia="Courier New" w:hAnsi="Courier New"/>
                <w:sz w:val="18"/>
                <w:szCs w:val="18"/>
                <w:color w:val="auto"/>
                <w:w w:val="98"/>
              </w:rPr>
              <w:t>Shares</w:t>
            </w:r>
          </w:p>
        </w:tc>
        <w:tc>
          <w:tcPr>
            <w:tcW w:w="0" w:type="dxa"/>
            <w:vAlign w:val="bottom"/>
          </w:tcPr>
          <w:p>
            <w:pPr>
              <w:spacing w:after="0"/>
              <w:rPr>
                <w:sz w:val="1"/>
                <w:szCs w:val="1"/>
                <w:color w:val="auto"/>
              </w:rPr>
            </w:pPr>
          </w:p>
        </w:tc>
      </w:tr>
      <w:tr>
        <w:trPr>
          <w:trHeight w:val="141"/>
        </w:trPr>
        <w:tc>
          <w:tcPr>
            <w:tcW w:w="1740" w:type="dxa"/>
            <w:vAlign w:val="bottom"/>
            <w:vMerge w:val="continue"/>
          </w:tcPr>
          <w:p>
            <w:pPr>
              <w:spacing w:after="0"/>
              <w:rPr>
                <w:sz w:val="12"/>
                <w:szCs w:val="12"/>
                <w:color w:val="auto"/>
              </w:rPr>
            </w:pPr>
          </w:p>
        </w:tc>
        <w:tc>
          <w:tcPr>
            <w:tcW w:w="26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580"/>
        <w:spacing w:after="0"/>
        <w:rPr>
          <w:sz w:val="20"/>
          <w:szCs w:val="20"/>
          <w:color w:val="auto"/>
        </w:rPr>
      </w:pPr>
      <w:r>
        <w:rPr>
          <w:rFonts w:ascii="Courier New" w:cs="Courier New" w:eastAsia="Courier New" w:hAnsi="Courier New"/>
          <w:sz w:val="18"/>
          <w:szCs w:val="18"/>
          <w:color w:val="auto"/>
        </w:rPr>
        <w:t>216,058 215,583 ======= =======</w:t>
      </w:r>
    </w:p>
    <w:p>
      <w:pPr>
        <w:spacing w:after="0" w:line="37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Company's capital transactions are described below:</w:t>
      </w:r>
    </w:p>
    <w:p>
      <w:pPr>
        <w:spacing w:after="0" w:line="201" w:lineRule="exact"/>
        <w:rPr>
          <w:sz w:val="20"/>
          <w:szCs w:val="20"/>
          <w:color w:val="auto"/>
        </w:rPr>
      </w:pPr>
    </w:p>
    <w:p>
      <w:pPr>
        <w:ind w:right="2319" w:firstLine="527"/>
        <w:spacing w:after="0" w:line="402" w:lineRule="auto"/>
        <w:rPr>
          <w:sz w:val="20"/>
          <w:szCs w:val="20"/>
          <w:color w:val="auto"/>
        </w:rPr>
      </w:pPr>
      <w:r>
        <w:rPr>
          <w:rFonts w:ascii="Courier New" w:cs="Courier New" w:eastAsia="Courier New" w:hAnsi="Courier New"/>
          <w:sz w:val="16"/>
          <w:szCs w:val="16"/>
          <w:color w:val="auto"/>
        </w:rPr>
        <w:t>Total proceeds from the exercise of employee stock options amounted to $2,320, $5,161 and $13,967 in fiscal 2003, 2002 and 2001, respectively.</w:t>
      </w:r>
    </w:p>
    <w:p>
      <w:pPr>
        <w:spacing w:after="0" w:line="1" w:lineRule="exact"/>
        <w:rPr>
          <w:sz w:val="20"/>
          <w:szCs w:val="20"/>
          <w:color w:val="auto"/>
        </w:rPr>
      </w:pPr>
    </w:p>
    <w:p>
      <w:pPr>
        <w:ind w:right="1779" w:firstLine="527"/>
        <w:spacing w:after="0" w:line="249" w:lineRule="auto"/>
        <w:rPr>
          <w:sz w:val="20"/>
          <w:szCs w:val="20"/>
          <w:color w:val="auto"/>
        </w:rPr>
      </w:pPr>
      <w:r>
        <w:rPr>
          <w:rFonts w:ascii="Courier New" w:cs="Courier New" w:eastAsia="Courier New" w:hAnsi="Courier New"/>
          <w:sz w:val="18"/>
          <w:szCs w:val="18"/>
          <w:color w:val="auto"/>
        </w:rPr>
        <w:t>During fiscal 2002 the Company repurchased 7,732 Ordinary Shares, at an average price of $14.13 per share pursuant to a share repurchase program. The Company funded these repurchases, and intends to fund any future repurchases, with available funds. On November 5, 2003, the Company announced that its board of directors had authorized a share repurchase program of up to five million Ordinary Shares over the next twelve months. The authorization permits the Company to purchase Ordinary Shares in open market or privately negotiated transactions and at prices the Company deems appropriate. The Company stated that one of the main purposes of the repurchase program was to offset the dilutive effect of any future share issuances, including issuances in connection with acquisitions or pursuant to employee equity plans.</w:t>
      </w:r>
    </w:p>
    <w:p>
      <w:pPr>
        <w:spacing w:after="0" w:line="1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18 -- STOCK OPTION AND INCENTIVE PLAN</w:t>
      </w:r>
    </w:p>
    <w:p>
      <w:pPr>
        <w:spacing w:after="0" w:line="201" w:lineRule="exact"/>
        <w:rPr>
          <w:sz w:val="20"/>
          <w:szCs w:val="20"/>
          <w:color w:val="auto"/>
        </w:rPr>
      </w:pPr>
    </w:p>
    <w:p>
      <w:pPr>
        <w:ind w:right="1879" w:firstLine="527"/>
        <w:spacing w:after="0" w:line="260" w:lineRule="auto"/>
        <w:rPr>
          <w:sz w:val="20"/>
          <w:szCs w:val="20"/>
          <w:color w:val="auto"/>
        </w:rPr>
      </w:pPr>
      <w:r>
        <w:rPr>
          <w:rFonts w:ascii="Courier New" w:cs="Courier New" w:eastAsia="Courier New" w:hAnsi="Courier New"/>
          <w:sz w:val="18"/>
          <w:szCs w:val="18"/>
          <w:color w:val="auto"/>
        </w:rPr>
        <w:t>In January 1998, the Company first adopted, and in each of January 1999, January 2000 and January 2001 the Company has amended, the Amdocs Limited 1998 Stock Option and Incentive Plan (the "Plan"). Under the provisions of the Plan, 32,300 Ordinary Shares are available to be granted to officers, directors, employees and consultants. Such options fully vest over one to nine years and have a term of ten years.</w:t>
      </w:r>
    </w:p>
    <w:p>
      <w:pPr>
        <w:spacing w:after="0" w:line="93" w:lineRule="exact"/>
        <w:rPr>
          <w:sz w:val="20"/>
          <w:szCs w:val="20"/>
          <w:color w:val="auto"/>
        </w:rPr>
      </w:pPr>
    </w:p>
    <w:p>
      <w:pPr>
        <w:ind w:right="1879" w:firstLine="527"/>
        <w:spacing w:after="0" w:line="347" w:lineRule="auto"/>
        <w:rPr>
          <w:sz w:val="20"/>
          <w:szCs w:val="20"/>
          <w:color w:val="auto"/>
        </w:rPr>
      </w:pPr>
      <w:r>
        <w:rPr>
          <w:rFonts w:ascii="Courier New" w:cs="Courier New" w:eastAsia="Courier New" w:hAnsi="Courier New"/>
          <w:sz w:val="18"/>
          <w:szCs w:val="18"/>
          <w:color w:val="auto"/>
        </w:rPr>
        <w:t>The following table summarizes information about share options, as well as changes during the years ended September 30, 2003, 2002 and 2001:</w:t>
      </w:r>
    </w:p>
    <w:p>
      <w:pPr>
        <w:spacing w:after="0" w:line="18"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8"/>
          <w:szCs w:val="18"/>
          <w:color w:val="auto"/>
        </w:rPr>
        <w:t>WEIGHTED NUMBER OF AVERAGE SHARE EXERCISE OPTIONS PRICE</w:t>
      </w:r>
    </w:p>
    <w:p>
      <w:pPr>
        <w:spacing w:after="0" w:line="2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 -------- Outstanding as of October 1,</w:t>
      </w:r>
    </w:p>
    <w:tbl>
      <w:tblPr>
        <w:tblLayout w:type="fixed"/>
        <w:tblInd w:w="0" w:type="dxa"/>
        <w:tblCellMar>
          <w:top w:w="0" w:type="dxa"/>
          <w:left w:w="0" w:type="dxa"/>
          <w:bottom w:w="0" w:type="dxa"/>
          <w:right w:w="0" w:type="dxa"/>
        </w:tblCellMar>
      </w:tblPr>
      <w:tr>
        <w:trPr>
          <w:trHeight w:val="171"/>
        </w:trPr>
        <w:tc>
          <w:tcPr>
            <w:tcW w:w="3120" w:type="dxa"/>
            <w:vAlign w:val="bottom"/>
            <w:gridSpan w:val="2"/>
          </w:tcPr>
          <w:p>
            <w:pPr>
              <w:jc w:val="right"/>
              <w:spacing w:after="0" w:line="170" w:lineRule="exact"/>
              <w:rPr>
                <w:sz w:val="20"/>
                <w:szCs w:val="20"/>
                <w:color w:val="auto"/>
              </w:rPr>
            </w:pPr>
            <w:r>
              <w:rPr>
                <w:rFonts w:ascii="Courier New" w:cs="Courier New" w:eastAsia="Courier New" w:hAnsi="Courier New"/>
                <w:sz w:val="18"/>
                <w:szCs w:val="18"/>
                <w:color w:val="auto"/>
              </w:rPr>
              <w:t>2000........................</w:t>
            </w:r>
          </w:p>
        </w:tc>
        <w:tc>
          <w:tcPr>
            <w:tcW w:w="1520" w:type="dxa"/>
            <w:vAlign w:val="bottom"/>
          </w:tcPr>
          <w:p>
            <w:pPr>
              <w:jc w:val="right"/>
              <w:spacing w:after="0" w:line="170" w:lineRule="exact"/>
              <w:rPr>
                <w:sz w:val="20"/>
                <w:szCs w:val="20"/>
                <w:color w:val="auto"/>
              </w:rPr>
            </w:pPr>
            <w:r>
              <w:rPr>
                <w:rFonts w:ascii="Courier New" w:cs="Courier New" w:eastAsia="Courier New" w:hAnsi="Courier New"/>
                <w:sz w:val="18"/>
                <w:szCs w:val="18"/>
                <w:color w:val="auto"/>
              </w:rPr>
              <w:t>11,228.1</w:t>
            </w:r>
          </w:p>
        </w:tc>
        <w:tc>
          <w:tcPr>
            <w:tcW w:w="680" w:type="dxa"/>
            <w:vAlign w:val="bottom"/>
          </w:tcPr>
          <w:p>
            <w:pPr>
              <w:jc w:val="right"/>
              <w:spacing w:after="0" w:line="170" w:lineRule="exact"/>
              <w:rPr>
                <w:sz w:val="20"/>
                <w:szCs w:val="20"/>
                <w:color w:val="auto"/>
              </w:rPr>
            </w:pPr>
            <w:r>
              <w:rPr>
                <w:rFonts w:ascii="Courier New" w:cs="Courier New" w:eastAsia="Courier New" w:hAnsi="Courier New"/>
                <w:sz w:val="18"/>
                <w:szCs w:val="18"/>
                <w:color w:val="auto"/>
              </w:rPr>
              <w:t>$30.62</w:t>
            </w:r>
          </w:p>
        </w:tc>
        <w:tc>
          <w:tcPr>
            <w:tcW w:w="0" w:type="dxa"/>
            <w:vAlign w:val="bottom"/>
          </w:tcPr>
          <w:p>
            <w:pPr>
              <w:spacing w:after="0"/>
              <w:rPr>
                <w:sz w:val="1"/>
                <w:szCs w:val="1"/>
                <w:color w:val="auto"/>
              </w:rPr>
            </w:pPr>
          </w:p>
        </w:tc>
      </w:tr>
      <w:tr>
        <w:trPr>
          <w:trHeight w:val="203"/>
        </w:trPr>
        <w:tc>
          <w:tcPr>
            <w:tcW w:w="3120" w:type="dxa"/>
            <w:vAlign w:val="bottom"/>
            <w:gridSpan w:val="2"/>
          </w:tcPr>
          <w:p>
            <w:pPr>
              <w:spacing w:after="0"/>
              <w:rPr>
                <w:sz w:val="20"/>
                <w:szCs w:val="20"/>
                <w:color w:val="auto"/>
              </w:rPr>
            </w:pPr>
            <w:r>
              <w:rPr>
                <w:rFonts w:ascii="Courier New" w:cs="Courier New" w:eastAsia="Courier New" w:hAnsi="Courier New"/>
                <w:sz w:val="12"/>
                <w:szCs w:val="12"/>
                <w:color w:val="auto"/>
                <w:w w:val="75"/>
              </w:rPr>
              <w:t>Granted..................................................</w:t>
            </w:r>
          </w:p>
        </w:tc>
        <w:tc>
          <w:tcPr>
            <w:tcW w:w="1520" w:type="dxa"/>
            <w:vAlign w:val="bottom"/>
            <w:vMerge w:val="restart"/>
          </w:tcPr>
          <w:p>
            <w:pPr>
              <w:jc w:val="right"/>
              <w:ind w:right="852"/>
              <w:spacing w:after="0"/>
              <w:rPr>
                <w:sz w:val="20"/>
                <w:szCs w:val="20"/>
                <w:color w:val="auto"/>
              </w:rPr>
            </w:pPr>
            <w:r>
              <w:rPr>
                <w:rFonts w:ascii="Courier New" w:cs="Courier New" w:eastAsia="Courier New" w:hAnsi="Courier New"/>
                <w:sz w:val="18"/>
                <w:szCs w:val="18"/>
                <w:color w:val="auto"/>
              </w:rPr>
              <w:t>50.15</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5,745.2</w:t>
            </w:r>
          </w:p>
        </w:tc>
        <w:tc>
          <w:tcPr>
            <w:tcW w:w="152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20" w:type="dxa"/>
            <w:vAlign w:val="bottom"/>
            <w:gridSpan w:val="2"/>
          </w:tcPr>
          <w:p>
            <w:pPr>
              <w:spacing w:after="0"/>
              <w:rPr>
                <w:sz w:val="20"/>
                <w:szCs w:val="20"/>
                <w:color w:val="auto"/>
              </w:rPr>
            </w:pPr>
            <w:r>
              <w:rPr>
                <w:rFonts w:ascii="Courier New" w:cs="Courier New" w:eastAsia="Courier New" w:hAnsi="Courier New"/>
                <w:sz w:val="12"/>
                <w:szCs w:val="12"/>
                <w:color w:val="auto"/>
                <w:w w:val="75"/>
              </w:rPr>
              <w:t>Exercised................................................</w:t>
            </w:r>
          </w:p>
        </w:tc>
        <w:tc>
          <w:tcPr>
            <w:tcW w:w="15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gridSpan w:val="3"/>
          </w:tcPr>
          <w:p>
            <w:pPr>
              <w:jc w:val="right"/>
              <w:ind w:right="812"/>
              <w:spacing w:after="0" w:line="203" w:lineRule="exact"/>
              <w:rPr>
                <w:sz w:val="20"/>
                <w:szCs w:val="20"/>
                <w:color w:val="auto"/>
              </w:rPr>
            </w:pPr>
            <w:r>
              <w:rPr>
                <w:rFonts w:ascii="Courier New" w:cs="Courier New" w:eastAsia="Courier New" w:hAnsi="Courier New"/>
                <w:sz w:val="18"/>
                <w:szCs w:val="18"/>
                <w:color w:val="auto"/>
              </w:rPr>
              <w:t>(1,462.8) 9.73</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00" w:type="dxa"/>
            <w:vAlign w:val="bottom"/>
          </w:tcPr>
          <w:p>
            <w:pPr>
              <w:spacing w:after="0"/>
              <w:rPr>
                <w:sz w:val="20"/>
                <w:szCs w:val="20"/>
                <w:color w:val="auto"/>
              </w:rPr>
            </w:pPr>
            <w:r>
              <w:rPr>
                <w:rFonts w:ascii="Courier New" w:cs="Courier New" w:eastAsia="Courier New" w:hAnsi="Courier New"/>
                <w:sz w:val="11"/>
                <w:szCs w:val="11"/>
                <w:color w:val="auto"/>
                <w:w w:val="73"/>
              </w:rPr>
              <w:t>Forfeited................................................</w:t>
            </w:r>
          </w:p>
        </w:tc>
        <w:tc>
          <w:tcPr>
            <w:tcW w:w="1840" w:type="dxa"/>
            <w:vAlign w:val="bottom"/>
            <w:gridSpan w:val="2"/>
            <w:vMerge w:val="restart"/>
          </w:tcPr>
          <w:p>
            <w:pPr>
              <w:jc w:val="right"/>
              <w:ind w:right="1232"/>
              <w:spacing w:after="0"/>
              <w:rPr>
                <w:sz w:val="20"/>
                <w:szCs w:val="20"/>
                <w:color w:val="auto"/>
              </w:rPr>
            </w:pPr>
            <w:r>
              <w:rPr>
                <w:rFonts w:ascii="Courier New" w:cs="Courier New" w:eastAsia="Courier New" w:hAnsi="Courier New"/>
                <w:sz w:val="18"/>
                <w:szCs w:val="18"/>
                <w:color w:val="auto"/>
                <w:w w:val="92"/>
              </w:rPr>
              <w:t>49.59</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800" w:type="dxa"/>
            <w:vAlign w:val="bottom"/>
          </w:tcPr>
          <w:p>
            <w:pPr>
              <w:jc w:val="right"/>
              <w:ind w:right="25"/>
              <w:spacing w:after="0"/>
              <w:rPr>
                <w:sz w:val="20"/>
                <w:szCs w:val="20"/>
                <w:color w:val="auto"/>
              </w:rPr>
            </w:pPr>
            <w:r>
              <w:rPr>
                <w:rFonts w:ascii="Courier New" w:cs="Courier New" w:eastAsia="Courier New" w:hAnsi="Courier New"/>
                <w:sz w:val="18"/>
                <w:szCs w:val="18"/>
                <w:color w:val="auto"/>
              </w:rPr>
              <w:t>(1,359.3)</w:t>
            </w:r>
          </w:p>
        </w:tc>
        <w:tc>
          <w:tcPr>
            <w:tcW w:w="1840" w:type="dxa"/>
            <w:vAlign w:val="bottom"/>
            <w:gridSpan w:val="2"/>
            <w:vMerge w:val="continue"/>
          </w:tcPr>
          <w:p>
            <w:pPr>
              <w:jc w:val="right"/>
              <w:ind w:right="272"/>
              <w:spacing w:after="0" w:line="178"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2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F-31</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488" w:right="1440" w:bottom="1440" w:gutter="0" w:footer="0" w:header="0"/>
        </w:sectPr>
      </w:pPr>
    </w:p>
    <w:bookmarkStart w:id="114" w:name="page115"/>
    <w:bookmarkEnd w:id="114"/>
    <w:p>
      <w:pPr>
        <w:jc w:val="center"/>
        <w:ind w:right="175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3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(IN THOUSANDS, EXCEPT PER SHARE DATA)</w:t>
      </w:r>
    </w:p>
    <w:p>
      <w:pPr>
        <w:spacing w:after="0" w:line="169"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8"/>
          <w:szCs w:val="18"/>
          <w:color w:val="auto"/>
        </w:rPr>
        <w:t>WEIGHTED NUMBER OF AVERAGE SHARE EXERCISE OPTIONS PRICE</w:t>
      </w:r>
    </w:p>
    <w:p>
      <w:pPr>
        <w:spacing w:after="0" w:line="29" w:lineRule="exact"/>
        <w:rPr>
          <w:sz w:val="20"/>
          <w:szCs w:val="20"/>
          <w:color w:val="auto"/>
        </w:rPr>
      </w:pPr>
    </w:p>
    <w:p>
      <w:pPr>
        <w:ind w:left="380"/>
        <w:spacing w:after="0"/>
        <w:rPr>
          <w:sz w:val="20"/>
          <w:szCs w:val="20"/>
          <w:color w:val="auto"/>
        </w:rPr>
      </w:pPr>
      <w:r>
        <w:rPr>
          <w:rFonts w:ascii="Courier New" w:cs="Courier New" w:eastAsia="Courier New" w:hAnsi="Courier New"/>
          <w:sz w:val="18"/>
          <w:szCs w:val="18"/>
          <w:color w:val="auto"/>
        </w:rPr>
        <w:t>--------- -------- Outstanding as of September 30,</w:t>
      </w:r>
    </w:p>
    <w:tbl>
      <w:tblPr>
        <w:tblLayout w:type="fixed"/>
        <w:tblInd w:w="0" w:type="dxa"/>
        <w:tblCellMar>
          <w:top w:w="0" w:type="dxa"/>
          <w:left w:w="0" w:type="dxa"/>
          <w:bottom w:w="0" w:type="dxa"/>
          <w:right w:w="0" w:type="dxa"/>
        </w:tblCellMar>
      </w:tblPr>
      <w:tr>
        <w:trPr>
          <w:trHeight w:val="171"/>
        </w:trPr>
        <w:tc>
          <w:tcPr>
            <w:tcW w:w="3140" w:type="dxa"/>
            <w:vAlign w:val="bottom"/>
            <w:gridSpan w:val="2"/>
          </w:tcPr>
          <w:p>
            <w:pPr>
              <w:ind w:left="900"/>
              <w:spacing w:after="0" w:line="170" w:lineRule="exact"/>
              <w:rPr>
                <w:sz w:val="20"/>
                <w:szCs w:val="20"/>
                <w:color w:val="auto"/>
              </w:rPr>
            </w:pPr>
            <w:r>
              <w:rPr>
                <w:rFonts w:ascii="Courier New" w:cs="Courier New" w:eastAsia="Courier New" w:hAnsi="Courier New"/>
                <w:sz w:val="18"/>
                <w:szCs w:val="18"/>
                <w:color w:val="auto"/>
                <w:w w:val="82"/>
              </w:rPr>
              <w:t>2001.....................</w:t>
            </w:r>
          </w:p>
        </w:tc>
        <w:tc>
          <w:tcPr>
            <w:tcW w:w="1400" w:type="dxa"/>
            <w:vAlign w:val="bottom"/>
          </w:tcPr>
          <w:p>
            <w:pPr>
              <w:ind w:left="500"/>
              <w:spacing w:after="0" w:line="170" w:lineRule="exact"/>
              <w:rPr>
                <w:sz w:val="20"/>
                <w:szCs w:val="20"/>
                <w:color w:val="auto"/>
              </w:rPr>
            </w:pPr>
            <w:r>
              <w:rPr>
                <w:rFonts w:ascii="Courier New" w:cs="Courier New" w:eastAsia="Courier New" w:hAnsi="Courier New"/>
                <w:sz w:val="18"/>
                <w:szCs w:val="18"/>
                <w:color w:val="auto"/>
              </w:rPr>
              <w:t>14,151.2</w:t>
            </w:r>
          </w:p>
        </w:tc>
        <w:tc>
          <w:tcPr>
            <w:tcW w:w="1420" w:type="dxa"/>
            <w:vAlign w:val="bottom"/>
          </w:tcPr>
          <w:p>
            <w:pPr>
              <w:jc w:val="right"/>
              <w:ind w:right="752"/>
              <w:spacing w:after="0" w:line="170" w:lineRule="exact"/>
              <w:rPr>
                <w:sz w:val="20"/>
                <w:szCs w:val="20"/>
                <w:color w:val="auto"/>
              </w:rPr>
            </w:pPr>
            <w:r>
              <w:rPr>
                <w:rFonts w:ascii="Courier New" w:cs="Courier New" w:eastAsia="Courier New" w:hAnsi="Courier New"/>
                <w:sz w:val="18"/>
                <w:szCs w:val="18"/>
                <w:color w:val="auto"/>
              </w:rPr>
              <w:t>38.89</w:t>
            </w:r>
          </w:p>
        </w:tc>
        <w:tc>
          <w:tcPr>
            <w:tcW w:w="0" w:type="dxa"/>
            <w:vAlign w:val="bottom"/>
          </w:tcPr>
          <w:p>
            <w:pPr>
              <w:spacing w:after="0"/>
              <w:rPr>
                <w:sz w:val="1"/>
                <w:szCs w:val="1"/>
                <w:color w:val="auto"/>
              </w:rPr>
            </w:pPr>
          </w:p>
        </w:tc>
      </w:tr>
      <w:tr>
        <w:trPr>
          <w:trHeight w:val="381"/>
        </w:trPr>
        <w:tc>
          <w:tcPr>
            <w:tcW w:w="2260" w:type="dxa"/>
            <w:vAlign w:val="bottom"/>
          </w:tcPr>
          <w:p>
            <w:pPr>
              <w:spacing w:after="0"/>
              <w:rPr>
                <w:sz w:val="20"/>
                <w:szCs w:val="20"/>
                <w:color w:val="auto"/>
              </w:rPr>
            </w:pPr>
            <w:r>
              <w:rPr>
                <w:rFonts w:ascii="Courier New" w:cs="Courier New" w:eastAsia="Courier New" w:hAnsi="Courier New"/>
                <w:sz w:val="5"/>
                <w:szCs w:val="5"/>
                <w:color w:val="auto"/>
                <w:w w:val="75"/>
                <w:vertAlign w:val="superscript"/>
              </w:rPr>
              <w:t>Granted..................................................</w:t>
            </w:r>
            <w:r>
              <w:rPr>
                <w:rFonts w:ascii="Courier New" w:cs="Courier New" w:eastAsia="Courier New" w:hAnsi="Courier New"/>
                <w:sz w:val="3"/>
                <w:szCs w:val="3"/>
                <w:color w:val="auto"/>
                <w:w w:val="75"/>
              </w:rPr>
              <w:t>................................................</w:t>
            </w:r>
            <w:r>
              <w:rPr>
                <w:rFonts w:ascii="Courier New" w:cs="Courier New" w:eastAsia="Courier New" w:hAnsi="Courier New"/>
                <w:sz w:val="5"/>
                <w:szCs w:val="5"/>
                <w:color w:val="auto"/>
                <w:w w:val="75"/>
                <w:vertAlign w:val="subscript"/>
              </w:rPr>
              <w:t>................................................</w:t>
            </w:r>
          </w:p>
        </w:tc>
        <w:tc>
          <w:tcPr>
            <w:tcW w:w="8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7"/>
              </w:rPr>
              <w:t>16,648.5</w:t>
            </w:r>
          </w:p>
        </w:tc>
        <w:tc>
          <w:tcPr>
            <w:tcW w:w="1400" w:type="dxa"/>
            <w:vAlign w:val="bottom"/>
            <w:vMerge w:val="restart"/>
          </w:tcPr>
          <w:p>
            <w:pPr>
              <w:ind w:left="80"/>
              <w:spacing w:after="0"/>
              <w:rPr>
                <w:sz w:val="20"/>
                <w:szCs w:val="20"/>
                <w:color w:val="auto"/>
              </w:rPr>
            </w:pPr>
            <w:r>
              <w:rPr>
                <w:rFonts w:ascii="Courier New" w:cs="Courier New" w:eastAsia="Courier New" w:hAnsi="Courier New"/>
                <w:sz w:val="18"/>
                <w:szCs w:val="18"/>
                <w:color w:val="auto"/>
              </w:rPr>
              <w:t>23.88</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260" w:type="dxa"/>
            <w:vAlign w:val="bottom"/>
            <w:vMerge w:val="restart"/>
          </w:tcPr>
          <w:p>
            <w:pPr>
              <w:spacing w:after="0"/>
              <w:rPr>
                <w:sz w:val="20"/>
                <w:szCs w:val="20"/>
                <w:color w:val="auto"/>
              </w:rPr>
            </w:pPr>
            <w:r>
              <w:rPr>
                <w:rFonts w:ascii="Courier New" w:cs="Courier New" w:eastAsia="Courier New" w:hAnsi="Courier New"/>
                <w:sz w:val="18"/>
                <w:szCs w:val="18"/>
                <w:color w:val="auto"/>
              </w:rPr>
              <w:t>Exercised</w:t>
            </w:r>
          </w:p>
        </w:tc>
        <w:tc>
          <w:tcPr>
            <w:tcW w:w="880" w:type="dxa"/>
            <w:vAlign w:val="bottom"/>
            <w:vMerge w:val="continue"/>
          </w:tcPr>
          <w:p>
            <w:pPr>
              <w:spacing w:after="0"/>
              <w:rPr>
                <w:sz w:val="10"/>
                <w:szCs w:val="10"/>
                <w:color w:val="auto"/>
              </w:rPr>
            </w:pPr>
          </w:p>
        </w:tc>
        <w:tc>
          <w:tcPr>
            <w:tcW w:w="1400" w:type="dxa"/>
            <w:vAlign w:val="bottom"/>
            <w:vMerge w:val="continue"/>
          </w:tcPr>
          <w:p>
            <w:pPr>
              <w:spacing w:after="0"/>
              <w:rPr>
                <w:sz w:val="10"/>
                <w:szCs w:val="10"/>
                <w:color w:val="auto"/>
              </w:rPr>
            </w:pPr>
          </w:p>
        </w:tc>
        <w:tc>
          <w:tcPr>
            <w:tcW w:w="1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2260" w:type="dxa"/>
            <w:vAlign w:val="bottom"/>
            <w:vMerge w:val="continue"/>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(688.9)</w:t>
            </w:r>
          </w:p>
        </w:tc>
        <w:tc>
          <w:tcPr>
            <w:tcW w:w="1400" w:type="dxa"/>
            <w:vAlign w:val="bottom"/>
            <w:vMerge w:val="restart"/>
          </w:tcPr>
          <w:p>
            <w:pPr>
              <w:ind w:left="80"/>
              <w:spacing w:after="0"/>
              <w:rPr>
                <w:sz w:val="20"/>
                <w:szCs w:val="20"/>
                <w:color w:val="auto"/>
              </w:rPr>
            </w:pPr>
            <w:r>
              <w:rPr>
                <w:rFonts w:ascii="Courier New" w:cs="Courier New" w:eastAsia="Courier New" w:hAnsi="Courier New"/>
                <w:sz w:val="18"/>
                <w:szCs w:val="18"/>
                <w:color w:val="auto"/>
              </w:rPr>
              <w:t>7.49</w:t>
            </w: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vMerge w:val="restart"/>
          </w:tcPr>
          <w:p>
            <w:pPr>
              <w:spacing w:after="0"/>
              <w:rPr>
                <w:sz w:val="20"/>
                <w:szCs w:val="20"/>
                <w:color w:val="auto"/>
              </w:rPr>
            </w:pPr>
            <w:r>
              <w:rPr>
                <w:rFonts w:ascii="Courier New" w:cs="Courier New" w:eastAsia="Courier New" w:hAnsi="Courier New"/>
                <w:sz w:val="18"/>
                <w:szCs w:val="18"/>
                <w:color w:val="auto"/>
              </w:rPr>
              <w:t>Forfeited</w:t>
            </w:r>
          </w:p>
        </w:tc>
        <w:tc>
          <w:tcPr>
            <w:tcW w:w="880" w:type="dxa"/>
            <w:vAlign w:val="bottom"/>
            <w:vMerge w:val="continue"/>
          </w:tcPr>
          <w:p>
            <w:pPr>
              <w:spacing w:after="0"/>
              <w:rPr>
                <w:sz w:val="17"/>
                <w:szCs w:val="17"/>
                <w:color w:val="auto"/>
              </w:rPr>
            </w:pPr>
          </w:p>
        </w:tc>
        <w:tc>
          <w:tcPr>
            <w:tcW w:w="1400" w:type="dxa"/>
            <w:vAlign w:val="bottom"/>
            <w:vMerge w:val="continue"/>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260" w:type="dxa"/>
            <w:vAlign w:val="bottom"/>
            <w:vMerge w:val="continue"/>
          </w:tcPr>
          <w:p>
            <w:pPr>
              <w:ind w:left="1740"/>
              <w:spacing w:after="0" w:line="109" w:lineRule="exact"/>
              <w:rPr>
                <w:sz w:val="20"/>
                <w:szCs w:val="20"/>
                <w:color w:val="auto"/>
              </w:rPr>
            </w:pPr>
            <w:r>
              <w:rPr>
                <w:rFonts w:ascii="Courier New" w:cs="Courier New" w:eastAsia="Courier New" w:hAnsi="Courier New"/>
                <w:sz w:val="12"/>
                <w:szCs w:val="12"/>
                <w:color w:val="auto"/>
                <w:w w:val="86"/>
              </w:rPr>
              <w:t>--------</w:t>
            </w:r>
          </w:p>
        </w:tc>
        <w:tc>
          <w:tcPr>
            <w:tcW w:w="3700" w:type="dxa"/>
            <w:vAlign w:val="bottom"/>
            <w:gridSpan w:val="3"/>
            <w:vMerge w:val="restart"/>
          </w:tcPr>
          <w:p>
            <w:pPr>
              <w:jc w:val="right"/>
              <w:spacing w:after="0"/>
              <w:rPr>
                <w:sz w:val="20"/>
                <w:szCs w:val="20"/>
                <w:color w:val="auto"/>
              </w:rPr>
            </w:pPr>
            <w:r>
              <w:rPr>
                <w:rFonts w:ascii="Courier New" w:cs="Courier New" w:eastAsia="Courier New" w:hAnsi="Courier New"/>
                <w:sz w:val="18"/>
                <w:szCs w:val="18"/>
                <w:color w:val="auto"/>
              </w:rPr>
              <w:t>Outstanding as of September 30,</w:t>
            </w:r>
          </w:p>
        </w:tc>
        <w:tc>
          <w:tcPr>
            <w:tcW w:w="0" w:type="dxa"/>
            <w:vAlign w:val="bottom"/>
          </w:tcPr>
          <w:p>
            <w:pPr>
              <w:spacing w:after="0"/>
              <w:rPr>
                <w:sz w:val="1"/>
                <w:szCs w:val="1"/>
                <w:color w:val="auto"/>
              </w:rPr>
            </w:pPr>
          </w:p>
        </w:tc>
      </w:tr>
      <w:tr>
        <w:trPr>
          <w:trHeight w:val="203"/>
        </w:trPr>
        <w:tc>
          <w:tcPr>
            <w:tcW w:w="2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(2,418.8) 44.02</w:t>
            </w:r>
          </w:p>
        </w:tc>
        <w:tc>
          <w:tcPr>
            <w:tcW w:w="370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40" w:type="dxa"/>
            <w:vAlign w:val="bottom"/>
            <w:gridSpan w:val="2"/>
          </w:tcPr>
          <w:p>
            <w:pPr>
              <w:ind w:left="900"/>
              <w:spacing w:after="0" w:line="203" w:lineRule="exact"/>
              <w:rPr>
                <w:sz w:val="20"/>
                <w:szCs w:val="20"/>
                <w:color w:val="auto"/>
              </w:rPr>
            </w:pPr>
            <w:r>
              <w:rPr>
                <w:rFonts w:ascii="Courier New" w:cs="Courier New" w:eastAsia="Courier New" w:hAnsi="Courier New"/>
                <w:sz w:val="18"/>
                <w:szCs w:val="18"/>
                <w:color w:val="auto"/>
                <w:w w:val="82"/>
              </w:rPr>
              <w:t>2002.....................</w:t>
            </w:r>
          </w:p>
        </w:tc>
        <w:tc>
          <w:tcPr>
            <w:tcW w:w="1400" w:type="dxa"/>
            <w:vAlign w:val="bottom"/>
          </w:tcPr>
          <w:p>
            <w:pPr>
              <w:ind w:left="500"/>
              <w:spacing w:after="0" w:line="203" w:lineRule="exact"/>
              <w:rPr>
                <w:sz w:val="20"/>
                <w:szCs w:val="20"/>
                <w:color w:val="auto"/>
              </w:rPr>
            </w:pPr>
            <w:r>
              <w:rPr>
                <w:rFonts w:ascii="Courier New" w:cs="Courier New" w:eastAsia="Courier New" w:hAnsi="Courier New"/>
                <w:sz w:val="18"/>
                <w:szCs w:val="18"/>
                <w:color w:val="auto"/>
              </w:rPr>
              <w:t>27,692.0</w:t>
            </w:r>
          </w:p>
        </w:tc>
        <w:tc>
          <w:tcPr>
            <w:tcW w:w="142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30.30</w:t>
            </w:r>
          </w:p>
        </w:tc>
        <w:tc>
          <w:tcPr>
            <w:tcW w:w="0" w:type="dxa"/>
            <w:vAlign w:val="bottom"/>
          </w:tcPr>
          <w:p>
            <w:pPr>
              <w:spacing w:after="0"/>
              <w:rPr>
                <w:sz w:val="1"/>
                <w:szCs w:val="1"/>
                <w:color w:val="auto"/>
              </w:rPr>
            </w:pPr>
          </w:p>
        </w:tc>
      </w:tr>
      <w:tr>
        <w:trPr>
          <w:trHeight w:val="381"/>
        </w:trPr>
        <w:tc>
          <w:tcPr>
            <w:tcW w:w="2260" w:type="dxa"/>
            <w:vAlign w:val="bottom"/>
          </w:tcPr>
          <w:p>
            <w:pPr>
              <w:spacing w:after="0"/>
              <w:rPr>
                <w:sz w:val="20"/>
                <w:szCs w:val="20"/>
                <w:color w:val="auto"/>
              </w:rPr>
            </w:pPr>
            <w:r>
              <w:rPr>
                <w:rFonts w:ascii="Courier New" w:cs="Courier New" w:eastAsia="Courier New" w:hAnsi="Courier New"/>
                <w:sz w:val="5"/>
                <w:szCs w:val="5"/>
                <w:color w:val="auto"/>
                <w:w w:val="75"/>
                <w:vertAlign w:val="superscript"/>
              </w:rPr>
              <w:t>Granted..................................................</w:t>
            </w:r>
            <w:r>
              <w:rPr>
                <w:rFonts w:ascii="Courier New" w:cs="Courier New" w:eastAsia="Courier New" w:hAnsi="Courier New"/>
                <w:sz w:val="3"/>
                <w:szCs w:val="3"/>
                <w:color w:val="auto"/>
                <w:w w:val="75"/>
              </w:rPr>
              <w:t>................................................</w:t>
            </w:r>
            <w:r>
              <w:rPr>
                <w:rFonts w:ascii="Courier New" w:cs="Courier New" w:eastAsia="Courier New" w:hAnsi="Courier New"/>
                <w:sz w:val="5"/>
                <w:szCs w:val="5"/>
                <w:color w:val="auto"/>
                <w:w w:val="75"/>
                <w:vertAlign w:val="subscript"/>
              </w:rPr>
              <w:t>................................................</w:t>
            </w:r>
          </w:p>
        </w:tc>
        <w:tc>
          <w:tcPr>
            <w:tcW w:w="8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3,151.2</w:t>
            </w:r>
          </w:p>
        </w:tc>
        <w:tc>
          <w:tcPr>
            <w:tcW w:w="1400" w:type="dxa"/>
            <w:vAlign w:val="bottom"/>
            <w:vMerge w:val="restart"/>
          </w:tcPr>
          <w:p>
            <w:pPr>
              <w:ind w:left="20"/>
              <w:spacing w:after="0"/>
              <w:rPr>
                <w:sz w:val="20"/>
                <w:szCs w:val="20"/>
                <w:color w:val="auto"/>
              </w:rPr>
            </w:pPr>
            <w:r>
              <w:rPr>
                <w:rFonts w:ascii="Courier New" w:cs="Courier New" w:eastAsia="Courier New" w:hAnsi="Courier New"/>
                <w:sz w:val="18"/>
                <w:szCs w:val="18"/>
                <w:color w:val="auto"/>
              </w:rPr>
              <w:t>10.49</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260" w:type="dxa"/>
            <w:vAlign w:val="bottom"/>
            <w:vMerge w:val="restart"/>
          </w:tcPr>
          <w:p>
            <w:pPr>
              <w:spacing w:after="0"/>
              <w:rPr>
                <w:sz w:val="20"/>
                <w:szCs w:val="20"/>
                <w:color w:val="auto"/>
              </w:rPr>
            </w:pPr>
            <w:r>
              <w:rPr>
                <w:rFonts w:ascii="Courier New" w:cs="Courier New" w:eastAsia="Courier New" w:hAnsi="Courier New"/>
                <w:sz w:val="18"/>
                <w:szCs w:val="18"/>
                <w:color w:val="auto"/>
              </w:rPr>
              <w:t>Exercised</w:t>
            </w:r>
          </w:p>
        </w:tc>
        <w:tc>
          <w:tcPr>
            <w:tcW w:w="880" w:type="dxa"/>
            <w:vAlign w:val="bottom"/>
            <w:vMerge w:val="continue"/>
          </w:tcPr>
          <w:p>
            <w:pPr>
              <w:spacing w:after="0"/>
              <w:rPr>
                <w:sz w:val="10"/>
                <w:szCs w:val="10"/>
                <w:color w:val="auto"/>
              </w:rPr>
            </w:pPr>
          </w:p>
        </w:tc>
        <w:tc>
          <w:tcPr>
            <w:tcW w:w="1400" w:type="dxa"/>
            <w:vAlign w:val="bottom"/>
            <w:vMerge w:val="continue"/>
          </w:tcPr>
          <w:p>
            <w:pPr>
              <w:spacing w:after="0"/>
              <w:rPr>
                <w:sz w:val="10"/>
                <w:szCs w:val="10"/>
                <w:color w:val="auto"/>
              </w:rPr>
            </w:pPr>
          </w:p>
        </w:tc>
        <w:tc>
          <w:tcPr>
            <w:tcW w:w="1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2260" w:type="dxa"/>
            <w:vAlign w:val="bottom"/>
            <w:vMerge w:val="continue"/>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(474.5)</w:t>
            </w:r>
          </w:p>
        </w:tc>
        <w:tc>
          <w:tcPr>
            <w:tcW w:w="1400" w:type="dxa"/>
            <w:vAlign w:val="bottom"/>
            <w:vMerge w:val="restart"/>
          </w:tcPr>
          <w:p>
            <w:pPr>
              <w:ind w:left="80"/>
              <w:spacing w:after="0"/>
              <w:rPr>
                <w:sz w:val="20"/>
                <w:szCs w:val="20"/>
                <w:color w:val="auto"/>
              </w:rPr>
            </w:pPr>
            <w:r>
              <w:rPr>
                <w:rFonts w:ascii="Courier New" w:cs="Courier New" w:eastAsia="Courier New" w:hAnsi="Courier New"/>
                <w:sz w:val="18"/>
                <w:szCs w:val="18"/>
                <w:color w:val="auto"/>
              </w:rPr>
              <w:t>4.89</w:t>
            </w: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vMerge w:val="restart"/>
          </w:tcPr>
          <w:p>
            <w:pPr>
              <w:spacing w:after="0"/>
              <w:rPr>
                <w:sz w:val="20"/>
                <w:szCs w:val="20"/>
                <w:color w:val="auto"/>
              </w:rPr>
            </w:pPr>
            <w:r>
              <w:rPr>
                <w:rFonts w:ascii="Courier New" w:cs="Courier New" w:eastAsia="Courier New" w:hAnsi="Courier New"/>
                <w:sz w:val="18"/>
                <w:szCs w:val="18"/>
                <w:color w:val="auto"/>
              </w:rPr>
              <w:t>Forfeited</w:t>
            </w:r>
          </w:p>
        </w:tc>
        <w:tc>
          <w:tcPr>
            <w:tcW w:w="880" w:type="dxa"/>
            <w:vAlign w:val="bottom"/>
            <w:vMerge w:val="continue"/>
          </w:tcPr>
          <w:p>
            <w:pPr>
              <w:spacing w:after="0"/>
              <w:rPr>
                <w:sz w:val="17"/>
                <w:szCs w:val="17"/>
                <w:color w:val="auto"/>
              </w:rPr>
            </w:pPr>
          </w:p>
        </w:tc>
        <w:tc>
          <w:tcPr>
            <w:tcW w:w="1400" w:type="dxa"/>
            <w:vAlign w:val="bottom"/>
            <w:vMerge w:val="continue"/>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260" w:type="dxa"/>
            <w:vAlign w:val="bottom"/>
            <w:vMerge w:val="continue"/>
          </w:tcPr>
          <w:p>
            <w:pPr>
              <w:ind w:left="1740"/>
              <w:spacing w:after="0" w:line="109" w:lineRule="exact"/>
              <w:rPr>
                <w:sz w:val="20"/>
                <w:szCs w:val="20"/>
                <w:color w:val="auto"/>
              </w:rPr>
            </w:pPr>
            <w:r>
              <w:rPr>
                <w:rFonts w:ascii="Courier New" w:cs="Courier New" w:eastAsia="Courier New" w:hAnsi="Courier New"/>
                <w:sz w:val="12"/>
                <w:szCs w:val="12"/>
                <w:color w:val="auto"/>
                <w:w w:val="86"/>
              </w:rPr>
              <w:t>--------</w:t>
            </w:r>
          </w:p>
        </w:tc>
        <w:tc>
          <w:tcPr>
            <w:tcW w:w="3700" w:type="dxa"/>
            <w:vAlign w:val="bottom"/>
            <w:gridSpan w:val="3"/>
            <w:vMerge w:val="restart"/>
          </w:tcPr>
          <w:p>
            <w:pPr>
              <w:jc w:val="right"/>
              <w:spacing w:after="0"/>
              <w:rPr>
                <w:sz w:val="20"/>
                <w:szCs w:val="20"/>
                <w:color w:val="auto"/>
              </w:rPr>
            </w:pPr>
            <w:r>
              <w:rPr>
                <w:rFonts w:ascii="Courier New" w:cs="Courier New" w:eastAsia="Courier New" w:hAnsi="Courier New"/>
                <w:sz w:val="18"/>
                <w:szCs w:val="18"/>
                <w:color w:val="auto"/>
              </w:rPr>
              <w:t>Outstanding as of September 30,</w:t>
            </w:r>
          </w:p>
        </w:tc>
        <w:tc>
          <w:tcPr>
            <w:tcW w:w="0" w:type="dxa"/>
            <w:vAlign w:val="bottom"/>
          </w:tcPr>
          <w:p>
            <w:pPr>
              <w:spacing w:after="0"/>
              <w:rPr>
                <w:sz w:val="1"/>
                <w:szCs w:val="1"/>
                <w:color w:val="auto"/>
              </w:rPr>
            </w:pPr>
          </w:p>
        </w:tc>
      </w:tr>
      <w:tr>
        <w:trPr>
          <w:trHeight w:val="203"/>
        </w:trPr>
        <w:tc>
          <w:tcPr>
            <w:tcW w:w="2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(4,803.0) 37.16</w:t>
            </w:r>
          </w:p>
        </w:tc>
        <w:tc>
          <w:tcPr>
            <w:tcW w:w="370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1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2003.....................</w:t>
            </w:r>
          </w:p>
        </w:tc>
        <w:tc>
          <w:tcPr>
            <w:tcW w:w="2820" w:type="dxa"/>
            <w:vAlign w:val="bottom"/>
            <w:gridSpan w:val="2"/>
          </w:tcPr>
          <w:p>
            <w:pPr>
              <w:ind w:left="20"/>
              <w:spacing w:after="0"/>
              <w:rPr>
                <w:sz w:val="20"/>
                <w:szCs w:val="20"/>
                <w:color w:val="auto"/>
              </w:rPr>
            </w:pPr>
            <w:r>
              <w:rPr>
                <w:rFonts w:ascii="Courier New" w:cs="Courier New" w:eastAsia="Courier New" w:hAnsi="Courier New"/>
                <w:sz w:val="18"/>
                <w:szCs w:val="18"/>
                <w:color w:val="auto"/>
              </w:rPr>
              <w:t>25,565.7 27.04 ========</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right="2099" w:firstLine="527"/>
        <w:spacing w:after="0" w:line="347" w:lineRule="auto"/>
        <w:rPr>
          <w:sz w:val="20"/>
          <w:szCs w:val="20"/>
          <w:color w:val="auto"/>
        </w:rPr>
      </w:pPr>
      <w:r>
        <w:rPr>
          <w:rFonts w:ascii="Courier New" w:cs="Courier New" w:eastAsia="Courier New" w:hAnsi="Courier New"/>
          <w:sz w:val="18"/>
          <w:szCs w:val="18"/>
          <w:color w:val="auto"/>
        </w:rPr>
        <w:t>As of September 30, 2003, 4,126.3 Ordinary Shares remained available for grant pursuant to the Plan.</w:t>
      </w:r>
    </w:p>
    <w:p>
      <w:pPr>
        <w:spacing w:after="0" w:line="18" w:lineRule="exact"/>
        <w:rPr>
          <w:sz w:val="20"/>
          <w:szCs w:val="20"/>
          <w:color w:val="auto"/>
        </w:rPr>
      </w:pPr>
    </w:p>
    <w:p>
      <w:pPr>
        <w:ind w:right="1879" w:firstLine="527"/>
        <w:spacing w:after="0" w:line="347" w:lineRule="auto"/>
        <w:rPr>
          <w:sz w:val="20"/>
          <w:szCs w:val="20"/>
          <w:color w:val="auto"/>
        </w:rPr>
      </w:pPr>
      <w:r>
        <w:rPr>
          <w:rFonts w:ascii="Courier New" w:cs="Courier New" w:eastAsia="Courier New" w:hAnsi="Courier New"/>
          <w:sz w:val="18"/>
          <w:szCs w:val="18"/>
          <w:color w:val="auto"/>
        </w:rPr>
        <w:t>The following table summarizes information about share options outstanding as of September 30, 2003:</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OUTSTANDING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EXERCISABLE</w:t>
      </w:r>
    </w:p>
    <w:p>
      <w:pPr>
        <w:ind w:left="260" w:hanging="205"/>
        <w:spacing w:after="0" w:line="238" w:lineRule="auto"/>
        <w:tabs>
          <w:tab w:leader="none" w:pos="260"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WEIGHTED</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AVERAGE</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WEIGHTED</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REMAINING</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AVERAGE</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NUMBER</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CONTRACTUAL</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LIFE</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EXERCISE</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NUMBER</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WEIGHTED</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AVERAGE</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EXERCISE</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PRICE</w:t>
      </w:r>
    </w:p>
    <w:p>
      <w:pPr>
        <w:jc w:val="both"/>
        <w:ind w:left="60" w:right="9059" w:hanging="47"/>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OUTSTANDING (IN YEARS)</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PRICE</w:t>
      </w:r>
    </w:p>
    <w:p>
      <w:pPr>
        <w:jc w:val="center"/>
        <w:ind w:left="60" w:right="9059" w:hanging="47"/>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EXERCISABLE EXERCISE PRICE -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60" w:hanging="205"/>
        <w:spacing w:after="0" w:line="238" w:lineRule="auto"/>
        <w:tabs>
          <w:tab w:leader="none" w:pos="260"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60" w:hanging="205"/>
        <w:spacing w:after="0" w:line="238" w:lineRule="auto"/>
        <w:tabs>
          <w:tab w:leader="none" w:pos="260"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jc w:val="center"/>
        <w:ind w:right="9059"/>
        <w:spacing w:after="0"/>
        <w:rPr>
          <w:sz w:val="20"/>
          <w:szCs w:val="20"/>
          <w:color w:val="auto"/>
        </w:rPr>
      </w:pPr>
      <w:r>
        <w:rPr>
          <w:rFonts w:ascii="Courier New" w:cs="Courier New" w:eastAsia="Courier New" w:hAnsi="Courier New"/>
          <w:sz w:val="18"/>
          <w:szCs w:val="18"/>
          <w:color w:val="auto"/>
        </w:rPr>
        <w:t>1.87 -</w:t>
      </w:r>
    </w:p>
    <w:p>
      <w:pPr>
        <w:jc w:val="center"/>
        <w:ind w:right="9059"/>
        <w:spacing w:after="0" w:line="238" w:lineRule="auto"/>
        <w:rPr>
          <w:sz w:val="20"/>
          <w:szCs w:val="20"/>
          <w:color w:val="auto"/>
        </w:rPr>
      </w:pPr>
      <w:r>
        <w:rPr>
          <w:rFonts w:ascii="Courier New" w:cs="Courier New" w:eastAsia="Courier New" w:hAnsi="Courier New"/>
          <w:sz w:val="18"/>
          <w:szCs w:val="18"/>
          <w:color w:val="auto"/>
        </w:rPr>
        <w:t>3.01</w:t>
      </w:r>
    </w:p>
    <w:p>
      <w:pPr>
        <w:jc w:val="center"/>
        <w:ind w:right="9059"/>
        <w:spacing w:after="0"/>
        <w:rPr>
          <w:sz w:val="20"/>
          <w:szCs w:val="20"/>
          <w:color w:val="auto"/>
        </w:rPr>
      </w:pPr>
      <w:r>
        <w:rPr>
          <w:rFonts w:ascii="Courier New" w:cs="Courier New" w:eastAsia="Courier New" w:hAnsi="Courier New"/>
          <w:sz w:val="18"/>
          <w:szCs w:val="18"/>
          <w:color w:val="auto"/>
        </w:rPr>
        <w:t>629,737</w:t>
      </w:r>
    </w:p>
    <w:p>
      <w:pPr>
        <w:jc w:val="center"/>
        <w:ind w:right="9059"/>
        <w:spacing w:after="0" w:line="238" w:lineRule="auto"/>
        <w:rPr>
          <w:sz w:val="20"/>
          <w:szCs w:val="20"/>
          <w:color w:val="auto"/>
        </w:rPr>
      </w:pPr>
      <w:r>
        <w:rPr>
          <w:rFonts w:ascii="Courier New" w:cs="Courier New" w:eastAsia="Courier New" w:hAnsi="Courier New"/>
          <w:sz w:val="18"/>
          <w:szCs w:val="18"/>
          <w:color w:val="auto"/>
        </w:rPr>
        <w:t>4.59 $</w:t>
      </w:r>
    </w:p>
    <w:p>
      <w:pPr>
        <w:jc w:val="center"/>
        <w:ind w:right="9059"/>
        <w:spacing w:after="0"/>
        <w:rPr>
          <w:sz w:val="20"/>
          <w:szCs w:val="20"/>
          <w:color w:val="auto"/>
        </w:rPr>
      </w:pPr>
      <w:r>
        <w:rPr>
          <w:rFonts w:ascii="Courier New" w:cs="Courier New" w:eastAsia="Courier New" w:hAnsi="Courier New"/>
          <w:sz w:val="18"/>
          <w:szCs w:val="18"/>
          <w:color w:val="auto"/>
        </w:rPr>
        <w:t>1.98</w:t>
      </w:r>
    </w:p>
    <w:p>
      <w:pPr>
        <w:jc w:val="center"/>
        <w:ind w:right="9059"/>
        <w:spacing w:after="0" w:line="238" w:lineRule="auto"/>
        <w:rPr>
          <w:sz w:val="20"/>
          <w:szCs w:val="20"/>
          <w:color w:val="auto"/>
        </w:rPr>
      </w:pPr>
      <w:r>
        <w:rPr>
          <w:rFonts w:ascii="Courier New" w:cs="Courier New" w:eastAsia="Courier New" w:hAnsi="Courier New"/>
          <w:sz w:val="18"/>
          <w:szCs w:val="18"/>
          <w:color w:val="auto"/>
        </w:rPr>
        <w:t>629,737 $</w:t>
      </w:r>
    </w:p>
    <w:p>
      <w:pPr>
        <w:jc w:val="center"/>
        <w:ind w:right="9059"/>
        <w:spacing w:after="0"/>
        <w:rPr>
          <w:sz w:val="20"/>
          <w:szCs w:val="20"/>
          <w:color w:val="auto"/>
        </w:rPr>
      </w:pPr>
      <w:r>
        <w:rPr>
          <w:rFonts w:ascii="Courier New" w:cs="Courier New" w:eastAsia="Courier New" w:hAnsi="Courier New"/>
          <w:sz w:val="18"/>
          <w:szCs w:val="18"/>
          <w:color w:val="auto"/>
        </w:rPr>
        <w:t>1.98 6.40</w:t>
      </w:r>
    </w:p>
    <w:p>
      <w:pPr>
        <w:ind w:left="420" w:hanging="207"/>
        <w:spacing w:after="0" w:line="238" w:lineRule="auto"/>
        <w:tabs>
          <w:tab w:leader="none" w:pos="420"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18.60</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8,860,695</w:t>
      </w:r>
    </w:p>
    <w:p>
      <w:pPr>
        <w:ind w:left="1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8.67 9.11</w:t>
      </w:r>
    </w:p>
    <w:p>
      <w:pPr>
        <w:sectPr>
          <w:pgSz w:w="11900" w:h="16838" w:orient="portrait"/>
          <w:cols w:equalWidth="0" w:num="1">
            <w:col w:w="10219"/>
          </w:cols>
          <w:pgMar w:left="240" w:top="488" w:right="1440" w:bottom="0" w:gutter="0" w:footer="0" w:header="0"/>
        </w:sectPr>
      </w:pPr>
    </w:p>
    <w:bookmarkStart w:id="115" w:name="page116"/>
    <w:bookmarkEnd w:id="115"/>
    <w:p>
      <w:pPr>
        <w:jc w:val="center"/>
        <w:ind w:right="9119"/>
        <w:spacing w:after="0"/>
        <w:rPr>
          <w:sz w:val="20"/>
          <w:szCs w:val="20"/>
          <w:color w:val="auto"/>
        </w:rPr>
      </w:pPr>
      <w:r>
        <w:rPr>
          <w:rFonts w:ascii="Courier New" w:cs="Courier New" w:eastAsia="Courier New" w:hAnsi="Courier New"/>
          <w:sz w:val="18"/>
          <w:szCs w:val="18"/>
          <w:color w:val="auto"/>
        </w:rPr>
        <w:t>1,625,693</w:t>
      </w:r>
    </w:p>
    <w:p>
      <w:pPr>
        <w:spacing w:after="0" w:line="29"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8"/>
          <w:szCs w:val="18"/>
          <w:color w:val="auto"/>
        </w:rPr>
        <w:t>10.32</w:t>
      </w:r>
    </w:p>
    <w:p>
      <w:pPr>
        <w:jc w:val="center"/>
        <w:ind w:right="9119"/>
        <w:spacing w:after="0" w:line="238" w:lineRule="auto"/>
        <w:rPr>
          <w:sz w:val="20"/>
          <w:szCs w:val="20"/>
          <w:color w:val="auto"/>
        </w:rPr>
      </w:pPr>
      <w:r>
        <w:rPr>
          <w:rFonts w:ascii="Courier New" w:cs="Courier New" w:eastAsia="Courier New" w:hAnsi="Courier New"/>
          <w:sz w:val="18"/>
          <w:szCs w:val="18"/>
          <w:color w:val="auto"/>
        </w:rPr>
        <w:t>19.21 -</w:t>
      </w:r>
    </w:p>
    <w:p>
      <w:pPr>
        <w:jc w:val="center"/>
        <w:ind w:right="9119"/>
        <w:spacing w:after="0"/>
        <w:rPr>
          <w:sz w:val="20"/>
          <w:szCs w:val="20"/>
          <w:color w:val="auto"/>
        </w:rPr>
      </w:pPr>
      <w:r>
        <w:rPr>
          <w:rFonts w:ascii="Courier New" w:cs="Courier New" w:eastAsia="Courier New" w:hAnsi="Courier New"/>
          <w:sz w:val="18"/>
          <w:szCs w:val="18"/>
          <w:color w:val="auto"/>
        </w:rPr>
        <w:t>28.60</w:t>
      </w:r>
    </w:p>
    <w:p>
      <w:pPr>
        <w:jc w:val="center"/>
        <w:ind w:right="9119"/>
        <w:spacing w:after="0" w:line="238" w:lineRule="auto"/>
        <w:rPr>
          <w:sz w:val="20"/>
          <w:szCs w:val="20"/>
          <w:color w:val="auto"/>
        </w:rPr>
      </w:pPr>
      <w:r>
        <w:rPr>
          <w:rFonts w:ascii="Courier New" w:cs="Courier New" w:eastAsia="Courier New" w:hAnsi="Courier New"/>
          <w:sz w:val="18"/>
          <w:szCs w:val="18"/>
          <w:color w:val="auto"/>
        </w:rPr>
        <w:t>3,719,059</w:t>
      </w:r>
    </w:p>
    <w:p>
      <w:pPr>
        <w:jc w:val="center"/>
        <w:ind w:right="9119"/>
        <w:spacing w:after="0"/>
        <w:rPr>
          <w:sz w:val="20"/>
          <w:szCs w:val="20"/>
          <w:color w:val="auto"/>
        </w:rPr>
      </w:pPr>
      <w:r>
        <w:rPr>
          <w:rFonts w:ascii="Courier New" w:cs="Courier New" w:eastAsia="Courier New" w:hAnsi="Courier New"/>
          <w:sz w:val="16"/>
          <w:szCs w:val="16"/>
          <w:color w:val="auto"/>
        </w:rPr>
        <w:t>7.38 26.09</w:t>
      </w:r>
    </w:p>
    <w:p>
      <w:pPr>
        <w:spacing w:after="0" w:line="20"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8"/>
          <w:szCs w:val="18"/>
          <w:color w:val="auto"/>
        </w:rPr>
        <w:t>1,302,006</w:t>
      </w:r>
    </w:p>
    <w:p>
      <w:pPr>
        <w:jc w:val="center"/>
        <w:ind w:right="9119"/>
        <w:spacing w:after="0" w:line="238" w:lineRule="auto"/>
        <w:rPr>
          <w:sz w:val="20"/>
          <w:szCs w:val="20"/>
          <w:color w:val="auto"/>
        </w:rPr>
      </w:pPr>
      <w:r>
        <w:rPr>
          <w:rFonts w:ascii="Courier New" w:cs="Courier New" w:eastAsia="Courier New" w:hAnsi="Courier New"/>
          <w:sz w:val="18"/>
          <w:szCs w:val="18"/>
          <w:color w:val="auto"/>
        </w:rPr>
        <w:t>25.50</w:t>
      </w:r>
    </w:p>
    <w:p>
      <w:pPr>
        <w:jc w:val="center"/>
        <w:ind w:right="9119"/>
        <w:spacing w:after="0"/>
        <w:rPr>
          <w:sz w:val="20"/>
          <w:szCs w:val="20"/>
          <w:color w:val="auto"/>
        </w:rPr>
      </w:pPr>
      <w:r>
        <w:rPr>
          <w:rFonts w:ascii="Courier New" w:cs="Courier New" w:eastAsia="Courier New" w:hAnsi="Courier New"/>
          <w:sz w:val="18"/>
          <w:szCs w:val="18"/>
          <w:color w:val="auto"/>
        </w:rPr>
        <w:t>30.94 -</w:t>
      </w:r>
    </w:p>
    <w:p>
      <w:pPr>
        <w:jc w:val="center"/>
        <w:ind w:right="9119"/>
        <w:spacing w:after="0" w:line="238" w:lineRule="auto"/>
        <w:rPr>
          <w:sz w:val="20"/>
          <w:szCs w:val="20"/>
          <w:color w:val="auto"/>
        </w:rPr>
      </w:pPr>
      <w:r>
        <w:rPr>
          <w:rFonts w:ascii="Courier New" w:cs="Courier New" w:eastAsia="Courier New" w:hAnsi="Courier New"/>
          <w:sz w:val="18"/>
          <w:szCs w:val="18"/>
          <w:color w:val="auto"/>
        </w:rPr>
        <w:t>31.90</w:t>
      </w:r>
    </w:p>
    <w:p>
      <w:pPr>
        <w:jc w:val="center"/>
        <w:ind w:right="9119"/>
        <w:spacing w:after="0"/>
        <w:rPr>
          <w:sz w:val="20"/>
          <w:szCs w:val="20"/>
          <w:color w:val="auto"/>
        </w:rPr>
      </w:pPr>
      <w:r>
        <w:rPr>
          <w:rFonts w:ascii="Courier New" w:cs="Courier New" w:eastAsia="Courier New" w:hAnsi="Courier New"/>
          <w:sz w:val="18"/>
          <w:szCs w:val="18"/>
          <w:color w:val="auto"/>
        </w:rPr>
        <w:t>5,231,767</w:t>
      </w:r>
    </w:p>
    <w:p>
      <w:pPr>
        <w:jc w:val="center"/>
        <w:ind w:right="9119"/>
        <w:spacing w:after="0"/>
        <w:rPr>
          <w:sz w:val="20"/>
          <w:szCs w:val="20"/>
          <w:color w:val="auto"/>
        </w:rPr>
      </w:pPr>
      <w:r>
        <w:rPr>
          <w:rFonts w:ascii="Courier New" w:cs="Courier New" w:eastAsia="Courier New" w:hAnsi="Courier New"/>
          <w:sz w:val="16"/>
          <w:szCs w:val="16"/>
          <w:color w:val="auto"/>
        </w:rPr>
        <w:t>8.20 31.01</w:t>
      </w:r>
    </w:p>
    <w:p>
      <w:pPr>
        <w:spacing w:after="0" w:line="20"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8"/>
          <w:szCs w:val="18"/>
          <w:color w:val="auto"/>
        </w:rPr>
        <w:t>2,165,264</w:t>
      </w:r>
    </w:p>
    <w:p>
      <w:pPr>
        <w:jc w:val="center"/>
        <w:ind w:right="9119"/>
        <w:spacing w:after="0" w:line="238" w:lineRule="auto"/>
        <w:rPr>
          <w:sz w:val="20"/>
          <w:szCs w:val="20"/>
          <w:color w:val="auto"/>
        </w:rPr>
      </w:pPr>
      <w:r>
        <w:rPr>
          <w:rFonts w:ascii="Courier New" w:cs="Courier New" w:eastAsia="Courier New" w:hAnsi="Courier New"/>
          <w:sz w:val="18"/>
          <w:szCs w:val="18"/>
          <w:color w:val="auto"/>
        </w:rPr>
        <w:t>31.01</w:t>
      </w:r>
    </w:p>
    <w:p>
      <w:pPr>
        <w:jc w:val="center"/>
        <w:ind w:right="9119"/>
        <w:spacing w:after="0"/>
        <w:rPr>
          <w:sz w:val="20"/>
          <w:szCs w:val="20"/>
          <w:color w:val="auto"/>
        </w:rPr>
      </w:pPr>
      <w:r>
        <w:rPr>
          <w:rFonts w:ascii="Courier New" w:cs="Courier New" w:eastAsia="Courier New" w:hAnsi="Courier New"/>
          <w:sz w:val="18"/>
          <w:szCs w:val="18"/>
          <w:color w:val="auto"/>
        </w:rPr>
        <w:t>33.07 -</w:t>
      </w:r>
    </w:p>
    <w:p>
      <w:pPr>
        <w:jc w:val="center"/>
        <w:ind w:right="9119"/>
        <w:spacing w:after="0" w:line="238" w:lineRule="auto"/>
        <w:rPr>
          <w:sz w:val="20"/>
          <w:szCs w:val="20"/>
          <w:color w:val="auto"/>
        </w:rPr>
      </w:pPr>
      <w:r>
        <w:rPr>
          <w:rFonts w:ascii="Courier New" w:cs="Courier New" w:eastAsia="Courier New" w:hAnsi="Courier New"/>
          <w:sz w:val="18"/>
          <w:szCs w:val="18"/>
          <w:color w:val="auto"/>
        </w:rPr>
        <w:t>45.07</w:t>
      </w:r>
    </w:p>
    <w:p>
      <w:pPr>
        <w:jc w:val="center"/>
        <w:ind w:right="9119"/>
        <w:spacing w:after="0"/>
        <w:rPr>
          <w:sz w:val="20"/>
          <w:szCs w:val="20"/>
          <w:color w:val="auto"/>
        </w:rPr>
      </w:pPr>
      <w:r>
        <w:rPr>
          <w:rFonts w:ascii="Courier New" w:cs="Courier New" w:eastAsia="Courier New" w:hAnsi="Courier New"/>
          <w:sz w:val="18"/>
          <w:szCs w:val="18"/>
          <w:color w:val="auto"/>
        </w:rPr>
        <w:t>3,598,976</w:t>
      </w:r>
    </w:p>
    <w:p>
      <w:pPr>
        <w:jc w:val="center"/>
        <w:ind w:right="9119"/>
        <w:spacing w:after="0"/>
        <w:rPr>
          <w:sz w:val="20"/>
          <w:szCs w:val="20"/>
          <w:color w:val="auto"/>
        </w:rPr>
      </w:pPr>
      <w:r>
        <w:rPr>
          <w:rFonts w:ascii="Courier New" w:cs="Courier New" w:eastAsia="Courier New" w:hAnsi="Courier New"/>
          <w:sz w:val="16"/>
          <w:szCs w:val="16"/>
          <w:color w:val="auto"/>
        </w:rPr>
        <w:t>7.30 38.16</w:t>
      </w:r>
    </w:p>
    <w:p>
      <w:pPr>
        <w:spacing w:after="0" w:line="20"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8"/>
          <w:szCs w:val="18"/>
          <w:color w:val="auto"/>
        </w:rPr>
        <w:t>1,880,373</w:t>
      </w:r>
    </w:p>
    <w:p>
      <w:pPr>
        <w:jc w:val="center"/>
        <w:ind w:right="9119"/>
        <w:spacing w:after="0" w:line="238" w:lineRule="auto"/>
        <w:rPr>
          <w:sz w:val="20"/>
          <w:szCs w:val="20"/>
          <w:color w:val="auto"/>
        </w:rPr>
      </w:pPr>
      <w:r>
        <w:rPr>
          <w:rFonts w:ascii="Courier New" w:cs="Courier New" w:eastAsia="Courier New" w:hAnsi="Courier New"/>
          <w:sz w:val="18"/>
          <w:szCs w:val="18"/>
          <w:color w:val="auto"/>
        </w:rPr>
        <w:t>38.06</w:t>
      </w:r>
    </w:p>
    <w:p>
      <w:pPr>
        <w:jc w:val="center"/>
        <w:ind w:right="9119"/>
        <w:spacing w:after="0"/>
        <w:rPr>
          <w:sz w:val="20"/>
          <w:szCs w:val="20"/>
          <w:color w:val="auto"/>
        </w:rPr>
      </w:pPr>
      <w:r>
        <w:rPr>
          <w:rFonts w:ascii="Courier New" w:cs="Courier New" w:eastAsia="Courier New" w:hAnsi="Courier New"/>
          <w:sz w:val="18"/>
          <w:szCs w:val="18"/>
          <w:color w:val="auto"/>
        </w:rPr>
        <w:t>47.90 -</w:t>
      </w:r>
    </w:p>
    <w:p>
      <w:pPr>
        <w:jc w:val="center"/>
        <w:ind w:right="9119"/>
        <w:spacing w:after="0" w:line="238" w:lineRule="auto"/>
        <w:rPr>
          <w:sz w:val="20"/>
          <w:szCs w:val="20"/>
          <w:color w:val="auto"/>
        </w:rPr>
      </w:pPr>
      <w:r>
        <w:rPr>
          <w:rFonts w:ascii="Courier New" w:cs="Courier New" w:eastAsia="Courier New" w:hAnsi="Courier New"/>
          <w:sz w:val="18"/>
          <w:szCs w:val="18"/>
          <w:color w:val="auto"/>
        </w:rPr>
        <w:t>65.01</w:t>
      </w:r>
    </w:p>
    <w:p>
      <w:pPr>
        <w:jc w:val="center"/>
        <w:ind w:right="9119"/>
        <w:spacing w:after="0"/>
        <w:rPr>
          <w:sz w:val="20"/>
          <w:szCs w:val="20"/>
          <w:color w:val="auto"/>
        </w:rPr>
      </w:pPr>
      <w:r>
        <w:rPr>
          <w:rFonts w:ascii="Courier New" w:cs="Courier New" w:eastAsia="Courier New" w:hAnsi="Courier New"/>
          <w:sz w:val="18"/>
          <w:szCs w:val="18"/>
          <w:color w:val="auto"/>
        </w:rPr>
        <w:t>2,937,206</w:t>
      </w:r>
    </w:p>
    <w:p>
      <w:pPr>
        <w:jc w:val="center"/>
        <w:ind w:right="9119"/>
        <w:spacing w:after="0"/>
        <w:rPr>
          <w:sz w:val="20"/>
          <w:szCs w:val="20"/>
          <w:color w:val="auto"/>
        </w:rPr>
      </w:pPr>
      <w:r>
        <w:rPr>
          <w:rFonts w:ascii="Courier New" w:cs="Courier New" w:eastAsia="Courier New" w:hAnsi="Courier New"/>
          <w:sz w:val="16"/>
          <w:szCs w:val="16"/>
          <w:color w:val="auto"/>
        </w:rPr>
        <w:t>6.99 58.32</w:t>
      </w:r>
    </w:p>
    <w:p>
      <w:pPr>
        <w:spacing w:after="0" w:line="20"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8"/>
          <w:szCs w:val="18"/>
          <w:color w:val="auto"/>
        </w:rPr>
        <w:t>1,793,317</w:t>
      </w:r>
    </w:p>
    <w:p>
      <w:pPr>
        <w:jc w:val="center"/>
        <w:ind w:right="9119"/>
        <w:spacing w:after="0" w:line="238" w:lineRule="auto"/>
        <w:rPr>
          <w:sz w:val="20"/>
          <w:szCs w:val="20"/>
          <w:color w:val="auto"/>
        </w:rPr>
      </w:pPr>
      <w:r>
        <w:rPr>
          <w:rFonts w:ascii="Courier New" w:cs="Courier New" w:eastAsia="Courier New" w:hAnsi="Courier New"/>
          <w:sz w:val="18"/>
          <w:szCs w:val="18"/>
          <w:color w:val="auto"/>
        </w:rPr>
        <w:t>58.06</w:t>
      </w:r>
    </w:p>
    <w:p>
      <w:pPr>
        <w:jc w:val="center"/>
        <w:ind w:right="9119"/>
        <w:spacing w:after="0"/>
        <w:rPr>
          <w:sz w:val="20"/>
          <w:szCs w:val="20"/>
          <w:color w:val="auto"/>
        </w:rPr>
      </w:pPr>
      <w:r>
        <w:rPr>
          <w:rFonts w:ascii="Courier New" w:cs="Courier New" w:eastAsia="Courier New" w:hAnsi="Courier New"/>
          <w:sz w:val="18"/>
          <w:szCs w:val="18"/>
          <w:color w:val="auto"/>
        </w:rPr>
        <w:t>66.25 -</w:t>
      </w:r>
    </w:p>
    <w:p>
      <w:pPr>
        <w:jc w:val="center"/>
        <w:ind w:right="9119"/>
        <w:spacing w:after="0" w:line="238" w:lineRule="auto"/>
        <w:rPr>
          <w:sz w:val="20"/>
          <w:szCs w:val="20"/>
          <w:color w:val="auto"/>
        </w:rPr>
      </w:pPr>
      <w:r>
        <w:rPr>
          <w:rFonts w:ascii="Courier New" w:cs="Courier New" w:eastAsia="Courier New" w:hAnsi="Courier New"/>
          <w:sz w:val="18"/>
          <w:szCs w:val="18"/>
          <w:color w:val="auto"/>
        </w:rPr>
        <w:t>78.31</w:t>
      </w:r>
    </w:p>
    <w:p>
      <w:pPr>
        <w:jc w:val="center"/>
        <w:ind w:right="9119"/>
        <w:spacing w:after="0"/>
        <w:rPr>
          <w:sz w:val="20"/>
          <w:szCs w:val="20"/>
          <w:color w:val="auto"/>
        </w:rPr>
      </w:pPr>
      <w:r>
        <w:rPr>
          <w:rFonts w:ascii="Courier New" w:cs="Courier New" w:eastAsia="Courier New" w:hAnsi="Courier New"/>
          <w:sz w:val="18"/>
          <w:szCs w:val="18"/>
          <w:color w:val="auto"/>
        </w:rPr>
        <w:t>588,251</w:t>
      </w:r>
    </w:p>
    <w:p>
      <w:pPr>
        <w:jc w:val="center"/>
        <w:ind w:right="9119"/>
        <w:spacing w:after="0"/>
        <w:rPr>
          <w:sz w:val="20"/>
          <w:szCs w:val="20"/>
          <w:color w:val="auto"/>
        </w:rPr>
      </w:pPr>
      <w:r>
        <w:rPr>
          <w:rFonts w:ascii="Courier New" w:cs="Courier New" w:eastAsia="Courier New" w:hAnsi="Courier New"/>
          <w:sz w:val="16"/>
          <w:szCs w:val="16"/>
          <w:color w:val="auto"/>
        </w:rPr>
        <w:t>6.86 70.53</w:t>
      </w:r>
    </w:p>
    <w:p>
      <w:pPr>
        <w:spacing w:after="0" w:line="20"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8"/>
          <w:szCs w:val="18"/>
          <w:color w:val="auto"/>
        </w:rPr>
        <w:t>413,387</w:t>
      </w:r>
    </w:p>
    <w:p>
      <w:pPr>
        <w:jc w:val="center"/>
        <w:ind w:right="9119"/>
        <w:spacing w:after="0"/>
        <w:rPr>
          <w:sz w:val="20"/>
          <w:szCs w:val="20"/>
          <w:color w:val="auto"/>
        </w:rPr>
      </w:pPr>
      <w:r>
        <w:rPr>
          <w:rFonts w:ascii="Courier New" w:cs="Courier New" w:eastAsia="Courier New" w:hAnsi="Courier New"/>
          <w:sz w:val="18"/>
          <w:szCs w:val="18"/>
          <w:color w:val="auto"/>
        </w:rPr>
        <w:t>70.33</w:t>
      </w:r>
    </w:p>
    <w:p>
      <w:pPr>
        <w:spacing w:after="0" w:line="372" w:lineRule="exact"/>
        <w:rPr>
          <w:sz w:val="20"/>
          <w:szCs w:val="20"/>
          <w:color w:val="auto"/>
        </w:rPr>
      </w:pPr>
    </w:p>
    <w:p>
      <w:pPr>
        <w:jc w:val="right"/>
        <w:ind w:right="5679"/>
        <w:spacing w:after="0"/>
        <w:rPr>
          <w:sz w:val="20"/>
          <w:szCs w:val="20"/>
          <w:color w:val="auto"/>
        </w:rPr>
      </w:pPr>
      <w:r>
        <w:rPr>
          <w:rFonts w:ascii="Courier New" w:cs="Courier New" w:eastAsia="Courier New" w:hAnsi="Courier New"/>
          <w:sz w:val="18"/>
          <w:szCs w:val="18"/>
          <w:color w:val="auto"/>
        </w:rPr>
        <w:t>F-32</w:t>
      </w:r>
    </w:p>
    <w:p>
      <w:pPr>
        <w:sectPr>
          <w:pgSz w:w="11900" w:h="16838" w:orient="portrait"/>
          <w:cols w:equalWidth="0" w:num="1">
            <w:col w:w="10159"/>
          </w:cols>
          <w:pgMar w:left="300" w:top="110" w:right="1440" w:bottom="1440" w:gutter="0" w:footer="0" w:header="0"/>
        </w:sectPr>
      </w:pPr>
    </w:p>
    <w:bookmarkStart w:id="116" w:name="page117"/>
    <w:bookmarkEnd w:id="116"/>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3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(IN THOUSANDS, EXCEPT PER SHARE DATA)</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19 -- EARNINGS (LOSS) PER SHARE</w:t>
      </w:r>
    </w:p>
    <w:p>
      <w:pPr>
        <w:spacing w:after="0" w:line="201" w:lineRule="exact"/>
        <w:rPr>
          <w:sz w:val="20"/>
          <w:szCs w:val="20"/>
          <w:color w:val="auto"/>
        </w:rPr>
      </w:pPr>
    </w:p>
    <w:p>
      <w:pPr>
        <w:ind w:right="2619" w:firstLine="527"/>
        <w:spacing w:after="0" w:line="347" w:lineRule="auto"/>
        <w:rPr>
          <w:sz w:val="20"/>
          <w:szCs w:val="20"/>
          <w:color w:val="auto"/>
        </w:rPr>
      </w:pPr>
      <w:r>
        <w:rPr>
          <w:rFonts w:ascii="Courier New" w:cs="Courier New" w:eastAsia="Courier New" w:hAnsi="Courier New"/>
          <w:sz w:val="18"/>
          <w:szCs w:val="18"/>
          <w:color w:val="auto"/>
        </w:rPr>
        <w:t>The following table sets forth the computation of basic and diluted earnings (loss) per share:</w:t>
      </w:r>
    </w:p>
    <w:p>
      <w:pPr>
        <w:spacing w:after="0" w:line="18"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YEAR ENDED SEPTEMBER 30, --------------</w:t>
      </w:r>
    </w:p>
    <w:p>
      <w:pPr>
        <w:spacing w:after="0" w:line="29"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---------------- 2003 2002 2001 -------</w:t>
      </w:r>
    </w:p>
    <w:p>
      <w:pPr>
        <w:ind w:left="60" w:right="6059" w:firstLine="264"/>
        <w:spacing w:after="0" w:line="268" w:lineRule="auto"/>
        <w:tabs>
          <w:tab w:leader="none" w:pos="534"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Numerator: Net income (loss)..........................</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$168,883 $ (5,061) $ 66,386 ========</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 Denominator:</w:t>
      </w:r>
    </w:p>
    <w:p>
      <w:pPr>
        <w:jc w:val="center"/>
        <w:ind w:left="60" w:right="6059" w:firstLine="105"/>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Denominator for basic earnings (loss) per share -- weighted average number of</w:t>
      </w:r>
    </w:p>
    <w:p>
      <w:pPr>
        <w:jc w:val="center"/>
        <w:ind w:right="5999"/>
        <w:spacing w:after="0"/>
        <w:rPr>
          <w:sz w:val="20"/>
          <w:szCs w:val="20"/>
          <w:color w:val="auto"/>
        </w:rPr>
      </w:pPr>
      <w:r>
        <w:rPr>
          <w:rFonts w:ascii="Courier New" w:cs="Courier New" w:eastAsia="Courier New" w:hAnsi="Courier New"/>
          <w:sz w:val="18"/>
          <w:szCs w:val="18"/>
          <w:color w:val="auto"/>
        </w:rPr>
        <w:t>shares</w:t>
      </w:r>
    </w:p>
    <w:p>
      <w:pPr>
        <w:ind w:left="380"/>
        <w:spacing w:after="0" w:line="238" w:lineRule="auto"/>
        <w:rPr>
          <w:sz w:val="20"/>
          <w:szCs w:val="20"/>
          <w:color w:val="auto"/>
        </w:rPr>
      </w:pPr>
      <w:r>
        <w:rPr>
          <w:rFonts w:ascii="Courier New" w:cs="Courier New" w:eastAsia="Courier New" w:hAnsi="Courier New"/>
          <w:sz w:val="18"/>
          <w:szCs w:val="18"/>
          <w:color w:val="auto"/>
        </w:rPr>
        <w:t>outstanding(1)...................</w:t>
      </w:r>
    </w:p>
    <w:p>
      <w:pPr>
        <w:jc w:val="center"/>
        <w:ind w:right="5999"/>
        <w:spacing w:after="0"/>
        <w:rPr>
          <w:sz w:val="20"/>
          <w:szCs w:val="20"/>
          <w:color w:val="auto"/>
        </w:rPr>
      </w:pPr>
      <w:r>
        <w:rPr>
          <w:rFonts w:ascii="Courier New" w:cs="Courier New" w:eastAsia="Courier New" w:hAnsi="Courier New"/>
          <w:sz w:val="18"/>
          <w:szCs w:val="18"/>
          <w:color w:val="auto"/>
        </w:rPr>
        <w:t>215,849 220,361 222,002 Effect of</w:t>
      </w:r>
    </w:p>
    <w:p>
      <w:pPr>
        <w:jc w:val="center"/>
        <w:ind w:right="5999"/>
        <w:spacing w:after="0" w:line="238" w:lineRule="auto"/>
        <w:rPr>
          <w:sz w:val="20"/>
          <w:szCs w:val="20"/>
          <w:color w:val="auto"/>
        </w:rPr>
      </w:pPr>
      <w:r>
        <w:rPr>
          <w:rFonts w:ascii="Courier New" w:cs="Courier New" w:eastAsia="Courier New" w:hAnsi="Courier New"/>
          <w:sz w:val="18"/>
          <w:szCs w:val="18"/>
          <w:color w:val="auto"/>
        </w:rPr>
        <w:t>dilutive stock options</w:t>
      </w:r>
    </w:p>
    <w:tbl>
      <w:tblPr>
        <w:tblLayout w:type="fixed"/>
        <w:tblInd w:w="0" w:type="dxa"/>
        <w:tblCellMar>
          <w:top w:w="0" w:type="dxa"/>
          <w:left w:w="0" w:type="dxa"/>
          <w:bottom w:w="0" w:type="dxa"/>
          <w:right w:w="0" w:type="dxa"/>
        </w:tblCellMar>
      </w:tblPr>
      <w:tr>
        <w:trPr>
          <w:trHeight w:val="171"/>
        </w:trPr>
        <w:tc>
          <w:tcPr>
            <w:tcW w:w="2580" w:type="dxa"/>
            <w:vAlign w:val="bottom"/>
          </w:tcPr>
          <w:p>
            <w:pPr>
              <w:jc w:val="center"/>
              <w:spacing w:after="0"/>
              <w:rPr>
                <w:sz w:val="20"/>
                <w:szCs w:val="20"/>
                <w:color w:val="auto"/>
              </w:rPr>
            </w:pPr>
            <w:r>
              <w:rPr>
                <w:rFonts w:ascii="Courier New" w:cs="Courier New" w:eastAsia="Courier New" w:hAnsi="Courier New"/>
                <w:sz w:val="15"/>
                <w:szCs w:val="15"/>
                <w:color w:val="auto"/>
                <w:w w:val="71"/>
              </w:rPr>
              <w:t>granted(2)..............................</w:t>
            </w:r>
          </w:p>
        </w:tc>
        <w:tc>
          <w:tcPr>
            <w:tcW w:w="15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6"/>
              </w:rPr>
              <w:t>-------- ------</w:t>
            </w:r>
          </w:p>
        </w:tc>
        <w:tc>
          <w:tcPr>
            <w:tcW w:w="0" w:type="dxa"/>
            <w:vAlign w:val="bottom"/>
          </w:tcPr>
          <w:p>
            <w:pPr>
              <w:spacing w:after="0"/>
              <w:rPr>
                <w:sz w:val="1"/>
                <w:szCs w:val="1"/>
                <w:color w:val="auto"/>
              </w:rPr>
            </w:pPr>
          </w:p>
        </w:tc>
      </w:tr>
      <w:tr>
        <w:trPr>
          <w:trHeight w:val="235"/>
        </w:trPr>
        <w:tc>
          <w:tcPr>
            <w:tcW w:w="2580" w:type="dxa"/>
            <w:vAlign w:val="bottom"/>
          </w:tcPr>
          <w:p>
            <w:pPr>
              <w:jc w:val="right"/>
              <w:ind w:right="18"/>
              <w:spacing w:after="0"/>
              <w:rPr>
                <w:sz w:val="20"/>
                <w:szCs w:val="20"/>
                <w:color w:val="auto"/>
              </w:rPr>
            </w:pPr>
            <w:r>
              <w:rPr>
                <w:rFonts w:ascii="Courier New" w:cs="Courier New" w:eastAsia="Courier New" w:hAnsi="Courier New"/>
                <w:sz w:val="18"/>
                <w:szCs w:val="18"/>
                <w:color w:val="auto"/>
                <w:w w:val="99"/>
              </w:rPr>
              <w:t>4,027 -- 4,830 --------</w:t>
            </w:r>
          </w:p>
        </w:tc>
        <w:tc>
          <w:tcPr>
            <w:tcW w:w="15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ind w:left="160" w:right="6159" w:firstLine="533"/>
        <w:spacing w:after="0" w:line="268" w:lineRule="auto"/>
        <w:tabs>
          <w:tab w:leader="none" w:pos="1003"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Denominator for dilutive earnings(loss) per share -- adjusted weighted average shares and assumed conversions(1)....... 219,876 220,361</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226,832 ======== ======== ========</w:t>
      </w:r>
    </w:p>
    <w:p>
      <w:pPr>
        <w:ind w:left="8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Basic earnings (loss) per</w:t>
      </w:r>
    </w:p>
    <w:p>
      <w:pPr>
        <w:ind w:left="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share.............. $ 0.78 $ (0.02) $</w:t>
      </w:r>
    </w:p>
    <w:p>
      <w:pPr>
        <w:ind w:left="60"/>
        <w:spacing w:after="0"/>
        <w:rPr>
          <w:sz w:val="20"/>
          <w:szCs w:val="20"/>
          <w:color w:val="auto"/>
        </w:rPr>
      </w:pPr>
      <w:r>
        <w:rPr>
          <w:rFonts w:ascii="Courier New" w:cs="Courier New" w:eastAsia="Courier New" w:hAnsi="Courier New"/>
          <w:sz w:val="18"/>
          <w:szCs w:val="18"/>
          <w:color w:val="auto"/>
        </w:rPr>
        <w:t>0.30 ======== ======== ======== Diluted</w:t>
      </w:r>
    </w:p>
    <w:p>
      <w:pPr>
        <w:ind w:left="60"/>
        <w:spacing w:after="0" w:line="238" w:lineRule="auto"/>
        <w:rPr>
          <w:sz w:val="20"/>
          <w:szCs w:val="20"/>
          <w:color w:val="auto"/>
        </w:rPr>
      </w:pPr>
      <w:r>
        <w:rPr>
          <w:rFonts w:ascii="Courier New" w:cs="Courier New" w:eastAsia="Courier New" w:hAnsi="Courier New"/>
          <w:sz w:val="18"/>
          <w:szCs w:val="18"/>
          <w:color w:val="auto"/>
        </w:rPr>
        <w:t>earnings (loss) per share............ $</w:t>
      </w:r>
    </w:p>
    <w:p>
      <w:pPr>
        <w:jc w:val="center"/>
        <w:ind w:right="5999"/>
        <w:spacing w:after="0"/>
        <w:rPr>
          <w:sz w:val="20"/>
          <w:szCs w:val="20"/>
          <w:color w:val="auto"/>
        </w:rPr>
      </w:pPr>
      <w:r>
        <w:rPr>
          <w:rFonts w:ascii="Courier New" w:cs="Courier New" w:eastAsia="Courier New" w:hAnsi="Courier New"/>
          <w:sz w:val="18"/>
          <w:szCs w:val="18"/>
          <w:color w:val="auto"/>
        </w:rPr>
        <w:t>0.77 $ (0.02) $ 0.29 ======== ========</w:t>
      </w:r>
    </w:p>
    <w:p>
      <w:pPr>
        <w:jc w:val="center"/>
        <w:ind w:right="5999"/>
        <w:spacing w:after="0"/>
        <w:rPr>
          <w:sz w:val="20"/>
          <w:szCs w:val="20"/>
          <w:color w:val="auto"/>
        </w:rPr>
      </w:pPr>
      <w:r>
        <w:rPr>
          <w:rFonts w:ascii="Courier New" w:cs="Courier New" w:eastAsia="Courier New" w:hAnsi="Courier New"/>
          <w:sz w:val="18"/>
          <w:szCs w:val="18"/>
          <w:color w:val="auto"/>
        </w:rPr>
        <w:t>========</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31" w:lineRule="exact"/>
        <w:rPr>
          <w:sz w:val="20"/>
          <w:szCs w:val="20"/>
          <w:color w:val="auto"/>
        </w:rPr>
      </w:pPr>
    </w:p>
    <w:p>
      <w:pPr>
        <w:ind w:left="420" w:right="1999" w:hanging="412"/>
        <w:spacing w:after="0" w:line="252" w:lineRule="auto"/>
        <w:tabs>
          <w:tab w:leader="none" w:pos="420"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weighted average number of shares outstanding includes exchangeable shares issued to shareholders of Amdocs Canada, Inc. (formerly Solect Technology Group Inc. ("Solect")) pursuant to the Company's acquisition of Solect in April 2000, which were exchangeable for the Company's Ordinary Shares on a one-for-one basis. As of September 30, 2003, none of the exchangeable shares remained outstanding.</w:t>
      </w:r>
    </w:p>
    <w:p>
      <w:pPr>
        <w:spacing w:after="0" w:line="101" w:lineRule="exact"/>
        <w:rPr>
          <w:rFonts w:ascii="Courier New" w:cs="Courier New" w:eastAsia="Courier New" w:hAnsi="Courier New"/>
          <w:sz w:val="18"/>
          <w:szCs w:val="18"/>
          <w:color w:val="auto"/>
        </w:rPr>
      </w:pPr>
    </w:p>
    <w:p>
      <w:pPr>
        <w:ind w:left="420" w:right="2319" w:hanging="412"/>
        <w:spacing w:after="0" w:line="292" w:lineRule="auto"/>
        <w:tabs>
          <w:tab w:leader="none" w:pos="420"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Due to net loss, 2,201 anti-dilutive securities are excluded from the computation of diluted average number of shares outstanding in the year ended September 30, 2002.</w:t>
      </w:r>
    </w:p>
    <w:p>
      <w:pPr>
        <w:spacing w:after="0" w:line="66" w:lineRule="exact"/>
        <w:rPr>
          <w:sz w:val="20"/>
          <w:szCs w:val="20"/>
          <w:color w:val="auto"/>
        </w:rPr>
      </w:pPr>
    </w:p>
    <w:p>
      <w:pPr>
        <w:ind w:right="1779" w:firstLine="527"/>
        <w:spacing w:after="0" w:line="265" w:lineRule="auto"/>
        <w:rPr>
          <w:sz w:val="20"/>
          <w:szCs w:val="20"/>
          <w:color w:val="auto"/>
        </w:rPr>
      </w:pPr>
      <w:r>
        <w:rPr>
          <w:rFonts w:ascii="Courier New" w:cs="Courier New" w:eastAsia="Courier New" w:hAnsi="Courier New"/>
          <w:sz w:val="18"/>
          <w:szCs w:val="18"/>
          <w:color w:val="auto"/>
        </w:rPr>
        <w:t>The effect of the Notes on diluted earnings (loss) per share was anti-dilutive for the years ended September 30, 2003, 2002 and 2001, and therefore was not included in the calculation above. The weighted average effect of the repurchase of Ordinary Shares by the Company has been included in the calculation of basic earnings (loss) per share. See Note 17.</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20 -- SEGMENT INFORMATION AND SALES TO SIGNIFICANT CUSTOMERS</w:t>
      </w:r>
    </w:p>
    <w:p>
      <w:pPr>
        <w:spacing w:after="0" w:line="201" w:lineRule="exact"/>
        <w:rPr>
          <w:sz w:val="20"/>
          <w:szCs w:val="20"/>
          <w:color w:val="auto"/>
        </w:rPr>
      </w:pPr>
    </w:p>
    <w:p>
      <w:pPr>
        <w:ind w:right="2519" w:firstLine="527"/>
        <w:spacing w:after="0" w:line="292" w:lineRule="auto"/>
        <w:rPr>
          <w:sz w:val="20"/>
          <w:szCs w:val="20"/>
          <w:color w:val="auto"/>
        </w:rPr>
      </w:pPr>
      <w:r>
        <w:rPr>
          <w:rFonts w:ascii="Courier New" w:cs="Courier New" w:eastAsia="Courier New" w:hAnsi="Courier New"/>
          <w:sz w:val="18"/>
          <w:szCs w:val="18"/>
          <w:color w:val="auto"/>
        </w:rPr>
        <w:t>The Company and its subsidiaries operate in one operating segment, providing business support systems and related services primarily for the communications industry.</w:t>
      </w:r>
    </w:p>
    <w:p>
      <w:pPr>
        <w:spacing w:after="0" w:line="6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GEOGRAPHIC INFORMATION</w:t>
      </w:r>
    </w:p>
    <w:p>
      <w:pPr>
        <w:spacing w:after="0" w:line="201" w:lineRule="exact"/>
        <w:rPr>
          <w:sz w:val="20"/>
          <w:szCs w:val="20"/>
          <w:color w:val="auto"/>
        </w:rPr>
      </w:pPr>
    </w:p>
    <w:p>
      <w:pPr>
        <w:ind w:right="1999" w:firstLine="527"/>
        <w:spacing w:after="0" w:line="292" w:lineRule="auto"/>
        <w:rPr>
          <w:sz w:val="20"/>
          <w:szCs w:val="20"/>
          <w:color w:val="auto"/>
        </w:rPr>
      </w:pPr>
      <w:r>
        <w:rPr>
          <w:rFonts w:ascii="Courier New" w:cs="Courier New" w:eastAsia="Courier New" w:hAnsi="Courier New"/>
          <w:sz w:val="18"/>
          <w:szCs w:val="18"/>
          <w:color w:val="auto"/>
        </w:rPr>
        <w:t>The following is a summary of revenue and long-lived assets by geographic area. Revenue is attributed to geographic region based on the location of the customers.</w:t>
      </w:r>
    </w:p>
    <w:p>
      <w:pPr>
        <w:spacing w:after="0" w:line="6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F-33</w:t>
      </w:r>
    </w:p>
    <w:p>
      <w:pPr>
        <w:sectPr>
          <w:pgSz w:w="11900" w:h="16838" w:orient="portrait"/>
          <w:cols w:equalWidth="0" w:num="1">
            <w:col w:w="10219"/>
          </w:cols>
          <w:pgMar w:left="240" w:top="488" w:right="1440" w:bottom="1440" w:gutter="0" w:footer="0" w:header="0"/>
        </w:sectPr>
      </w:pPr>
    </w:p>
    <w:bookmarkStart w:id="117" w:name="page118"/>
    <w:bookmarkEnd w:id="117"/>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3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(IN THOUSANDS, EXCEPT PER SHARE DATA)</w:t>
      </w:r>
    </w:p>
    <w:p>
      <w:pPr>
        <w:spacing w:after="0" w:line="169"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YEAR ENDED SEPTEMBER 30, ---------------</w:t>
      </w:r>
    </w:p>
    <w:p>
      <w:pPr>
        <w:spacing w:after="0" w:line="29"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--------------------- 2003 2002 2001 ---</w:t>
      </w:r>
    </w:p>
    <w:p>
      <w:pPr>
        <w:ind w:left="220"/>
        <w:spacing w:after="0" w:line="238" w:lineRule="auto"/>
        <w:rPr>
          <w:sz w:val="20"/>
          <w:szCs w:val="20"/>
          <w:color w:val="auto"/>
        </w:rPr>
      </w:pPr>
      <w:r>
        <w:rPr>
          <w:rFonts w:ascii="Courier New" w:cs="Courier New" w:eastAsia="Courier New" w:hAnsi="Courier New"/>
          <w:sz w:val="18"/>
          <w:szCs w:val="18"/>
          <w:color w:val="auto"/>
        </w:rPr>
        <w:t>------- ---------- ---------- REVENUE</w:t>
      </w:r>
    </w:p>
    <w:tbl>
      <w:tblPr>
        <w:tblLayout w:type="fixed"/>
        <w:tblInd w:w="0" w:type="dxa"/>
        <w:tblCellMar>
          <w:top w:w="0" w:type="dxa"/>
          <w:left w:w="0" w:type="dxa"/>
          <w:bottom w:w="0" w:type="dxa"/>
          <w:right w:w="0" w:type="dxa"/>
        </w:tblCellMar>
      </w:tblPr>
      <w:tr>
        <w:trPr>
          <w:trHeight w:val="296"/>
        </w:trPr>
        <w:tc>
          <w:tcPr>
            <w:tcW w:w="1800" w:type="dxa"/>
            <w:vAlign w:val="bottom"/>
            <w:vMerge w:val="restart"/>
          </w:tcPr>
          <w:p>
            <w:pPr>
              <w:jc w:val="right"/>
              <w:spacing w:after="0"/>
              <w:rPr>
                <w:sz w:val="20"/>
                <w:szCs w:val="20"/>
                <w:color w:val="auto"/>
              </w:rPr>
            </w:pPr>
            <w:r>
              <w:rPr>
                <w:rFonts w:ascii="Courier New" w:cs="Courier New" w:eastAsia="Courier New" w:hAnsi="Courier New"/>
                <w:sz w:val="12"/>
                <w:szCs w:val="12"/>
                <w:color w:val="auto"/>
                <w:w w:val="72"/>
              </w:rPr>
              <w:t>States............................</w:t>
            </w:r>
          </w:p>
        </w:tc>
        <w:tc>
          <w:tcPr>
            <w:tcW w:w="820" w:type="dxa"/>
            <w:vAlign w:val="bottom"/>
          </w:tcPr>
          <w:p>
            <w:pPr>
              <w:jc w:val="right"/>
              <w:ind w:right="52"/>
              <w:spacing w:after="0"/>
              <w:rPr>
                <w:sz w:val="20"/>
                <w:szCs w:val="20"/>
                <w:color w:val="auto"/>
              </w:rPr>
            </w:pPr>
            <w:r>
              <w:rPr>
                <w:rFonts w:ascii="Courier New" w:cs="Courier New" w:eastAsia="Courier New" w:hAnsi="Courier New"/>
                <w:sz w:val="18"/>
                <w:szCs w:val="18"/>
                <w:color w:val="auto"/>
              </w:rPr>
              <w:t>United</w:t>
            </w:r>
          </w:p>
        </w:tc>
        <w:tc>
          <w:tcPr>
            <w:tcW w:w="80" w:type="dxa"/>
            <w:vAlign w:val="bottom"/>
          </w:tcPr>
          <w:p>
            <w:pPr>
              <w:spacing w:after="0"/>
              <w:rPr>
                <w:sz w:val="24"/>
                <w:szCs w:val="24"/>
                <w:color w:val="auto"/>
              </w:rPr>
            </w:pPr>
          </w:p>
        </w:tc>
        <w:tc>
          <w:tcPr>
            <w:tcW w:w="1880" w:type="dxa"/>
            <w:vAlign w:val="bottom"/>
            <w:vMerge w:val="restart"/>
          </w:tcPr>
          <w:p>
            <w:pPr>
              <w:jc w:val="right"/>
              <w:ind w:right="4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77"/>
        </w:trPr>
        <w:tc>
          <w:tcPr>
            <w:tcW w:w="1800" w:type="dxa"/>
            <w:vAlign w:val="bottom"/>
            <w:vMerge w:val="continue"/>
          </w:tcPr>
          <w:p>
            <w:pPr>
              <w:spacing w:after="0"/>
              <w:rPr>
                <w:sz w:val="6"/>
                <w:szCs w:val="6"/>
                <w:color w:val="auto"/>
              </w:rPr>
            </w:pPr>
          </w:p>
        </w:tc>
        <w:tc>
          <w:tcPr>
            <w:tcW w:w="820" w:type="dxa"/>
            <w:vAlign w:val="bottom"/>
          </w:tcPr>
          <w:p>
            <w:pPr>
              <w:spacing w:after="0"/>
              <w:rPr>
                <w:sz w:val="6"/>
                <w:szCs w:val="6"/>
                <w:color w:val="auto"/>
              </w:rPr>
            </w:pPr>
          </w:p>
        </w:tc>
        <w:tc>
          <w:tcPr>
            <w:tcW w:w="80" w:type="dxa"/>
            <w:vAlign w:val="bottom"/>
          </w:tcPr>
          <w:p>
            <w:pPr>
              <w:spacing w:after="0"/>
              <w:rPr>
                <w:sz w:val="6"/>
                <w:szCs w:val="6"/>
                <w:color w:val="auto"/>
              </w:rPr>
            </w:pPr>
          </w:p>
        </w:tc>
        <w:tc>
          <w:tcPr>
            <w:tcW w:w="18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6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732,400 $ 817,728</w:t>
            </w:r>
          </w:p>
        </w:tc>
        <w:tc>
          <w:tcPr>
            <w:tcW w:w="1960" w:type="dxa"/>
            <w:vAlign w:val="bottom"/>
            <w:gridSpan w:val="2"/>
          </w:tcPr>
          <w:p>
            <w:pPr>
              <w:ind w:left="20"/>
              <w:spacing w:after="0" w:line="203" w:lineRule="exact"/>
              <w:rPr>
                <w:sz w:val="20"/>
                <w:szCs w:val="20"/>
                <w:color w:val="auto"/>
              </w:rPr>
            </w:pPr>
            <w:r>
              <w:rPr>
                <w:rFonts w:ascii="Courier New" w:cs="Courier New" w:eastAsia="Courier New" w:hAnsi="Courier New"/>
                <w:sz w:val="18"/>
                <w:szCs w:val="18"/>
                <w:color w:val="auto"/>
              </w:rPr>
              <w:t>$ 690,444</w:t>
            </w:r>
          </w:p>
        </w:tc>
        <w:tc>
          <w:tcPr>
            <w:tcW w:w="0" w:type="dxa"/>
            <w:vAlign w:val="bottom"/>
          </w:tcPr>
          <w:p>
            <w:pPr>
              <w:spacing w:after="0"/>
              <w:rPr>
                <w:sz w:val="1"/>
                <w:szCs w:val="1"/>
                <w:color w:val="auto"/>
              </w:rPr>
            </w:pPr>
          </w:p>
        </w:tc>
      </w:tr>
      <w:tr>
        <w:trPr>
          <w:trHeight w:val="203"/>
        </w:trPr>
        <w:tc>
          <w:tcPr>
            <w:tcW w:w="1800" w:type="dxa"/>
            <w:vAlign w:val="bottom"/>
          </w:tcPr>
          <w:p>
            <w:pPr>
              <w:jc w:val="right"/>
              <w:spacing w:after="0"/>
              <w:rPr>
                <w:sz w:val="20"/>
                <w:szCs w:val="20"/>
                <w:color w:val="auto"/>
              </w:rPr>
            </w:pPr>
            <w:r>
              <w:rPr>
                <w:rFonts w:ascii="Courier New" w:cs="Courier New" w:eastAsia="Courier New" w:hAnsi="Courier New"/>
                <w:sz w:val="10"/>
                <w:szCs w:val="10"/>
                <w:color w:val="auto"/>
                <w:w w:val="72"/>
              </w:rPr>
              <w:t>Canada...................................</w:t>
            </w:r>
          </w:p>
        </w:tc>
        <w:tc>
          <w:tcPr>
            <w:tcW w:w="820" w:type="dxa"/>
            <w:vAlign w:val="bottom"/>
            <w:vMerge w:val="restart"/>
          </w:tcPr>
          <w:p>
            <w:pPr>
              <w:jc w:val="center"/>
              <w:spacing w:after="0"/>
              <w:rPr>
                <w:sz w:val="20"/>
                <w:szCs w:val="20"/>
                <w:color w:val="auto"/>
              </w:rPr>
            </w:pPr>
            <w:r>
              <w:rPr>
                <w:rFonts w:ascii="Courier New" w:cs="Courier New" w:eastAsia="Courier New" w:hAnsi="Courier New"/>
                <w:sz w:val="18"/>
                <w:szCs w:val="18"/>
                <w:color w:val="auto"/>
                <w:w w:val="97"/>
              </w:rPr>
              <w:t>178,240</w:t>
            </w:r>
          </w:p>
        </w:tc>
        <w:tc>
          <w:tcPr>
            <w:tcW w:w="1960" w:type="dxa"/>
            <w:vAlign w:val="bottom"/>
            <w:gridSpan w:val="2"/>
            <w:vMerge w:val="restart"/>
          </w:tcPr>
          <w:p>
            <w:pPr>
              <w:ind w:left="20"/>
              <w:spacing w:after="0"/>
              <w:rPr>
                <w:sz w:val="20"/>
                <w:szCs w:val="20"/>
                <w:color w:val="auto"/>
              </w:rPr>
            </w:pPr>
            <w:r>
              <w:rPr>
                <w:rFonts w:ascii="Courier New" w:cs="Courier New" w:eastAsia="Courier New" w:hAnsi="Courier New"/>
                <w:sz w:val="18"/>
                <w:szCs w:val="18"/>
                <w:color w:val="auto"/>
              </w:rPr>
              <w:t>133,201</w:t>
            </w:r>
          </w:p>
        </w:tc>
        <w:tc>
          <w:tcPr>
            <w:tcW w:w="0" w:type="dxa"/>
            <w:vAlign w:val="bottom"/>
          </w:tcPr>
          <w:p>
            <w:pPr>
              <w:spacing w:after="0"/>
              <w:rPr>
                <w:sz w:val="1"/>
                <w:szCs w:val="1"/>
                <w:color w:val="auto"/>
              </w:rPr>
            </w:pPr>
          </w:p>
        </w:tc>
      </w:tr>
      <w:tr>
        <w:trPr>
          <w:trHeight w:val="203"/>
        </w:trPr>
        <w:tc>
          <w:tcPr>
            <w:tcW w:w="1800" w:type="dxa"/>
            <w:vAlign w:val="bottom"/>
          </w:tcPr>
          <w:p>
            <w:pPr>
              <w:jc w:val="right"/>
              <w:ind w:right="39"/>
              <w:spacing w:after="0" w:line="203" w:lineRule="exact"/>
              <w:rPr>
                <w:sz w:val="20"/>
                <w:szCs w:val="20"/>
                <w:color w:val="auto"/>
              </w:rPr>
            </w:pPr>
            <w:r>
              <w:rPr>
                <w:rFonts w:ascii="Courier New" w:cs="Courier New" w:eastAsia="Courier New" w:hAnsi="Courier New"/>
                <w:sz w:val="18"/>
                <w:szCs w:val="18"/>
                <w:color w:val="auto"/>
              </w:rPr>
              <w:t>183,973</w:t>
            </w:r>
          </w:p>
        </w:tc>
        <w:tc>
          <w:tcPr>
            <w:tcW w:w="820" w:type="dxa"/>
            <w:vAlign w:val="bottom"/>
            <w:vMerge w:val="continue"/>
          </w:tcPr>
          <w:p>
            <w:pPr>
              <w:spacing w:after="0"/>
              <w:rPr>
                <w:sz w:val="17"/>
                <w:szCs w:val="17"/>
                <w:color w:val="auto"/>
              </w:rPr>
            </w:pPr>
          </w:p>
        </w:tc>
        <w:tc>
          <w:tcPr>
            <w:tcW w:w="19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0"/>
              </w:rPr>
              <w:t>Europe...................................</w:t>
            </w:r>
          </w:p>
        </w:tc>
        <w:tc>
          <w:tcPr>
            <w:tcW w:w="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80" w:type="dxa"/>
            <w:vAlign w:val="bottom"/>
            <w:gridSpan w:val="4"/>
          </w:tcPr>
          <w:p>
            <w:pPr>
              <w:jc w:val="right"/>
              <w:ind w:right="492"/>
              <w:spacing w:after="0" w:line="203" w:lineRule="exact"/>
              <w:rPr>
                <w:sz w:val="20"/>
                <w:szCs w:val="20"/>
                <w:color w:val="auto"/>
              </w:rPr>
            </w:pPr>
            <w:r>
              <w:rPr>
                <w:rFonts w:ascii="Courier New" w:cs="Courier New" w:eastAsia="Courier New" w:hAnsi="Courier New"/>
                <w:sz w:val="18"/>
                <w:szCs w:val="18"/>
                <w:color w:val="auto"/>
              </w:rPr>
              <w:t>442,673 466,098 549,106 Rest of the</w:t>
            </w:r>
          </w:p>
        </w:tc>
        <w:tc>
          <w:tcPr>
            <w:tcW w:w="0" w:type="dxa"/>
            <w:vAlign w:val="bottom"/>
          </w:tcPr>
          <w:p>
            <w:pPr>
              <w:spacing w:after="0"/>
              <w:rPr>
                <w:sz w:val="1"/>
                <w:szCs w:val="1"/>
                <w:color w:val="auto"/>
              </w:rPr>
            </w:pPr>
          </w:p>
        </w:tc>
      </w:tr>
      <w:tr>
        <w:trPr>
          <w:trHeight w:val="203"/>
        </w:trPr>
        <w:tc>
          <w:tcPr>
            <w:tcW w:w="26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3"/>
              </w:rPr>
              <w:t>world........................</w:t>
            </w:r>
          </w:p>
        </w:tc>
        <w:tc>
          <w:tcPr>
            <w:tcW w:w="80" w:type="dxa"/>
            <w:vAlign w:val="bottom"/>
          </w:tcPr>
          <w:p>
            <w:pPr>
              <w:spacing w:after="0"/>
              <w:rPr>
                <w:sz w:val="17"/>
                <w:szCs w:val="17"/>
                <w:color w:val="auto"/>
              </w:rPr>
            </w:pPr>
          </w:p>
        </w:tc>
        <w:tc>
          <w:tcPr>
            <w:tcW w:w="18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124,281</w:t>
            </w:r>
          </w:p>
        </w:tc>
        <w:tc>
          <w:tcPr>
            <w:tcW w:w="0" w:type="dxa"/>
            <w:vAlign w:val="bottom"/>
          </w:tcPr>
          <w:p>
            <w:pPr>
              <w:spacing w:after="0"/>
              <w:rPr>
                <w:sz w:val="1"/>
                <w:szCs w:val="1"/>
                <w:color w:val="auto"/>
              </w:rPr>
            </w:pPr>
          </w:p>
        </w:tc>
      </w:tr>
      <w:tr>
        <w:trPr>
          <w:trHeight w:val="203"/>
        </w:trPr>
        <w:tc>
          <w:tcPr>
            <w:tcW w:w="26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0"/>
              </w:rPr>
              <w:t>151,499 161,159 ----------</w:t>
            </w:r>
          </w:p>
        </w:tc>
        <w:tc>
          <w:tcPr>
            <w:tcW w:w="80" w:type="dxa"/>
            <w:vAlign w:val="bottom"/>
          </w:tcPr>
          <w:p>
            <w:pPr>
              <w:spacing w:after="0"/>
              <w:rPr>
                <w:sz w:val="17"/>
                <w:szCs w:val="17"/>
                <w:color w:val="auto"/>
              </w:rPr>
            </w:pPr>
          </w:p>
        </w:tc>
        <w:tc>
          <w:tcPr>
            <w:tcW w:w="18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w:t>
            </w:r>
          </w:p>
        </w:tc>
        <w:tc>
          <w:tcPr>
            <w:tcW w:w="0" w:type="dxa"/>
            <w:vAlign w:val="bottom"/>
          </w:tcPr>
          <w:p>
            <w:pPr>
              <w:spacing w:after="0"/>
              <w:rPr>
                <w:sz w:val="1"/>
                <w:szCs w:val="1"/>
                <w:color w:val="auto"/>
              </w:rPr>
            </w:pPr>
          </w:p>
        </w:tc>
      </w:tr>
      <w:tr>
        <w:trPr>
          <w:trHeight w:val="203"/>
        </w:trPr>
        <w:tc>
          <w:tcPr>
            <w:tcW w:w="2620" w:type="dxa"/>
            <w:vAlign w:val="bottom"/>
            <w:gridSpan w:val="2"/>
          </w:tcPr>
          <w:p>
            <w:pPr>
              <w:jc w:val="center"/>
              <w:ind w:left="1619"/>
              <w:spacing w:after="0" w:line="203" w:lineRule="exact"/>
              <w:rPr>
                <w:sz w:val="20"/>
                <w:szCs w:val="20"/>
                <w:color w:val="auto"/>
              </w:rPr>
            </w:pPr>
            <w:r>
              <w:rPr>
                <w:rFonts w:ascii="Courier New" w:cs="Courier New" w:eastAsia="Courier New" w:hAnsi="Courier New"/>
                <w:sz w:val="18"/>
                <w:szCs w:val="18"/>
                <w:color w:val="auto"/>
                <w:w w:val="97"/>
              </w:rPr>
              <w:t>--------</w:t>
            </w:r>
          </w:p>
        </w:tc>
        <w:tc>
          <w:tcPr>
            <w:tcW w:w="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0"/>
              </w:rPr>
              <w:t>Total....................................</w:t>
            </w:r>
          </w:p>
        </w:tc>
        <w:tc>
          <w:tcPr>
            <w:tcW w:w="80" w:type="dxa"/>
            <w:vAlign w:val="bottom"/>
          </w:tcPr>
          <w:p>
            <w:pPr>
              <w:spacing w:after="0"/>
              <w:rPr>
                <w:sz w:val="17"/>
                <w:szCs w:val="17"/>
                <w:color w:val="auto"/>
              </w:rPr>
            </w:pPr>
          </w:p>
        </w:tc>
        <w:tc>
          <w:tcPr>
            <w:tcW w:w="188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$1,533,910</w:t>
            </w:r>
          </w:p>
        </w:tc>
        <w:tc>
          <w:tcPr>
            <w:tcW w:w="0" w:type="dxa"/>
            <w:vAlign w:val="bottom"/>
          </w:tcPr>
          <w:p>
            <w:pPr>
              <w:spacing w:after="0"/>
              <w:rPr>
                <w:sz w:val="1"/>
                <w:szCs w:val="1"/>
                <w:color w:val="auto"/>
              </w:rPr>
            </w:pPr>
          </w:p>
        </w:tc>
      </w:tr>
      <w:tr>
        <w:trPr>
          <w:trHeight w:val="203"/>
        </w:trPr>
        <w:tc>
          <w:tcPr>
            <w:tcW w:w="27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$1,483,327 $1,613,565</w:t>
            </w:r>
          </w:p>
        </w:tc>
        <w:tc>
          <w:tcPr>
            <w:tcW w:w="1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4580" w:type="dxa"/>
            <w:vAlign w:val="bottom"/>
            <w:gridSpan w:val="4"/>
          </w:tcPr>
          <w:p>
            <w:pPr>
              <w:jc w:val="center"/>
              <w:ind w:right="172"/>
              <w:spacing w:after="0"/>
              <w:rPr>
                <w:sz w:val="20"/>
                <w:szCs w:val="20"/>
                <w:color w:val="auto"/>
              </w:rPr>
            </w:pPr>
            <w:r>
              <w:rPr>
                <w:rFonts w:ascii="Courier New" w:cs="Courier New" w:eastAsia="Courier New" w:hAnsi="Courier New"/>
                <w:sz w:val="18"/>
                <w:szCs w:val="18"/>
                <w:color w:val="auto"/>
                <w:w w:val="97"/>
              </w:rPr>
              <w:t>========== ========== ==========</w:t>
            </w:r>
          </w:p>
        </w:tc>
        <w:tc>
          <w:tcPr>
            <w:tcW w:w="0" w:type="dxa"/>
            <w:vAlign w:val="bottom"/>
          </w:tcPr>
          <w:p>
            <w:pPr>
              <w:spacing w:after="0"/>
              <w:rPr>
                <w:sz w:val="1"/>
                <w:szCs w:val="1"/>
                <w:color w:val="auto"/>
              </w:rPr>
            </w:pPr>
          </w:p>
        </w:tc>
      </w:tr>
      <w:tr>
        <w:trPr>
          <w:trHeight w:val="514"/>
        </w:trPr>
        <w:tc>
          <w:tcPr>
            <w:tcW w:w="4580" w:type="dxa"/>
            <w:vAlign w:val="bottom"/>
            <w:gridSpan w:val="4"/>
          </w:tcPr>
          <w:p>
            <w:pPr>
              <w:jc w:val="center"/>
              <w:spacing w:after="0"/>
              <w:rPr>
                <w:sz w:val="20"/>
                <w:szCs w:val="20"/>
                <w:color w:val="auto"/>
              </w:rPr>
            </w:pPr>
            <w:r>
              <w:rPr>
                <w:rFonts w:ascii="Courier New" w:cs="Courier New" w:eastAsia="Courier New" w:hAnsi="Courier New"/>
                <w:sz w:val="18"/>
                <w:szCs w:val="18"/>
                <w:color w:val="auto"/>
                <w:w w:val="97"/>
              </w:rPr>
              <w:t>AS OF SEPTEMBER 30, -----------------------</w:t>
            </w:r>
          </w:p>
        </w:tc>
        <w:tc>
          <w:tcPr>
            <w:tcW w:w="0" w:type="dxa"/>
            <w:vAlign w:val="bottom"/>
          </w:tcPr>
          <w:p>
            <w:pPr>
              <w:spacing w:after="0"/>
              <w:rPr>
                <w:sz w:val="1"/>
                <w:szCs w:val="1"/>
                <w:color w:val="auto"/>
              </w:rPr>
            </w:pPr>
          </w:p>
        </w:tc>
      </w:tr>
      <w:tr>
        <w:trPr>
          <w:trHeight w:val="203"/>
        </w:trPr>
        <w:tc>
          <w:tcPr>
            <w:tcW w:w="26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7"/>
              </w:rPr>
              <w:t>--------- 2003 2002 2001</w:t>
            </w:r>
          </w:p>
        </w:tc>
        <w:tc>
          <w:tcPr>
            <w:tcW w:w="80" w:type="dxa"/>
            <w:vAlign w:val="bottom"/>
          </w:tcPr>
          <w:p>
            <w:pPr>
              <w:spacing w:after="0"/>
              <w:rPr>
                <w:sz w:val="17"/>
                <w:szCs w:val="17"/>
                <w:color w:val="auto"/>
              </w:rPr>
            </w:pPr>
          </w:p>
        </w:tc>
        <w:tc>
          <w:tcPr>
            <w:tcW w:w="1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 -------</w:t>
            </w:r>
          </w:p>
        </w:tc>
        <w:tc>
          <w:tcPr>
            <w:tcW w:w="0" w:type="dxa"/>
            <w:vAlign w:val="bottom"/>
          </w:tcPr>
          <w:p>
            <w:pPr>
              <w:spacing w:after="0"/>
              <w:rPr>
                <w:sz w:val="1"/>
                <w:szCs w:val="1"/>
                <w:color w:val="auto"/>
              </w:rPr>
            </w:pPr>
          </w:p>
        </w:tc>
      </w:tr>
      <w:tr>
        <w:trPr>
          <w:trHeight w:val="203"/>
        </w:trPr>
        <w:tc>
          <w:tcPr>
            <w:tcW w:w="458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 -------- LONG-LIVED ASSETS United</w:t>
            </w:r>
          </w:p>
        </w:tc>
        <w:tc>
          <w:tcPr>
            <w:tcW w:w="0" w:type="dxa"/>
            <w:vAlign w:val="bottom"/>
          </w:tcPr>
          <w:p>
            <w:pPr>
              <w:spacing w:after="0"/>
              <w:rPr>
                <w:sz w:val="1"/>
                <w:szCs w:val="1"/>
                <w:color w:val="auto"/>
              </w:rPr>
            </w:pPr>
          </w:p>
        </w:tc>
      </w:tr>
      <w:tr>
        <w:trPr>
          <w:trHeight w:val="203"/>
        </w:trPr>
        <w:tc>
          <w:tcPr>
            <w:tcW w:w="1800" w:type="dxa"/>
            <w:vAlign w:val="bottom"/>
          </w:tcPr>
          <w:p>
            <w:pPr>
              <w:jc w:val="right"/>
              <w:spacing w:after="0"/>
              <w:rPr>
                <w:sz w:val="20"/>
                <w:szCs w:val="20"/>
                <w:color w:val="auto"/>
              </w:rPr>
            </w:pPr>
            <w:r>
              <w:rPr>
                <w:rFonts w:ascii="Courier New" w:cs="Courier New" w:eastAsia="Courier New" w:hAnsi="Courier New"/>
                <w:sz w:val="11"/>
                <w:szCs w:val="11"/>
                <w:color w:val="auto"/>
                <w:w w:val="72"/>
              </w:rPr>
              <w:t>States(1)............................</w:t>
            </w:r>
          </w:p>
        </w:tc>
        <w:tc>
          <w:tcPr>
            <w:tcW w:w="900" w:type="dxa"/>
            <w:vAlign w:val="bottom"/>
            <w:gridSpan w:val="2"/>
            <w:vMerge w:val="restart"/>
          </w:tcPr>
          <w:p>
            <w:pPr>
              <w:jc w:val="right"/>
              <w:spacing w:after="0"/>
              <w:rPr>
                <w:sz w:val="20"/>
                <w:szCs w:val="20"/>
                <w:color w:val="auto"/>
              </w:rPr>
            </w:pPr>
            <w:r>
              <w:rPr>
                <w:rFonts w:ascii="Courier New" w:cs="Courier New" w:eastAsia="Courier New" w:hAnsi="Courier New"/>
                <w:sz w:val="18"/>
                <w:szCs w:val="18"/>
                <w:color w:val="auto"/>
              </w:rPr>
              <w:t>$302,950</w:t>
            </w:r>
          </w:p>
        </w:tc>
        <w:tc>
          <w:tcPr>
            <w:tcW w:w="1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308,959</w:t>
            </w:r>
          </w:p>
        </w:tc>
        <w:tc>
          <w:tcPr>
            <w:tcW w:w="900" w:type="dxa"/>
            <w:vAlign w:val="bottom"/>
            <w:gridSpan w:val="2"/>
            <w:vMerge w:val="continue"/>
          </w:tcPr>
          <w:p>
            <w:pPr>
              <w:spacing w:after="0"/>
              <w:rPr>
                <w:sz w:val="17"/>
                <w:szCs w:val="17"/>
                <w:color w:val="auto"/>
              </w:rPr>
            </w:pPr>
          </w:p>
        </w:tc>
        <w:tc>
          <w:tcPr>
            <w:tcW w:w="18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$152,827</w:t>
            </w:r>
          </w:p>
        </w:tc>
        <w:tc>
          <w:tcPr>
            <w:tcW w:w="0" w:type="dxa"/>
            <w:vAlign w:val="bottom"/>
          </w:tcPr>
          <w:p>
            <w:pPr>
              <w:spacing w:after="0"/>
              <w:rPr>
                <w:sz w:val="1"/>
                <w:szCs w:val="1"/>
                <w:color w:val="auto"/>
              </w:rPr>
            </w:pPr>
          </w:p>
        </w:tc>
      </w:tr>
      <w:tr>
        <w:trPr>
          <w:trHeight w:val="203"/>
        </w:trPr>
        <w:tc>
          <w:tcPr>
            <w:tcW w:w="26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0"/>
              </w:rPr>
              <w:t>Canada(2)...................................</w:t>
            </w:r>
          </w:p>
        </w:tc>
        <w:tc>
          <w:tcPr>
            <w:tcW w:w="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8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686,748 539,832 714,019 Rest of the</w:t>
            </w:r>
          </w:p>
        </w:tc>
        <w:tc>
          <w:tcPr>
            <w:tcW w:w="0" w:type="dxa"/>
            <w:vAlign w:val="bottom"/>
          </w:tcPr>
          <w:p>
            <w:pPr>
              <w:spacing w:after="0"/>
              <w:rPr>
                <w:sz w:val="1"/>
                <w:szCs w:val="1"/>
                <w:color w:val="auto"/>
              </w:rPr>
            </w:pPr>
          </w:p>
        </w:tc>
      </w:tr>
      <w:tr>
        <w:trPr>
          <w:trHeight w:val="203"/>
        </w:trPr>
        <w:tc>
          <w:tcPr>
            <w:tcW w:w="26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5"/>
              </w:rPr>
              <w:t>world...........................</w:t>
            </w:r>
          </w:p>
        </w:tc>
        <w:tc>
          <w:tcPr>
            <w:tcW w:w="80" w:type="dxa"/>
            <w:vAlign w:val="bottom"/>
          </w:tcPr>
          <w:p>
            <w:pPr>
              <w:spacing w:after="0"/>
              <w:rPr>
                <w:sz w:val="17"/>
                <w:szCs w:val="17"/>
                <w:color w:val="auto"/>
              </w:rPr>
            </w:pPr>
          </w:p>
        </w:tc>
        <w:tc>
          <w:tcPr>
            <w:tcW w:w="1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90,911</w:t>
            </w:r>
          </w:p>
        </w:tc>
        <w:tc>
          <w:tcPr>
            <w:tcW w:w="0" w:type="dxa"/>
            <w:vAlign w:val="bottom"/>
          </w:tcPr>
          <w:p>
            <w:pPr>
              <w:spacing w:after="0"/>
              <w:rPr>
                <w:sz w:val="1"/>
                <w:szCs w:val="1"/>
                <w:color w:val="auto"/>
              </w:rPr>
            </w:pPr>
          </w:p>
        </w:tc>
      </w:tr>
      <w:tr>
        <w:trPr>
          <w:trHeight w:val="296"/>
        </w:trPr>
        <w:tc>
          <w:tcPr>
            <w:tcW w:w="1800" w:type="dxa"/>
            <w:vAlign w:val="bottom"/>
          </w:tcPr>
          <w:p>
            <w:pPr>
              <w:ind w:left="60"/>
              <w:spacing w:after="0"/>
              <w:rPr>
                <w:sz w:val="20"/>
                <w:szCs w:val="20"/>
                <w:color w:val="auto"/>
              </w:rPr>
            </w:pPr>
            <w:r>
              <w:rPr>
                <w:rFonts w:ascii="Courier New" w:cs="Courier New" w:eastAsia="Courier New" w:hAnsi="Courier New"/>
                <w:sz w:val="15"/>
                <w:szCs w:val="15"/>
                <w:color w:val="auto"/>
                <w:w w:val="73"/>
              </w:rPr>
              <w:t>138,334 132,365 ----------</w:t>
            </w:r>
          </w:p>
        </w:tc>
        <w:tc>
          <w:tcPr>
            <w:tcW w:w="820" w:type="dxa"/>
            <w:vAlign w:val="bottom"/>
            <w:vMerge w:val="restart"/>
          </w:tcPr>
          <w:p>
            <w:pPr>
              <w:jc w:val="center"/>
              <w:ind w:left="152"/>
              <w:spacing w:after="0"/>
              <w:rPr>
                <w:sz w:val="20"/>
                <w:szCs w:val="20"/>
                <w:color w:val="auto"/>
              </w:rPr>
            </w:pPr>
            <w:r>
              <w:rPr>
                <w:rFonts w:ascii="Courier New" w:cs="Courier New" w:eastAsia="Courier New" w:hAnsi="Courier New"/>
                <w:sz w:val="18"/>
                <w:szCs w:val="18"/>
                <w:color w:val="auto"/>
                <w:w w:val="92"/>
              </w:rPr>
              <w:t>-</w:t>
            </w:r>
          </w:p>
        </w:tc>
        <w:tc>
          <w:tcPr>
            <w:tcW w:w="8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Courier New" w:cs="Courier New" w:eastAsia="Courier New" w:hAnsi="Courier New"/>
                <w:sz w:val="18"/>
                <w:szCs w:val="18"/>
                <w:color w:val="auto"/>
              </w:rPr>
              <w:t>-------- -------</w:t>
            </w:r>
          </w:p>
        </w:tc>
        <w:tc>
          <w:tcPr>
            <w:tcW w:w="0" w:type="dxa"/>
            <w:vAlign w:val="bottom"/>
          </w:tcPr>
          <w:p>
            <w:pPr>
              <w:spacing w:after="0"/>
              <w:rPr>
                <w:sz w:val="1"/>
                <w:szCs w:val="1"/>
                <w:color w:val="auto"/>
              </w:rPr>
            </w:pPr>
          </w:p>
        </w:tc>
      </w:tr>
      <w:tr>
        <w:trPr>
          <w:trHeight w:val="141"/>
        </w:trPr>
        <w:tc>
          <w:tcPr>
            <w:tcW w:w="18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38" w:lineRule="auto"/>
        <w:rPr>
          <w:sz w:val="20"/>
          <w:szCs w:val="20"/>
          <w:color w:val="auto"/>
        </w:rPr>
      </w:pPr>
      <w:r>
        <w:rPr>
          <w:rFonts w:ascii="Courier New" w:cs="Courier New" w:eastAsia="Courier New" w:hAnsi="Courier New"/>
          <w:sz w:val="18"/>
          <w:szCs w:val="18"/>
          <w:color w:val="auto"/>
        </w:rPr>
        <w:t>Total.......................................</w:t>
      </w:r>
    </w:p>
    <w:p>
      <w:pPr>
        <w:jc w:val="center"/>
        <w:ind w:right="5579"/>
        <w:spacing w:after="0"/>
        <w:rPr>
          <w:sz w:val="20"/>
          <w:szCs w:val="20"/>
          <w:color w:val="auto"/>
        </w:rPr>
      </w:pPr>
      <w:r>
        <w:rPr>
          <w:rFonts w:ascii="Courier New" w:cs="Courier New" w:eastAsia="Courier New" w:hAnsi="Courier New"/>
          <w:sz w:val="18"/>
          <w:szCs w:val="18"/>
          <w:color w:val="auto"/>
        </w:rPr>
        <w:t>$1,086,618 $981,116 $999,211 ==========</w:t>
      </w:r>
    </w:p>
    <w:p>
      <w:pPr>
        <w:jc w:val="center"/>
        <w:ind w:right="5579"/>
        <w:spacing w:after="0"/>
        <w:rPr>
          <w:sz w:val="20"/>
          <w:szCs w:val="20"/>
          <w:color w:val="auto"/>
        </w:rPr>
      </w:pPr>
      <w:r>
        <w:rPr>
          <w:rFonts w:ascii="Courier New" w:cs="Courier New" w:eastAsia="Courier New" w:hAnsi="Courier New"/>
          <w:sz w:val="18"/>
          <w:szCs w:val="18"/>
          <w:color w:val="auto"/>
        </w:rPr>
        <w:t>======== ========</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31" w:lineRule="exact"/>
        <w:rPr>
          <w:sz w:val="20"/>
          <w:szCs w:val="20"/>
          <w:color w:val="auto"/>
        </w:rPr>
      </w:pPr>
    </w:p>
    <w:p>
      <w:pPr>
        <w:ind w:left="420" w:hanging="412"/>
        <w:spacing w:after="0"/>
        <w:tabs>
          <w:tab w:leader="none" w:pos="420"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Primarily goodwill, computer software and hardware.</w:t>
      </w:r>
    </w:p>
    <w:p>
      <w:pPr>
        <w:spacing w:after="0" w:line="16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Primarily goodwill.</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REVENUE AND CUSTOMER INFORMATION</w:t>
      </w:r>
    </w:p>
    <w:p>
      <w:pPr>
        <w:spacing w:after="0" w:line="201" w:lineRule="exact"/>
        <w:rPr>
          <w:sz w:val="20"/>
          <w:szCs w:val="20"/>
          <w:color w:val="auto"/>
        </w:rPr>
      </w:pPr>
    </w:p>
    <w:p>
      <w:pPr>
        <w:ind w:right="1779" w:firstLine="527"/>
        <w:spacing w:after="0" w:line="260" w:lineRule="auto"/>
        <w:rPr>
          <w:sz w:val="20"/>
          <w:szCs w:val="20"/>
          <w:color w:val="auto"/>
        </w:rPr>
      </w:pPr>
      <w:r>
        <w:rPr>
          <w:rFonts w:ascii="Courier New" w:cs="Courier New" w:eastAsia="Courier New" w:hAnsi="Courier New"/>
          <w:sz w:val="18"/>
          <w:szCs w:val="18"/>
          <w:color w:val="auto"/>
        </w:rPr>
        <w:t>Customer care and billing, customer relationship management or CRM, and order management systems (collectively, "CC&amp;B") include systems for wireline, wireless, voice, data, broadband, content, electronic and mobile commerce and IP services. Directory includes directory sales and publishing systems for publishers of both traditional printed yellow pages and white pages directories and electronic Internet directories.</w:t>
      </w:r>
    </w:p>
    <w:p>
      <w:pPr>
        <w:spacing w:after="0" w:line="93"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YEAR ENDED SEPTEMBER 30, ---------------</w:t>
      </w:r>
    </w:p>
    <w:tbl>
      <w:tblPr>
        <w:tblLayout w:type="fixed"/>
        <w:tblInd w:w="0" w:type="dxa"/>
        <w:tblCellMar>
          <w:top w:w="0" w:type="dxa"/>
          <w:left w:w="0" w:type="dxa"/>
          <w:bottom w:w="0" w:type="dxa"/>
          <w:right w:w="0" w:type="dxa"/>
        </w:tblCellMar>
      </w:tblPr>
      <w:tr>
        <w:trPr>
          <w:trHeight w:val="201"/>
        </w:trPr>
        <w:tc>
          <w:tcPr>
            <w:tcW w:w="3900" w:type="dxa"/>
            <w:vAlign w:val="bottom"/>
            <w:gridSpan w:val="2"/>
          </w:tcPr>
          <w:p>
            <w:pPr>
              <w:jc w:val="right"/>
              <w:spacing w:after="0" w:line="201" w:lineRule="exact"/>
              <w:rPr>
                <w:sz w:val="20"/>
                <w:szCs w:val="20"/>
                <w:color w:val="auto"/>
              </w:rPr>
            </w:pPr>
            <w:r>
              <w:rPr>
                <w:rFonts w:ascii="Courier New" w:cs="Courier New" w:eastAsia="Courier New" w:hAnsi="Courier New"/>
                <w:sz w:val="18"/>
                <w:szCs w:val="18"/>
                <w:color w:val="auto"/>
                <w:w w:val="98"/>
              </w:rPr>
              <w:t>--------------------- 2003 2002 2001</w:t>
            </w:r>
          </w:p>
        </w:tc>
        <w:tc>
          <w:tcPr>
            <w:tcW w:w="360" w:type="dxa"/>
            <w:vAlign w:val="bottom"/>
          </w:tcPr>
          <w:p>
            <w:pPr>
              <w:jc w:val="right"/>
              <w:spacing w:after="0" w:line="201"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9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 ---------- ----------</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00" w:type="dxa"/>
            <w:vAlign w:val="bottom"/>
          </w:tcPr>
          <w:p>
            <w:pPr>
              <w:spacing w:after="0"/>
              <w:rPr>
                <w:sz w:val="20"/>
                <w:szCs w:val="20"/>
                <w:color w:val="auto"/>
              </w:rPr>
            </w:pPr>
            <w:r>
              <w:rPr>
                <w:rFonts w:ascii="Courier New" w:cs="Courier New" w:eastAsia="Courier New" w:hAnsi="Courier New"/>
                <w:sz w:val="16"/>
                <w:szCs w:val="16"/>
                <w:color w:val="auto"/>
                <w:w w:val="70"/>
              </w:rPr>
              <w:t>CC&amp;B.....................................</w:t>
            </w:r>
          </w:p>
        </w:tc>
        <w:tc>
          <w:tcPr>
            <w:tcW w:w="11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4"/>
              </w:rPr>
              <w:t>$1,379,654</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00" w:type="dxa"/>
            <w:vAlign w:val="bottom"/>
          </w:tcPr>
          <w:p>
            <w:pPr>
              <w:jc w:val="right"/>
              <w:ind w:right="36"/>
              <w:spacing w:after="0" w:line="203" w:lineRule="exact"/>
              <w:rPr>
                <w:sz w:val="20"/>
                <w:szCs w:val="20"/>
                <w:color w:val="auto"/>
              </w:rPr>
            </w:pPr>
            <w:r>
              <w:rPr>
                <w:rFonts w:ascii="Courier New" w:cs="Courier New" w:eastAsia="Courier New" w:hAnsi="Courier New"/>
                <w:sz w:val="18"/>
                <w:szCs w:val="18"/>
                <w:color w:val="auto"/>
              </w:rPr>
              <w:t>$1,280,430 $1,439,980</w:t>
            </w:r>
          </w:p>
        </w:tc>
        <w:tc>
          <w:tcPr>
            <w:tcW w:w="110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2"/>
                <w:szCs w:val="12"/>
                <w:color w:val="auto"/>
                <w:w w:val="74"/>
              </w:rPr>
              <w:t>Directory................................</w:t>
            </w:r>
            <w:r>
              <w:rPr>
                <w:rFonts w:ascii="Courier New" w:cs="Courier New" w:eastAsia="Courier New" w:hAnsi="Courier New"/>
                <w:sz w:val="20"/>
                <w:szCs w:val="20"/>
                <w:color w:val="auto"/>
                <w:w w:val="74"/>
                <w:vertAlign w:val="subscript"/>
              </w:rPr>
              <w:t>----------</w:t>
            </w:r>
          </w:p>
        </w:tc>
        <w:tc>
          <w:tcPr>
            <w:tcW w:w="1460" w:type="dxa"/>
            <w:vAlign w:val="bottom"/>
            <w:gridSpan w:val="2"/>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800" w:type="dxa"/>
            <w:vAlign w:val="bottom"/>
          </w:tcPr>
          <w:p>
            <w:pPr>
              <w:jc w:val="right"/>
              <w:ind w:right="236"/>
              <w:spacing w:after="0" w:line="203" w:lineRule="exact"/>
              <w:rPr>
                <w:sz w:val="20"/>
                <w:szCs w:val="20"/>
                <w:color w:val="auto"/>
              </w:rPr>
            </w:pPr>
            <w:r>
              <w:rPr>
                <w:rFonts w:ascii="Courier New" w:cs="Courier New" w:eastAsia="Courier New" w:hAnsi="Courier New"/>
                <w:sz w:val="18"/>
                <w:szCs w:val="18"/>
                <w:color w:val="auto"/>
                <w:w w:val="99"/>
              </w:rPr>
              <w:t>202,897 173,585 154,256</w:t>
            </w:r>
          </w:p>
        </w:tc>
        <w:tc>
          <w:tcPr>
            <w:tcW w:w="14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gridSpan w:val="2"/>
          </w:tcPr>
          <w:p>
            <w:pPr>
              <w:jc w:val="right"/>
              <w:ind w:right="812"/>
              <w:spacing w:after="0" w:line="203" w:lineRule="exact"/>
              <w:rPr>
                <w:sz w:val="20"/>
                <w:szCs w:val="20"/>
                <w:color w:val="auto"/>
              </w:rPr>
            </w:pPr>
            <w:r>
              <w:rPr>
                <w:rFonts w:ascii="Courier New" w:cs="Courier New" w:eastAsia="Courier New" w:hAnsi="Courier New"/>
                <w:sz w:val="18"/>
                <w:szCs w:val="18"/>
                <w:color w:val="auto"/>
              </w:rPr>
              <w:t>----- ----------</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00" w:type="dxa"/>
            <w:vAlign w:val="bottom"/>
          </w:tcPr>
          <w:p>
            <w:pPr>
              <w:spacing w:after="0"/>
              <w:rPr>
                <w:sz w:val="20"/>
                <w:szCs w:val="20"/>
                <w:color w:val="auto"/>
              </w:rPr>
            </w:pPr>
            <w:r>
              <w:rPr>
                <w:rFonts w:ascii="Courier New" w:cs="Courier New" w:eastAsia="Courier New" w:hAnsi="Courier New"/>
                <w:sz w:val="16"/>
                <w:szCs w:val="16"/>
                <w:color w:val="auto"/>
                <w:w w:val="70"/>
              </w:rPr>
              <w:t>Total....................................</w:t>
            </w:r>
          </w:p>
        </w:tc>
        <w:tc>
          <w:tcPr>
            <w:tcW w:w="11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4"/>
              </w:rPr>
              <w:t>$1,533,910</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00" w:type="dxa"/>
            <w:vAlign w:val="bottom"/>
          </w:tcPr>
          <w:p>
            <w:pPr>
              <w:jc w:val="right"/>
              <w:ind w:right="36"/>
              <w:spacing w:after="0" w:line="203" w:lineRule="exact"/>
              <w:rPr>
                <w:sz w:val="20"/>
                <w:szCs w:val="20"/>
                <w:color w:val="auto"/>
              </w:rPr>
            </w:pPr>
            <w:r>
              <w:rPr>
                <w:rFonts w:ascii="Courier New" w:cs="Courier New" w:eastAsia="Courier New" w:hAnsi="Courier New"/>
                <w:sz w:val="18"/>
                <w:szCs w:val="18"/>
                <w:color w:val="auto"/>
              </w:rPr>
              <w:t>$1,483,327 $1,613,565</w:t>
            </w:r>
          </w:p>
        </w:tc>
        <w:tc>
          <w:tcPr>
            <w:tcW w:w="110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9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 ========== ==========</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F-34</w:t>
      </w:r>
    </w:p>
    <w:p>
      <w:pPr>
        <w:sectPr>
          <w:pgSz w:w="11900" w:h="16838" w:orient="portrait"/>
          <w:cols w:equalWidth="0" w:num="1">
            <w:col w:w="10219"/>
          </w:cols>
          <w:pgMar w:left="240" w:top="488" w:right="1440" w:bottom="1440" w:gutter="0" w:footer="0" w:header="0"/>
        </w:sectPr>
      </w:pPr>
    </w:p>
    <w:bookmarkStart w:id="118" w:name="page119"/>
    <w:bookmarkEnd w:id="118"/>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3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(IN THOUSANDS, EXCEPT PER SHARE DATA)</w:t>
      </w:r>
    </w:p>
    <w:p>
      <w:pPr>
        <w:spacing w:after="0" w:line="16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SALES TO SIGNIFICANT CUSTOMERS</w:t>
      </w:r>
    </w:p>
    <w:p>
      <w:pPr>
        <w:spacing w:after="0" w:line="201" w:lineRule="exact"/>
        <w:rPr>
          <w:sz w:val="20"/>
          <w:szCs w:val="20"/>
          <w:color w:val="auto"/>
        </w:rPr>
      </w:pPr>
    </w:p>
    <w:p>
      <w:pPr>
        <w:ind w:right="2099" w:firstLine="527"/>
        <w:spacing w:after="0" w:line="402" w:lineRule="auto"/>
        <w:rPr>
          <w:sz w:val="20"/>
          <w:szCs w:val="20"/>
          <w:color w:val="auto"/>
        </w:rPr>
      </w:pPr>
      <w:r>
        <w:rPr>
          <w:rFonts w:ascii="Courier New" w:cs="Courier New" w:eastAsia="Courier New" w:hAnsi="Courier New"/>
          <w:sz w:val="16"/>
          <w:szCs w:val="16"/>
          <w:color w:val="auto"/>
        </w:rPr>
        <w:t>The following table summarizes the percentage of sales to significant customers groups (when they exceed 10 percent of total revenue for the year).</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YEAR ENDED SEPTEMBER 30, ---------------------</w:t>
      </w:r>
    </w:p>
    <w:p>
      <w:pPr>
        <w:spacing w:after="0" w:line="2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2003 2002 2001 ----- ----- ----- Nextel</w:t>
      </w:r>
    </w:p>
    <w:tbl>
      <w:tblPr>
        <w:tblLayout w:type="fixed"/>
        <w:tblInd w:w="0" w:type="dxa"/>
        <w:tblCellMar>
          <w:top w:w="0" w:type="dxa"/>
          <w:left w:w="0" w:type="dxa"/>
          <w:bottom w:w="0" w:type="dxa"/>
          <w:right w:w="0" w:type="dxa"/>
        </w:tblCellMar>
      </w:tblPr>
      <w:tr>
        <w:trPr>
          <w:trHeight w:val="171"/>
        </w:trPr>
        <w:tc>
          <w:tcPr>
            <w:tcW w:w="1380" w:type="dxa"/>
            <w:vAlign w:val="bottom"/>
            <w:vMerge w:val="restart"/>
          </w:tcPr>
          <w:p>
            <w:pPr>
              <w:jc w:val="right"/>
              <w:spacing w:after="0"/>
              <w:rPr>
                <w:sz w:val="20"/>
                <w:szCs w:val="20"/>
                <w:color w:val="auto"/>
              </w:rPr>
            </w:pPr>
            <w:r>
              <w:rPr>
                <w:rFonts w:ascii="Courier New" w:cs="Courier New" w:eastAsia="Courier New" w:hAnsi="Courier New"/>
                <w:sz w:val="8"/>
                <w:szCs w:val="8"/>
                <w:color w:val="auto"/>
                <w:w w:val="78"/>
              </w:rPr>
              <w:t>group...............................</w:t>
            </w:r>
          </w:p>
        </w:tc>
        <w:tc>
          <w:tcPr>
            <w:tcW w:w="2940" w:type="dxa"/>
            <w:vAlign w:val="bottom"/>
          </w:tcPr>
          <w:p>
            <w:pPr>
              <w:jc w:val="center"/>
              <w:ind w:right="432"/>
              <w:spacing w:after="0" w:line="170" w:lineRule="exact"/>
              <w:rPr>
                <w:sz w:val="20"/>
                <w:szCs w:val="20"/>
                <w:color w:val="auto"/>
              </w:rPr>
            </w:pPr>
            <w:r>
              <w:rPr>
                <w:rFonts w:ascii="Courier New" w:cs="Courier New" w:eastAsia="Courier New" w:hAnsi="Courier New"/>
                <w:sz w:val="18"/>
                <w:szCs w:val="18"/>
                <w:color w:val="auto"/>
                <w:w w:val="96"/>
              </w:rPr>
              <w:t>Communications</w:t>
            </w:r>
          </w:p>
        </w:tc>
        <w:tc>
          <w:tcPr>
            <w:tcW w:w="800" w:type="dxa"/>
            <w:vAlign w:val="bottom"/>
            <w:vMerge w:val="restart"/>
          </w:tcPr>
          <w:p>
            <w:pPr>
              <w:ind w:left="60"/>
              <w:spacing w:after="0"/>
              <w:rPr>
                <w:sz w:val="20"/>
                <w:szCs w:val="20"/>
                <w:color w:val="auto"/>
              </w:rPr>
            </w:pPr>
            <w:r>
              <w:rPr>
                <w:rFonts w:ascii="Courier New" w:cs="Courier New" w:eastAsia="Courier New" w:hAnsi="Courier New"/>
                <w:sz w:val="18"/>
                <w:szCs w:val="18"/>
                <w:color w:val="auto"/>
                <w:w w:val="95"/>
              </w:rPr>
              <w:t>12% 10%</w:t>
            </w:r>
          </w:p>
        </w:tc>
        <w:tc>
          <w:tcPr>
            <w:tcW w:w="0" w:type="dxa"/>
            <w:vAlign w:val="bottom"/>
          </w:tcPr>
          <w:p>
            <w:pPr>
              <w:spacing w:after="0"/>
              <w:rPr>
                <w:sz w:val="1"/>
                <w:szCs w:val="1"/>
                <w:color w:val="auto"/>
              </w:rPr>
            </w:pPr>
          </w:p>
        </w:tc>
      </w:tr>
      <w:tr>
        <w:trPr>
          <w:trHeight w:val="203"/>
        </w:trPr>
        <w:tc>
          <w:tcPr>
            <w:tcW w:w="1380" w:type="dxa"/>
            <w:vAlign w:val="bottom"/>
            <w:vMerge w:val="continue"/>
          </w:tcPr>
          <w:p>
            <w:pPr>
              <w:spacing w:after="0"/>
              <w:rPr>
                <w:sz w:val="17"/>
                <w:szCs w:val="17"/>
                <w:color w:val="auto"/>
              </w:rPr>
            </w:pPr>
          </w:p>
        </w:tc>
        <w:tc>
          <w:tcPr>
            <w:tcW w:w="2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w:t>
            </w:r>
          </w:p>
        </w:tc>
        <w:tc>
          <w:tcPr>
            <w:tcW w:w="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vMerge w:val="restart"/>
          </w:tcPr>
          <w:p>
            <w:pPr>
              <w:jc w:val="right"/>
              <w:spacing w:after="0"/>
              <w:rPr>
                <w:sz w:val="20"/>
                <w:szCs w:val="20"/>
                <w:color w:val="auto"/>
              </w:rPr>
            </w:pPr>
            <w:r>
              <w:rPr>
                <w:rFonts w:ascii="Courier New" w:cs="Courier New" w:eastAsia="Courier New" w:hAnsi="Courier New"/>
                <w:sz w:val="9"/>
                <w:szCs w:val="9"/>
                <w:color w:val="auto"/>
                <w:w w:val="74"/>
              </w:rPr>
              <w:t>group(1)..........................</w:t>
            </w:r>
          </w:p>
        </w:tc>
        <w:tc>
          <w:tcPr>
            <w:tcW w:w="2940" w:type="dxa"/>
            <w:vAlign w:val="bottom"/>
          </w:tcPr>
          <w:p>
            <w:pPr>
              <w:jc w:val="center"/>
              <w:ind w:right="432"/>
              <w:spacing w:after="0" w:line="203" w:lineRule="exact"/>
              <w:rPr>
                <w:sz w:val="20"/>
                <w:szCs w:val="20"/>
                <w:color w:val="auto"/>
              </w:rPr>
            </w:pPr>
            <w:r>
              <w:rPr>
                <w:rFonts w:ascii="Courier New" w:cs="Courier New" w:eastAsia="Courier New" w:hAnsi="Courier New"/>
                <w:sz w:val="18"/>
                <w:szCs w:val="18"/>
                <w:color w:val="auto"/>
                <w:w w:val="97"/>
              </w:rPr>
              <w:t>SBC Communications Inc.</w:t>
            </w:r>
          </w:p>
        </w:tc>
        <w:tc>
          <w:tcPr>
            <w:tcW w:w="800" w:type="dxa"/>
            <w:vAlign w:val="bottom"/>
            <w:vMerge w:val="restart"/>
          </w:tcPr>
          <w:p>
            <w:pPr>
              <w:ind w:left="60"/>
              <w:spacing w:after="0"/>
              <w:rPr>
                <w:sz w:val="20"/>
                <w:szCs w:val="20"/>
                <w:color w:val="auto"/>
              </w:rPr>
            </w:pPr>
            <w:r>
              <w:rPr>
                <w:rFonts w:ascii="Courier New" w:cs="Courier New" w:eastAsia="Courier New" w:hAnsi="Courier New"/>
                <w:sz w:val="18"/>
                <w:szCs w:val="18"/>
                <w:color w:val="auto"/>
                <w:w w:val="95"/>
              </w:rPr>
              <w:t>13 Bell</w:t>
            </w:r>
          </w:p>
        </w:tc>
        <w:tc>
          <w:tcPr>
            <w:tcW w:w="0" w:type="dxa"/>
            <w:vAlign w:val="bottom"/>
          </w:tcPr>
          <w:p>
            <w:pPr>
              <w:spacing w:after="0"/>
              <w:rPr>
                <w:sz w:val="1"/>
                <w:szCs w:val="1"/>
                <w:color w:val="auto"/>
              </w:rPr>
            </w:pPr>
          </w:p>
        </w:tc>
      </w:tr>
      <w:tr>
        <w:trPr>
          <w:trHeight w:val="203"/>
        </w:trPr>
        <w:tc>
          <w:tcPr>
            <w:tcW w:w="1380" w:type="dxa"/>
            <w:vAlign w:val="bottom"/>
            <w:vMerge w:val="continue"/>
          </w:tcPr>
          <w:p>
            <w:pPr>
              <w:spacing w:after="0"/>
              <w:rPr>
                <w:sz w:val="17"/>
                <w:szCs w:val="17"/>
                <w:color w:val="auto"/>
              </w:rPr>
            </w:pPr>
          </w:p>
        </w:tc>
        <w:tc>
          <w:tcPr>
            <w:tcW w:w="2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11 11</w:t>
            </w:r>
          </w:p>
        </w:tc>
        <w:tc>
          <w:tcPr>
            <w:tcW w:w="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380" w:type="dxa"/>
            <w:vAlign w:val="bottom"/>
            <w:vMerge w:val="restart"/>
          </w:tcPr>
          <w:p>
            <w:pPr>
              <w:jc w:val="right"/>
              <w:spacing w:after="0"/>
              <w:rPr>
                <w:sz w:val="20"/>
                <w:szCs w:val="20"/>
                <w:color w:val="auto"/>
              </w:rPr>
            </w:pPr>
            <w:r>
              <w:rPr>
                <w:rFonts w:ascii="Courier New" w:cs="Courier New" w:eastAsia="Courier New" w:hAnsi="Courier New"/>
                <w:sz w:val="8"/>
                <w:szCs w:val="8"/>
                <w:color w:val="auto"/>
                <w:vertAlign w:val="superscript"/>
              </w:rPr>
              <w:t>group(2)</w:t>
            </w:r>
            <w:r>
              <w:rPr>
                <w:rFonts w:ascii="Courier New" w:cs="Courier New" w:eastAsia="Courier New" w:hAnsi="Courier New"/>
                <w:sz w:val="4"/>
                <w:szCs w:val="4"/>
                <w:color w:val="auto"/>
              </w:rPr>
              <w:t>............................................</w:t>
            </w:r>
          </w:p>
        </w:tc>
        <w:tc>
          <w:tcPr>
            <w:tcW w:w="2940" w:type="dxa"/>
            <w:vAlign w:val="bottom"/>
          </w:tcPr>
          <w:p>
            <w:pPr>
              <w:jc w:val="center"/>
              <w:ind w:right="432"/>
              <w:spacing w:after="0"/>
              <w:rPr>
                <w:sz w:val="20"/>
                <w:szCs w:val="20"/>
                <w:color w:val="auto"/>
              </w:rPr>
            </w:pPr>
            <w:r>
              <w:rPr>
                <w:rFonts w:ascii="Courier New" w:cs="Courier New" w:eastAsia="Courier New" w:hAnsi="Courier New"/>
                <w:sz w:val="18"/>
                <w:szCs w:val="18"/>
                <w:color w:val="auto"/>
                <w:w w:val="95"/>
              </w:rPr>
              <w:t>Canada</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1380" w:type="dxa"/>
            <w:vAlign w:val="bottom"/>
            <w:vMerge w:val="continue"/>
          </w:tcPr>
          <w:p>
            <w:pPr>
              <w:jc w:val="right"/>
              <w:spacing w:after="0" w:line="85" w:lineRule="exact"/>
              <w:rPr>
                <w:sz w:val="20"/>
                <w:szCs w:val="20"/>
                <w:color w:val="auto"/>
              </w:rPr>
            </w:pPr>
            <w:r>
              <w:rPr>
                <w:rFonts w:ascii="Courier New" w:cs="Courier New" w:eastAsia="Courier New" w:hAnsi="Courier New"/>
                <w:sz w:val="9"/>
                <w:szCs w:val="9"/>
                <w:color w:val="auto"/>
              </w:rPr>
              <w:t>......................................</w:t>
            </w:r>
          </w:p>
        </w:tc>
        <w:tc>
          <w:tcPr>
            <w:tcW w:w="2940" w:type="dxa"/>
            <w:vAlign w:val="bottom"/>
            <w:vMerge w:val="restart"/>
          </w:tcPr>
          <w:p>
            <w:pPr>
              <w:jc w:val="center"/>
              <w:ind w:right="452"/>
              <w:spacing w:after="0"/>
              <w:rPr>
                <w:sz w:val="20"/>
                <w:szCs w:val="20"/>
                <w:color w:val="auto"/>
              </w:rPr>
            </w:pPr>
            <w:r>
              <w:rPr>
                <w:rFonts w:ascii="Courier New" w:cs="Courier New" w:eastAsia="Courier New" w:hAnsi="Courier New"/>
                <w:sz w:val="18"/>
                <w:szCs w:val="18"/>
                <w:color w:val="auto"/>
                <w:w w:val="97"/>
              </w:rPr>
              <w:t>11 (*) (*) Vodafone</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380" w:type="dxa"/>
            <w:vAlign w:val="bottom"/>
            <w:vMerge w:val="restart"/>
          </w:tcPr>
          <w:p>
            <w:pPr>
              <w:jc w:val="right"/>
              <w:ind w:right="793"/>
              <w:spacing w:after="0"/>
              <w:rPr>
                <w:sz w:val="20"/>
                <w:szCs w:val="20"/>
                <w:color w:val="auto"/>
              </w:rPr>
            </w:pPr>
            <w:r>
              <w:rPr>
                <w:rFonts w:ascii="Courier New" w:cs="Courier New" w:eastAsia="Courier New" w:hAnsi="Courier New"/>
                <w:sz w:val="18"/>
                <w:szCs w:val="18"/>
                <w:color w:val="auto"/>
                <w:w w:val="96"/>
              </w:rPr>
              <w:t>group</w:t>
            </w:r>
          </w:p>
        </w:tc>
        <w:tc>
          <w:tcPr>
            <w:tcW w:w="294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1380" w:type="dxa"/>
            <w:vAlign w:val="bottom"/>
            <w:vMerge w:val="continue"/>
          </w:tcPr>
          <w:p>
            <w:pPr>
              <w:spacing w:after="0"/>
              <w:rPr>
                <w:sz w:val="17"/>
                <w:szCs w:val="17"/>
                <w:color w:val="auto"/>
              </w:rPr>
            </w:pPr>
          </w:p>
        </w:tc>
        <w:tc>
          <w:tcPr>
            <w:tcW w:w="2940" w:type="dxa"/>
            <w:vAlign w:val="bottom"/>
            <w:vMerge w:val="restart"/>
          </w:tcPr>
          <w:p>
            <w:pPr>
              <w:jc w:val="center"/>
              <w:ind w:right="432"/>
              <w:spacing w:after="0"/>
              <w:rPr>
                <w:sz w:val="20"/>
                <w:szCs w:val="20"/>
                <w:color w:val="auto"/>
              </w:rPr>
            </w:pPr>
            <w:r>
              <w:rPr>
                <w:rFonts w:ascii="Courier New" w:cs="Courier New" w:eastAsia="Courier New" w:hAnsi="Courier New"/>
                <w:sz w:val="18"/>
                <w:szCs w:val="18"/>
                <w:color w:val="auto"/>
                <w:w w:val="96"/>
              </w:rPr>
              <w:t>(*) 10 11</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2940" w:type="dxa"/>
            <w:vAlign w:val="bottom"/>
            <w:vMerge w:val="continue"/>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Less than 10 percent of total revenue</w:t>
      </w:r>
    </w:p>
    <w:p>
      <w:pPr>
        <w:spacing w:after="0" w:line="169" w:lineRule="exact"/>
        <w:rPr>
          <w:sz w:val="20"/>
          <w:szCs w:val="20"/>
          <w:color w:val="auto"/>
        </w:rPr>
      </w:pPr>
    </w:p>
    <w:p>
      <w:pPr>
        <w:jc w:val="both"/>
        <w:ind w:left="420" w:right="1779" w:hanging="412"/>
        <w:spacing w:after="0" w:line="292" w:lineRule="auto"/>
        <w:tabs>
          <w:tab w:leader="none" w:pos="420"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quarter ended December 31, 2002, SBC has ceased to be a principal shareholder of the Company, according to SFAS No. 57 and thus is no longer a related party.</w:t>
      </w:r>
    </w:p>
    <w:p>
      <w:pPr>
        <w:spacing w:after="0" w:line="66" w:lineRule="exact"/>
        <w:rPr>
          <w:rFonts w:ascii="Courier New" w:cs="Courier New" w:eastAsia="Courier New" w:hAnsi="Courier New"/>
          <w:sz w:val="18"/>
          <w:szCs w:val="18"/>
          <w:color w:val="auto"/>
        </w:rPr>
      </w:pPr>
    </w:p>
    <w:p>
      <w:pPr>
        <w:ind w:left="420" w:right="1999" w:hanging="412"/>
        <w:spacing w:after="0" w:line="292" w:lineRule="auto"/>
        <w:tabs>
          <w:tab w:leader="none" w:pos="420"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Bell Canada group includes Certen through June 30, 2003. In July 2003, the Company acquired Bell's ownership interest in Certen, and Certen became a wholly owned subsidiary of the Company. See Note 3.</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21 -- OPERATIONAL EFFICIENCY AND COST REDUCTION PROGRAMS</w:t>
      </w:r>
    </w:p>
    <w:p>
      <w:pPr>
        <w:spacing w:after="0" w:line="201" w:lineRule="exact"/>
        <w:rPr>
          <w:sz w:val="20"/>
          <w:szCs w:val="20"/>
          <w:color w:val="auto"/>
        </w:rPr>
      </w:pPr>
    </w:p>
    <w:p>
      <w:pPr>
        <w:ind w:right="1779" w:firstLine="527"/>
        <w:spacing w:after="0" w:line="252" w:lineRule="auto"/>
        <w:rPr>
          <w:sz w:val="20"/>
          <w:szCs w:val="20"/>
          <w:color w:val="auto"/>
        </w:rPr>
      </w:pPr>
      <w:r>
        <w:rPr>
          <w:rFonts w:ascii="Courier New" w:cs="Courier New" w:eastAsia="Courier New" w:hAnsi="Courier New"/>
          <w:sz w:val="18"/>
          <w:szCs w:val="18"/>
          <w:color w:val="auto"/>
        </w:rPr>
        <w:t>In November 2002 the Company announced a series of measures designed to reduce costs and improve productivity. In the first quarter of fiscal 2003, the Company recorded a charge of $9,956, consisting primarily of employee separation costs in connection with the termination of the employment of approximately four hundred software and information technology specialists and administrative professionals and for the write-off of leasehold improvements and rent obligations. The employee terminations occurred at various locations around the world. In addition, the Company implemented other cost reduction measures, including travel cuts and reductions in other discretionary costs.</w:t>
      </w:r>
    </w:p>
    <w:p>
      <w:pPr>
        <w:spacing w:after="0" w:line="99" w:lineRule="exact"/>
        <w:rPr>
          <w:sz w:val="20"/>
          <w:szCs w:val="20"/>
          <w:color w:val="auto"/>
        </w:rPr>
      </w:pPr>
    </w:p>
    <w:p>
      <w:pPr>
        <w:ind w:right="1779" w:firstLine="527"/>
        <w:spacing w:after="0" w:line="287" w:lineRule="auto"/>
        <w:rPr>
          <w:sz w:val="20"/>
          <w:szCs w:val="20"/>
          <w:color w:val="auto"/>
        </w:rPr>
      </w:pPr>
      <w:r>
        <w:rPr>
          <w:rFonts w:ascii="Courier New" w:cs="Courier New" w:eastAsia="Courier New" w:hAnsi="Courier New"/>
          <w:sz w:val="16"/>
          <w:szCs w:val="16"/>
          <w:color w:val="auto"/>
        </w:rPr>
        <w:t>On June 20, 2002, the Company announced its intention to implement a cost reduction program to reduce costs by approximately 10% in response to a decline of the Company's forecasted revenue for the third and fourth quarters of fiscal 2002. The decline resulted from, among other factors, slowdowns in customer buying decisions in the third quarter of fiscal 2002, stemming from overall reductions in the capital investment budgets of many communications service providers, leading to fewer new contracts for the Company than it had expected, as well as smaller than expected initial spending commitments and reduced discretionary spending under the Company's contracts with some of its customers.</w:t>
      </w:r>
    </w:p>
    <w:p>
      <w:pPr>
        <w:spacing w:after="0" w:line="75" w:lineRule="exact"/>
        <w:rPr>
          <w:sz w:val="20"/>
          <w:szCs w:val="20"/>
          <w:color w:val="auto"/>
        </w:rPr>
      </w:pPr>
    </w:p>
    <w:p>
      <w:pPr>
        <w:ind w:right="1879" w:firstLine="527"/>
        <w:spacing w:after="0" w:line="260" w:lineRule="auto"/>
        <w:rPr>
          <w:sz w:val="20"/>
          <w:szCs w:val="20"/>
          <w:color w:val="auto"/>
        </w:rPr>
      </w:pPr>
      <w:r>
        <w:rPr>
          <w:rFonts w:ascii="Courier New" w:cs="Courier New" w:eastAsia="Courier New" w:hAnsi="Courier New"/>
          <w:sz w:val="18"/>
          <w:szCs w:val="18"/>
          <w:color w:val="auto"/>
        </w:rPr>
        <w:t>The Company recorded a charge of $20,919 in the fourth quarter of fiscal 2002, consisting primarily of employee separation costs in connection with the elimination of approximately one thousand positions of software and information technology specialists and administrative professionals that have been eliminated by the Company, with the remainder for the write-off of leasehold improvements and rent obligations.</w:t>
      </w:r>
    </w:p>
    <w:p>
      <w:pPr>
        <w:spacing w:after="0" w:line="93" w:lineRule="exact"/>
        <w:rPr>
          <w:sz w:val="20"/>
          <w:szCs w:val="20"/>
          <w:color w:val="auto"/>
        </w:rPr>
      </w:pPr>
    </w:p>
    <w:p>
      <w:pPr>
        <w:ind w:right="1879" w:firstLine="527"/>
        <w:spacing w:after="0" w:line="285" w:lineRule="auto"/>
        <w:rPr>
          <w:sz w:val="20"/>
          <w:szCs w:val="20"/>
          <w:color w:val="auto"/>
        </w:rPr>
      </w:pPr>
      <w:r>
        <w:rPr>
          <w:rFonts w:ascii="Courier New" w:cs="Courier New" w:eastAsia="Courier New" w:hAnsi="Courier New"/>
          <w:sz w:val="16"/>
          <w:szCs w:val="16"/>
          <w:color w:val="auto"/>
        </w:rPr>
        <w:t>In October 2001, as part of a plan to achieve increased operational efficiency and to more closely monitor and reduce costs, the Company consolidated its Stamford, Connecticut data center into its Champaign, Illinois facility, and closed the Stamford facility. As a direct result of this closure, the Company recorded a restructuring charge of $13,311 in the first quarter of fiscal 2002, primarily for the write-off of leasehold improvements and rent obligations, with the remainder for employee separation costs. In addition, as part of a general effort to reduce costs, the Company has decreased its overall commitments for employee compensation, through a lesser reliance on fixed compensation programs and a greater reliance on discretionary arrangements.</w:t>
      </w:r>
    </w:p>
    <w:p>
      <w:pPr>
        <w:spacing w:after="0" w:line="7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F-35</w:t>
      </w:r>
    </w:p>
    <w:p>
      <w:pPr>
        <w:sectPr>
          <w:pgSz w:w="11900" w:h="16838" w:orient="portrait"/>
          <w:cols w:equalWidth="0" w:num="1">
            <w:col w:w="10219"/>
          </w:cols>
          <w:pgMar w:left="240" w:top="488" w:right="1440" w:bottom="591" w:gutter="0" w:footer="0" w:header="0"/>
        </w:sectPr>
      </w:pPr>
    </w:p>
    <w:bookmarkStart w:id="119" w:name="page120"/>
    <w:bookmarkEnd w:id="119"/>
    <w:p>
      <w:pPr>
        <w:spacing w:after="0" w:line="8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3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(IN THOUSANDS, EXCEPT PER SHARE DATA)</w:t>
      </w:r>
    </w:p>
    <w:p>
      <w:pPr>
        <w:spacing w:after="0" w:line="169" w:lineRule="exact"/>
        <w:rPr>
          <w:sz w:val="20"/>
          <w:szCs w:val="20"/>
          <w:color w:val="auto"/>
        </w:rPr>
      </w:pPr>
    </w:p>
    <w:p>
      <w:pPr>
        <w:ind w:right="1999" w:firstLine="527"/>
        <w:spacing w:after="0" w:line="402" w:lineRule="auto"/>
        <w:rPr>
          <w:sz w:val="20"/>
          <w:szCs w:val="20"/>
          <w:color w:val="auto"/>
        </w:rPr>
      </w:pPr>
      <w:r>
        <w:rPr>
          <w:rFonts w:ascii="Courier New" w:cs="Courier New" w:eastAsia="Courier New" w:hAnsi="Courier New"/>
          <w:sz w:val="16"/>
          <w:szCs w:val="16"/>
          <w:color w:val="auto"/>
        </w:rPr>
        <w:t>These charges are included in "restructuring charges, in-process research and development and other" for the years ended September 30, 2003 and 2002.</w:t>
      </w:r>
    </w:p>
    <w:p>
      <w:pPr>
        <w:spacing w:after="0" w:line="1" w:lineRule="exact"/>
        <w:rPr>
          <w:sz w:val="20"/>
          <w:szCs w:val="20"/>
          <w:color w:val="auto"/>
        </w:rPr>
      </w:pPr>
    </w:p>
    <w:p>
      <w:pPr>
        <w:ind w:right="1779" w:firstLine="527"/>
        <w:spacing w:after="0" w:line="260" w:lineRule="auto"/>
        <w:rPr>
          <w:sz w:val="20"/>
          <w:szCs w:val="20"/>
          <w:color w:val="auto"/>
        </w:rPr>
      </w:pPr>
      <w:r>
        <w:rPr>
          <w:rFonts w:ascii="Courier New" w:cs="Courier New" w:eastAsia="Courier New" w:hAnsi="Courier New"/>
          <w:sz w:val="18"/>
          <w:szCs w:val="18"/>
          <w:color w:val="auto"/>
        </w:rPr>
        <w:t>As of September 30, 2003, the remaining restructuring expense reserves were $9,247. The remaining employee separation costs are expected to be paid out through the first quarter of fiscal 2004. Facility related costs are expected to be paid out through April 2012. Actual future cash requirements may differ materially from the accrual as of September 30, 2003, particularly if actual sublease income is significantly different from current estimates.</w:t>
      </w:r>
    </w:p>
    <w:p>
      <w:pPr>
        <w:spacing w:after="0" w:line="93" w:lineRule="exact"/>
        <w:rPr>
          <w:sz w:val="20"/>
          <w:szCs w:val="20"/>
          <w:color w:val="auto"/>
        </w:rPr>
      </w:pPr>
    </w:p>
    <w:p>
      <w:pPr>
        <w:ind w:right="2419" w:firstLine="527"/>
        <w:spacing w:after="0" w:line="347" w:lineRule="auto"/>
        <w:rPr>
          <w:sz w:val="20"/>
          <w:szCs w:val="20"/>
          <w:color w:val="auto"/>
        </w:rPr>
      </w:pPr>
      <w:r>
        <w:rPr>
          <w:rFonts w:ascii="Courier New" w:cs="Courier New" w:eastAsia="Courier New" w:hAnsi="Courier New"/>
          <w:sz w:val="18"/>
          <w:szCs w:val="18"/>
          <w:color w:val="auto"/>
        </w:rPr>
        <w:t>A summary of restructuring activities along with respective remaining reserves follows:</w:t>
      </w:r>
    </w:p>
    <w:p>
      <w:pPr>
        <w:spacing w:after="0" w:line="18" w:lineRule="exact"/>
        <w:rPr>
          <w:sz w:val="20"/>
          <w:szCs w:val="20"/>
          <w:color w:val="auto"/>
        </w:rPr>
      </w:pPr>
    </w:p>
    <w:p>
      <w:pPr>
        <w:jc w:val="center"/>
        <w:ind w:right="5999"/>
        <w:spacing w:after="0"/>
        <w:rPr>
          <w:sz w:val="20"/>
          <w:szCs w:val="20"/>
          <w:color w:val="auto"/>
        </w:rPr>
      </w:pPr>
      <w:r>
        <w:rPr>
          <w:rFonts w:ascii="Courier New" w:cs="Courier New" w:eastAsia="Courier New" w:hAnsi="Courier New"/>
          <w:sz w:val="18"/>
          <w:szCs w:val="18"/>
          <w:color w:val="auto"/>
        </w:rPr>
        <w:t>EMPLOYEE SEPARATION ASSET COSTS</w:t>
      </w:r>
    </w:p>
    <w:p>
      <w:pPr>
        <w:spacing w:after="0" w:line="29"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FACILITIES WRITE-OFFS OTHER TOTAL -----</w:t>
      </w:r>
    </w:p>
    <w:p>
      <w:pPr>
        <w:ind w:left="60"/>
        <w:spacing w:after="0" w:line="238" w:lineRule="auto"/>
        <w:rPr>
          <w:sz w:val="20"/>
          <w:szCs w:val="20"/>
          <w:color w:val="auto"/>
        </w:rPr>
      </w:pPr>
      <w:r>
        <w:rPr>
          <w:rFonts w:ascii="Courier New" w:cs="Courier New" w:eastAsia="Courier New" w:hAnsi="Courier New"/>
          <w:sz w:val="18"/>
          <w:szCs w:val="18"/>
          <w:color w:val="auto"/>
        </w:rPr>
        <w:t>----- ---------- ---------- ----- -----</w:t>
      </w:r>
    </w:p>
    <w:p>
      <w:pPr>
        <w:ind w:left="640"/>
        <w:spacing w:after="0"/>
        <w:rPr>
          <w:sz w:val="20"/>
          <w:szCs w:val="20"/>
          <w:color w:val="auto"/>
        </w:rPr>
      </w:pPr>
      <w:r>
        <w:rPr>
          <w:rFonts w:ascii="Courier New" w:cs="Courier New" w:eastAsia="Courier New" w:hAnsi="Courier New"/>
          <w:sz w:val="18"/>
          <w:szCs w:val="18"/>
          <w:color w:val="auto"/>
        </w:rPr>
        <w:t>--- Balance as of October 1,</w:t>
      </w:r>
    </w:p>
    <w:tbl>
      <w:tblPr>
        <w:tblLayout w:type="fixed"/>
        <w:tblInd w:w="0" w:type="dxa"/>
        <w:tblCellMar>
          <w:top w:w="0" w:type="dxa"/>
          <w:left w:w="0" w:type="dxa"/>
          <w:bottom w:w="0" w:type="dxa"/>
          <w:right w:w="0" w:type="dxa"/>
        </w:tblCellMar>
      </w:tblPr>
      <w:tr>
        <w:trPr>
          <w:trHeight w:val="171"/>
        </w:trPr>
        <w:tc>
          <w:tcPr>
            <w:tcW w:w="1160" w:type="dxa"/>
            <w:vAlign w:val="bottom"/>
          </w:tcPr>
          <w:p>
            <w:pPr>
              <w:ind w:left="60"/>
              <w:spacing w:after="0"/>
              <w:rPr>
                <w:sz w:val="20"/>
                <w:szCs w:val="20"/>
                <w:color w:val="auto"/>
              </w:rPr>
            </w:pPr>
            <w:r>
              <w:rPr>
                <w:rFonts w:ascii="Courier New" w:cs="Courier New" w:eastAsia="Courier New" w:hAnsi="Courier New"/>
                <w:sz w:val="13"/>
                <w:szCs w:val="13"/>
                <w:color w:val="auto"/>
                <w:w w:val="72"/>
              </w:rPr>
              <w:t>2001...............</w:t>
            </w:r>
          </w:p>
        </w:tc>
        <w:tc>
          <w:tcPr>
            <w:tcW w:w="3000" w:type="dxa"/>
            <w:vAlign w:val="bottom"/>
            <w:gridSpan w:val="2"/>
          </w:tcPr>
          <w:p>
            <w:pPr>
              <w:jc w:val="right"/>
              <w:spacing w:after="0" w:line="170" w:lineRule="exact"/>
              <w:rPr>
                <w:sz w:val="20"/>
                <w:szCs w:val="20"/>
                <w:color w:val="auto"/>
              </w:rPr>
            </w:pPr>
            <w:r>
              <w:rPr>
                <w:rFonts w:ascii="Courier New" w:cs="Courier New" w:eastAsia="Courier New" w:hAnsi="Courier New"/>
                <w:sz w:val="18"/>
                <w:szCs w:val="18"/>
                <w:color w:val="auto"/>
              </w:rPr>
              <w:t>$ -- $ -- $ -- $ --</w:t>
            </w:r>
          </w:p>
        </w:tc>
        <w:tc>
          <w:tcPr>
            <w:tcW w:w="0" w:type="dxa"/>
            <w:vAlign w:val="bottom"/>
          </w:tcPr>
          <w:p>
            <w:pPr>
              <w:spacing w:after="0"/>
              <w:rPr>
                <w:sz w:val="1"/>
                <w:szCs w:val="1"/>
                <w:color w:val="auto"/>
              </w:rPr>
            </w:pPr>
          </w:p>
        </w:tc>
      </w:tr>
      <w:tr>
        <w:trPr>
          <w:trHeight w:val="296"/>
        </w:trPr>
        <w:tc>
          <w:tcPr>
            <w:tcW w:w="1160" w:type="dxa"/>
            <w:vAlign w:val="bottom"/>
            <w:vMerge w:val="restart"/>
          </w:tcPr>
          <w:p>
            <w:pPr>
              <w:ind w:left="160"/>
              <w:spacing w:after="0"/>
              <w:rPr>
                <w:sz w:val="20"/>
                <w:szCs w:val="20"/>
                <w:color w:val="auto"/>
              </w:rPr>
            </w:pPr>
            <w:r>
              <w:rPr>
                <w:rFonts w:ascii="Courier New" w:cs="Courier New" w:eastAsia="Courier New" w:hAnsi="Courier New"/>
                <w:sz w:val="18"/>
                <w:szCs w:val="18"/>
                <w:color w:val="auto"/>
              </w:rPr>
              <w:t>charges</w:t>
            </w:r>
          </w:p>
        </w:tc>
        <w:tc>
          <w:tcPr>
            <w:tcW w:w="2280" w:type="dxa"/>
            <w:vAlign w:val="bottom"/>
          </w:tcPr>
          <w:p>
            <w:pPr>
              <w:jc w:val="center"/>
              <w:ind w:right="292"/>
              <w:spacing w:after="0"/>
              <w:rPr>
                <w:sz w:val="20"/>
                <w:szCs w:val="20"/>
                <w:color w:val="auto"/>
              </w:rPr>
            </w:pPr>
            <w:r>
              <w:rPr>
                <w:rFonts w:ascii="Courier New" w:cs="Courier New" w:eastAsia="Courier New" w:hAnsi="Courier New"/>
                <w:sz w:val="18"/>
                <w:szCs w:val="18"/>
                <w:color w:val="auto"/>
                <w:w w:val="97"/>
              </w:rPr>
              <w:t>$ -- Restructuring</w:t>
            </w:r>
          </w:p>
        </w:tc>
        <w:tc>
          <w:tcPr>
            <w:tcW w:w="7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w w:val="92"/>
              </w:rPr>
              <w:t>13,883</w:t>
            </w:r>
          </w:p>
        </w:tc>
        <w:tc>
          <w:tcPr>
            <w:tcW w:w="0" w:type="dxa"/>
            <w:vAlign w:val="bottom"/>
          </w:tcPr>
          <w:p>
            <w:pPr>
              <w:spacing w:after="0"/>
              <w:rPr>
                <w:sz w:val="1"/>
                <w:szCs w:val="1"/>
                <w:color w:val="auto"/>
              </w:rPr>
            </w:pPr>
          </w:p>
        </w:tc>
      </w:tr>
      <w:tr>
        <w:trPr>
          <w:trHeight w:val="109"/>
        </w:trPr>
        <w:tc>
          <w:tcPr>
            <w:tcW w:w="3440" w:type="dxa"/>
            <w:vAlign w:val="bottom"/>
            <w:gridSpan w:val="2"/>
            <w:vMerge w:val="continue"/>
          </w:tcPr>
          <w:p>
            <w:pPr>
              <w:jc w:val="center"/>
              <w:ind w:left="699"/>
              <w:spacing w:after="0" w:line="85" w:lineRule="exact"/>
              <w:rPr>
                <w:sz w:val="20"/>
                <w:szCs w:val="20"/>
                <w:color w:val="auto"/>
              </w:rPr>
            </w:pPr>
            <w:r>
              <w:rPr>
                <w:rFonts w:ascii="Courier New" w:cs="Courier New" w:eastAsia="Courier New" w:hAnsi="Courier New"/>
                <w:sz w:val="9"/>
                <w:szCs w:val="9"/>
                <w:color w:val="auto"/>
              </w:rPr>
              <w:t>.......................</w:t>
            </w:r>
          </w:p>
        </w:tc>
        <w:tc>
          <w:tcPr>
            <w:tcW w:w="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416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14,135 5,710 502 34,230 Cash</w:t>
            </w:r>
          </w:p>
        </w:tc>
        <w:tc>
          <w:tcPr>
            <w:tcW w:w="0" w:type="dxa"/>
            <w:vAlign w:val="bottom"/>
          </w:tcPr>
          <w:p>
            <w:pPr>
              <w:spacing w:after="0"/>
              <w:rPr>
                <w:sz w:val="1"/>
                <w:szCs w:val="1"/>
                <w:color w:val="auto"/>
              </w:rPr>
            </w:pPr>
          </w:p>
        </w:tc>
      </w:tr>
      <w:tr>
        <w:trPr>
          <w:trHeight w:val="203"/>
        </w:trPr>
        <w:tc>
          <w:tcPr>
            <w:tcW w:w="3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1"/>
              </w:rPr>
              <w:t>payments...............................</w:t>
            </w: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6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(10,526) (3,048) -- (62) (13,636) Non-</w:t>
            </w:r>
          </w:p>
        </w:tc>
        <w:tc>
          <w:tcPr>
            <w:tcW w:w="0" w:type="dxa"/>
            <w:vAlign w:val="bottom"/>
          </w:tcPr>
          <w:p>
            <w:pPr>
              <w:spacing w:after="0"/>
              <w:rPr>
                <w:sz w:val="1"/>
                <w:szCs w:val="1"/>
                <w:color w:val="auto"/>
              </w:rPr>
            </w:pPr>
          </w:p>
        </w:tc>
      </w:tr>
      <w:tr>
        <w:trPr>
          <w:trHeight w:val="203"/>
        </w:trPr>
        <w:tc>
          <w:tcPr>
            <w:tcW w:w="3440" w:type="dxa"/>
            <w:vAlign w:val="bottom"/>
            <w:gridSpan w:val="2"/>
          </w:tcPr>
          <w:p>
            <w:pPr>
              <w:jc w:val="right"/>
              <w:spacing w:after="0" w:line="202" w:lineRule="exact"/>
              <w:rPr>
                <w:sz w:val="20"/>
                <w:szCs w:val="20"/>
                <w:color w:val="auto"/>
              </w:rPr>
            </w:pPr>
            <w:r>
              <w:rPr>
                <w:rFonts w:ascii="Courier New" w:cs="Courier New" w:eastAsia="Courier New" w:hAnsi="Courier New"/>
                <w:sz w:val="13"/>
                <w:szCs w:val="13"/>
                <w:color w:val="auto"/>
                <w:w w:val="88"/>
              </w:rPr>
              <w:t>cash....................................</w:t>
            </w:r>
            <w:r>
              <w:rPr>
                <w:rFonts w:ascii="Courier New" w:cs="Courier New" w:eastAsia="Courier New" w:hAnsi="Courier New"/>
                <w:sz w:val="23"/>
                <w:szCs w:val="23"/>
                <w:color w:val="auto"/>
                <w:w w:val="88"/>
                <w:vertAlign w:val="subscript"/>
              </w:rPr>
              <w:t>--------</w:t>
            </w:r>
          </w:p>
        </w:tc>
        <w:tc>
          <w:tcPr>
            <w:tcW w:w="7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4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 -- (5,710) -- (5,710)</w:t>
            </w:r>
          </w:p>
        </w:tc>
        <w:tc>
          <w:tcPr>
            <w:tcW w:w="7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6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 ------- ----- -------- Balance as of</w:t>
            </w:r>
          </w:p>
        </w:tc>
        <w:tc>
          <w:tcPr>
            <w:tcW w:w="0" w:type="dxa"/>
            <w:vAlign w:val="bottom"/>
          </w:tcPr>
          <w:p>
            <w:pPr>
              <w:spacing w:after="0"/>
              <w:rPr>
                <w:sz w:val="1"/>
                <w:szCs w:val="1"/>
                <w:color w:val="auto"/>
              </w:rPr>
            </w:pPr>
          </w:p>
        </w:tc>
      </w:tr>
      <w:tr>
        <w:trPr>
          <w:trHeight w:val="203"/>
        </w:trPr>
        <w:tc>
          <w:tcPr>
            <w:tcW w:w="34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8"/>
              </w:rPr>
              <w:t>September 30, 2002............</w:t>
            </w:r>
          </w:p>
        </w:tc>
        <w:tc>
          <w:tcPr>
            <w:tcW w:w="72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3,357</w:t>
            </w:r>
          </w:p>
        </w:tc>
        <w:tc>
          <w:tcPr>
            <w:tcW w:w="0" w:type="dxa"/>
            <w:vAlign w:val="bottom"/>
          </w:tcPr>
          <w:p>
            <w:pPr>
              <w:spacing w:after="0"/>
              <w:rPr>
                <w:sz w:val="1"/>
                <w:szCs w:val="1"/>
                <w:color w:val="auto"/>
              </w:rPr>
            </w:pPr>
          </w:p>
        </w:tc>
      </w:tr>
      <w:tr>
        <w:trPr>
          <w:trHeight w:val="203"/>
        </w:trPr>
        <w:tc>
          <w:tcPr>
            <w:tcW w:w="416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11,087 -- 440 14,884 Restructuring</w:t>
            </w:r>
          </w:p>
        </w:tc>
        <w:tc>
          <w:tcPr>
            <w:tcW w:w="0" w:type="dxa"/>
            <w:vAlign w:val="bottom"/>
          </w:tcPr>
          <w:p>
            <w:pPr>
              <w:spacing w:after="0"/>
              <w:rPr>
                <w:sz w:val="1"/>
                <w:szCs w:val="1"/>
                <w:color w:val="auto"/>
              </w:rPr>
            </w:pPr>
          </w:p>
        </w:tc>
      </w:tr>
      <w:tr>
        <w:trPr>
          <w:trHeight w:val="203"/>
        </w:trPr>
        <w:tc>
          <w:tcPr>
            <w:tcW w:w="34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8"/>
              </w:rPr>
              <w:t>charge........................</w:t>
            </w:r>
          </w:p>
        </w:tc>
        <w:tc>
          <w:tcPr>
            <w:tcW w:w="72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4,011</w:t>
            </w:r>
          </w:p>
        </w:tc>
        <w:tc>
          <w:tcPr>
            <w:tcW w:w="0" w:type="dxa"/>
            <w:vAlign w:val="bottom"/>
          </w:tcPr>
          <w:p>
            <w:pPr>
              <w:spacing w:after="0"/>
              <w:rPr>
                <w:sz w:val="1"/>
                <w:szCs w:val="1"/>
                <w:color w:val="auto"/>
              </w:rPr>
            </w:pPr>
          </w:p>
        </w:tc>
      </w:tr>
      <w:tr>
        <w:trPr>
          <w:trHeight w:val="235"/>
        </w:trPr>
        <w:tc>
          <w:tcPr>
            <w:tcW w:w="3440" w:type="dxa"/>
            <w:vAlign w:val="bottom"/>
            <w:gridSpan w:val="2"/>
          </w:tcPr>
          <w:p>
            <w:pPr>
              <w:jc w:val="center"/>
              <w:ind w:left="719"/>
              <w:spacing w:after="0"/>
              <w:rPr>
                <w:sz w:val="20"/>
                <w:szCs w:val="20"/>
                <w:color w:val="auto"/>
              </w:rPr>
            </w:pPr>
            <w:r>
              <w:rPr>
                <w:rFonts w:ascii="Courier New" w:cs="Courier New" w:eastAsia="Courier New" w:hAnsi="Courier New"/>
                <w:sz w:val="18"/>
                <w:szCs w:val="18"/>
                <w:color w:val="auto"/>
                <w:w w:val="97"/>
              </w:rPr>
              <w:t>4,022 1,829 94 9,956 Cash</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160"/>
        <w:spacing w:after="0" w:line="238" w:lineRule="auto"/>
        <w:rPr>
          <w:sz w:val="20"/>
          <w:szCs w:val="20"/>
          <w:color w:val="auto"/>
        </w:rPr>
      </w:pPr>
      <w:r>
        <w:rPr>
          <w:rFonts w:ascii="Courier New" w:cs="Courier New" w:eastAsia="Courier New" w:hAnsi="Courier New"/>
          <w:sz w:val="18"/>
          <w:szCs w:val="18"/>
          <w:color w:val="auto"/>
        </w:rPr>
        <w:t>payments.............................</w:t>
      </w:r>
    </w:p>
    <w:p>
      <w:pPr>
        <w:ind w:left="120"/>
        <w:spacing w:after="0"/>
        <w:rPr>
          <w:sz w:val="20"/>
          <w:szCs w:val="20"/>
          <w:color w:val="auto"/>
        </w:rPr>
      </w:pPr>
      <w:r>
        <w:rPr>
          <w:rFonts w:ascii="Courier New" w:cs="Courier New" w:eastAsia="Courier New" w:hAnsi="Courier New"/>
          <w:sz w:val="18"/>
          <w:szCs w:val="18"/>
          <w:color w:val="auto"/>
        </w:rPr>
        <w:t>(7,130) (5,334) -- (280) (12,744) Non-</w:t>
      </w:r>
    </w:p>
    <w:p>
      <w:pPr>
        <w:ind w:left="120"/>
        <w:spacing w:after="0" w:line="238" w:lineRule="auto"/>
        <w:rPr>
          <w:sz w:val="20"/>
          <w:szCs w:val="20"/>
          <w:color w:val="auto"/>
        </w:rPr>
      </w:pPr>
      <w:r>
        <w:rPr>
          <w:rFonts w:ascii="Courier New" w:cs="Courier New" w:eastAsia="Courier New" w:hAnsi="Courier New"/>
          <w:sz w:val="18"/>
          <w:szCs w:val="18"/>
          <w:color w:val="auto"/>
        </w:rPr>
        <w:t>cash..................................</w:t>
      </w:r>
    </w:p>
    <w:tbl>
      <w:tblPr>
        <w:tblLayout w:type="fixed"/>
        <w:tblInd w:w="60" w:type="dxa"/>
        <w:tblCellMar>
          <w:top w:w="0" w:type="dxa"/>
          <w:left w:w="0" w:type="dxa"/>
          <w:bottom w:w="0" w:type="dxa"/>
          <w:right w:w="0" w:type="dxa"/>
        </w:tblCellMar>
      </w:tblPr>
      <w:tr>
        <w:trPr>
          <w:trHeight w:val="171"/>
        </w:trPr>
        <w:tc>
          <w:tcPr>
            <w:tcW w:w="3960" w:type="dxa"/>
            <w:vAlign w:val="bottom"/>
            <w:gridSpan w:val="2"/>
          </w:tcPr>
          <w:p>
            <w:pPr>
              <w:jc w:val="center"/>
              <w:ind w:left="72"/>
              <w:spacing w:after="0" w:line="171" w:lineRule="exact"/>
              <w:rPr>
                <w:sz w:val="20"/>
                <w:szCs w:val="20"/>
                <w:color w:val="auto"/>
              </w:rPr>
            </w:pPr>
            <w:r>
              <w:rPr>
                <w:rFonts w:ascii="Courier New" w:cs="Courier New" w:eastAsia="Courier New" w:hAnsi="Courier New"/>
                <w:sz w:val="18"/>
                <w:szCs w:val="18"/>
                <w:color w:val="auto"/>
                <w:w w:val="97"/>
              </w:rPr>
              <w:t>-- -- (1,829) -- (1,829) Adjustments</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82"/>
              </w:rPr>
              <w:t>(1)...........................</w:t>
            </w: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 (769)</w:t>
            </w:r>
          </w:p>
        </w:tc>
        <w:tc>
          <w:tcPr>
            <w:tcW w:w="0" w:type="dxa"/>
            <w:vAlign w:val="bottom"/>
          </w:tcPr>
          <w:p>
            <w:pPr>
              <w:spacing w:after="0"/>
              <w:rPr>
                <w:sz w:val="1"/>
                <w:szCs w:val="1"/>
                <w:color w:val="auto"/>
              </w:rPr>
            </w:pPr>
          </w:p>
        </w:tc>
      </w:tr>
      <w:tr>
        <w:trPr>
          <w:trHeight w:val="203"/>
        </w:trPr>
        <w:tc>
          <w:tcPr>
            <w:tcW w:w="2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 (254) (1,020) --------</w:t>
            </w: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 -----</w:t>
            </w:r>
          </w:p>
        </w:tc>
        <w:tc>
          <w:tcPr>
            <w:tcW w:w="0" w:type="dxa"/>
            <w:vAlign w:val="bottom"/>
          </w:tcPr>
          <w:p>
            <w:pPr>
              <w:spacing w:after="0"/>
              <w:rPr>
                <w:sz w:val="1"/>
                <w:szCs w:val="1"/>
                <w:color w:val="auto"/>
              </w:rPr>
            </w:pPr>
          </w:p>
        </w:tc>
      </w:tr>
      <w:tr>
        <w:trPr>
          <w:trHeight w:val="203"/>
        </w:trPr>
        <w:tc>
          <w:tcPr>
            <w:tcW w:w="3960" w:type="dxa"/>
            <w:vAlign w:val="bottom"/>
            <w:gridSpan w:val="2"/>
          </w:tcPr>
          <w:p>
            <w:pPr>
              <w:jc w:val="center"/>
              <w:ind w:left="52"/>
              <w:spacing w:after="0" w:line="203" w:lineRule="exact"/>
              <w:rPr>
                <w:sz w:val="20"/>
                <w:szCs w:val="20"/>
                <w:color w:val="auto"/>
              </w:rPr>
            </w:pPr>
            <w:r>
              <w:rPr>
                <w:rFonts w:ascii="Courier New" w:cs="Courier New" w:eastAsia="Courier New" w:hAnsi="Courier New"/>
                <w:sz w:val="18"/>
                <w:szCs w:val="18"/>
                <w:color w:val="auto"/>
                <w:w w:val="97"/>
              </w:rPr>
              <w:t>-- ----- -------- Balance as of</w:t>
            </w:r>
          </w:p>
        </w:tc>
        <w:tc>
          <w:tcPr>
            <w:tcW w:w="1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73"/>
              </w:rPr>
              <w:t>$</w:t>
            </w:r>
          </w:p>
        </w:tc>
        <w:tc>
          <w:tcPr>
            <w:tcW w:w="0" w:type="dxa"/>
            <w:vAlign w:val="bottom"/>
          </w:tcPr>
          <w:p>
            <w:pPr>
              <w:spacing w:after="0"/>
              <w:rPr>
                <w:sz w:val="1"/>
                <w:szCs w:val="1"/>
                <w:color w:val="auto"/>
              </w:rPr>
            </w:pPr>
          </w:p>
        </w:tc>
      </w:tr>
      <w:tr>
        <w:trPr>
          <w:trHeight w:val="203"/>
        </w:trPr>
        <w:tc>
          <w:tcPr>
            <w:tcW w:w="2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82"/>
              </w:rPr>
              <w:t>September 30, 2003............</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$ 241</w:t>
            </w:r>
          </w:p>
        </w:tc>
        <w:tc>
          <w:tcPr>
            <w:tcW w:w="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9,006 $ -- $ -- $ 9,247 ========</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96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 ======= ===== ========</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1" w:lineRule="exact"/>
        <w:rPr>
          <w:sz w:val="20"/>
          <w:szCs w:val="20"/>
          <w:color w:val="auto"/>
        </w:rPr>
      </w:pPr>
    </w:p>
    <w:p>
      <w:pPr>
        <w:ind w:left="420" w:right="1779" w:hanging="412"/>
        <w:spacing w:after="0" w:line="253" w:lineRule="auto"/>
        <w:tabs>
          <w:tab w:leader="none" w:pos="420"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Reflects differences in foreign exchange rates from balances paid in currencies other than the U.S. dollar of $102 that were charged to "interest income and other, net" and adjustments of $918 due to changes in previous estimates. These adjustments resulted in a decrease of restructuring liabilities related to facilities of $769, an increase of restructuring liabilities related to employee separation costs of $105 and a decrease in other related costs of $254. The net amount was credited to "cost of service" and "selling, general and administrative" expenses.</w:t>
      </w:r>
    </w:p>
    <w:p>
      <w:pPr>
        <w:spacing w:after="0" w:line="1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22 -- FINANCIAL INSTRUMENTS</w:t>
      </w:r>
    </w:p>
    <w:p>
      <w:pPr>
        <w:spacing w:after="0" w:line="201" w:lineRule="exact"/>
        <w:rPr>
          <w:sz w:val="20"/>
          <w:szCs w:val="20"/>
          <w:color w:val="auto"/>
        </w:rPr>
      </w:pPr>
    </w:p>
    <w:p>
      <w:pPr>
        <w:ind w:right="1779" w:firstLine="527"/>
        <w:spacing w:after="0" w:line="245" w:lineRule="auto"/>
        <w:rPr>
          <w:sz w:val="20"/>
          <w:szCs w:val="20"/>
          <w:color w:val="auto"/>
        </w:rPr>
      </w:pPr>
      <w:r>
        <w:rPr>
          <w:rFonts w:ascii="Courier New" w:cs="Courier New" w:eastAsia="Courier New" w:hAnsi="Courier New"/>
          <w:sz w:val="18"/>
          <w:szCs w:val="18"/>
          <w:color w:val="auto"/>
        </w:rPr>
        <w:t>The Company enters into forward contracts to purchase and sell foreign currencies to reduce the exposure associated with revenue denominated in a foreign currency and exposure associated with anticipated expenses (primarily personnel costs), in non-U.S. dollar-based currencies and designates these as cash flow hedges. The Company also may enter into forward contracts to sell foreign currency in order to hedge its exposure associated with some firm commitments from customers in non-U.S. dollar-based currencies and designates these for accounting purposes as fair value hedges. As of September 30, 2003, the Company had no outstanding fair value hedges. The derivative financial instruments are afforded hedge accounting because they are effective in managing foreign exchange risks and are appropriately assigned to the underlying exposures. The Company does not engage in currency speculation. The Company currently enters into forward exchange contracts exclusively with major financial institutions. Forward contracts, which are not designated as hedging instruments under SFAS No. 133, are used to offset the effect of exchange rates on certain assets and liabilities.</w:t>
      </w:r>
    </w:p>
    <w:p>
      <w:pPr>
        <w:spacing w:after="0" w:line="113" w:lineRule="exact"/>
        <w:rPr>
          <w:sz w:val="20"/>
          <w:szCs w:val="20"/>
          <w:color w:val="auto"/>
        </w:rPr>
      </w:pPr>
    </w:p>
    <w:p>
      <w:pPr>
        <w:ind w:right="1779" w:firstLine="527"/>
        <w:spacing w:after="0" w:line="420" w:lineRule="auto"/>
        <w:rPr>
          <w:sz w:val="20"/>
          <w:szCs w:val="20"/>
          <w:color w:val="auto"/>
        </w:rPr>
      </w:pPr>
      <w:r>
        <w:rPr>
          <w:rFonts w:ascii="Courier New" w:cs="Courier New" w:eastAsia="Courier New" w:hAnsi="Courier New"/>
          <w:sz w:val="16"/>
          <w:szCs w:val="16"/>
          <w:color w:val="auto"/>
        </w:rPr>
        <w:t>The hedges are evaluated for effectiveness at least quarterly. As the critical terms of the forward contract and the hedged transaction are matched at</w:t>
      </w:r>
    </w:p>
    <w:p>
      <w:pPr>
        <w:sectPr>
          <w:pgSz w:w="11900" w:h="16921" w:orient="portrait"/>
          <w:cols w:equalWidth="0" w:num="1">
            <w:col w:w="10219"/>
          </w:cols>
          <w:pgMar w:left="240" w:top="488" w:right="1440" w:bottom="0" w:gutter="0" w:footer="0" w:header="0"/>
        </w:sectPr>
      </w:pPr>
    </w:p>
    <w:bookmarkStart w:id="120" w:name="page121"/>
    <w:bookmarkEnd w:id="120"/>
    <w:p>
      <w:pPr>
        <w:ind w:right="1879"/>
        <w:spacing w:after="0" w:line="292" w:lineRule="auto"/>
        <w:rPr>
          <w:sz w:val="20"/>
          <w:szCs w:val="20"/>
          <w:color w:val="auto"/>
        </w:rPr>
      </w:pPr>
      <w:r>
        <w:rPr>
          <w:rFonts w:ascii="Courier New" w:cs="Courier New" w:eastAsia="Courier New" w:hAnsi="Courier New"/>
          <w:sz w:val="18"/>
          <w:szCs w:val="18"/>
          <w:color w:val="auto"/>
        </w:rPr>
        <w:t>inception, the hedge effectiveness is assessed generally based on changes in forward rates for cash flow hedges as compared to the changes in the fair value of the</w:t>
      </w:r>
    </w:p>
    <w:p>
      <w:pPr>
        <w:spacing w:after="0" w:line="6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F-36</w:t>
      </w:r>
    </w:p>
    <w:p>
      <w:pPr>
        <w:sectPr>
          <w:pgSz w:w="11900" w:h="16838" w:orient="portrait"/>
          <w:cols w:equalWidth="0" w:num="1">
            <w:col w:w="10219"/>
          </w:cols>
          <w:pgMar w:left="240" w:top="110" w:right="1440" w:bottom="1440" w:gutter="0" w:footer="0" w:header="0"/>
        </w:sectPr>
      </w:pPr>
    </w:p>
    <w:bookmarkStart w:id="121" w:name="page122"/>
    <w:bookmarkEnd w:id="121"/>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3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(IN THOUSANDS, EXCEPT PER SHARE DATA)</w:t>
      </w:r>
    </w:p>
    <w:p>
      <w:pPr>
        <w:spacing w:after="0" w:line="169" w:lineRule="exact"/>
        <w:rPr>
          <w:sz w:val="20"/>
          <w:szCs w:val="20"/>
          <w:color w:val="auto"/>
        </w:rPr>
      </w:pPr>
    </w:p>
    <w:p>
      <w:pPr>
        <w:ind w:right="1779"/>
        <w:spacing w:after="0" w:line="249" w:lineRule="auto"/>
        <w:rPr>
          <w:sz w:val="20"/>
          <w:szCs w:val="20"/>
          <w:color w:val="auto"/>
        </w:rPr>
      </w:pPr>
      <w:r>
        <w:rPr>
          <w:rFonts w:ascii="Courier New" w:cs="Courier New" w:eastAsia="Courier New" w:hAnsi="Courier New"/>
          <w:sz w:val="18"/>
          <w:szCs w:val="18"/>
          <w:color w:val="auto"/>
        </w:rPr>
        <w:t>cash flows associated with the underlying hedged transactions. The effective portion of the change in the fair value of forward exchange contracts, which are classified as cash flow hedges, is recorded as comprehensive income until the underlying transaction is recognized in earnings. For fair value hedges, changes in the fair value of forward exchange contracts offset the change in the fair value of the hedged item to the extent of the arrangement's effectiveness. Any residual change in fair value of the forward contracts, such as time value, excluded from effectiveness testing for hedges of estimated receipts from customers, is recognized immediately in "interest income and other, net". Hedge ineffectiveness, if any, is also included in current period in earnings in "interest income and other, net".</w:t>
      </w:r>
    </w:p>
    <w:p>
      <w:pPr>
        <w:spacing w:after="0" w:line="104" w:lineRule="exact"/>
        <w:rPr>
          <w:sz w:val="20"/>
          <w:szCs w:val="20"/>
          <w:color w:val="auto"/>
        </w:rPr>
      </w:pPr>
    </w:p>
    <w:p>
      <w:pPr>
        <w:ind w:right="1999" w:firstLine="527"/>
        <w:spacing w:after="0" w:line="293" w:lineRule="auto"/>
        <w:rPr>
          <w:sz w:val="20"/>
          <w:szCs w:val="20"/>
          <w:color w:val="auto"/>
        </w:rPr>
      </w:pPr>
      <w:r>
        <w:rPr>
          <w:rFonts w:ascii="Courier New" w:cs="Courier New" w:eastAsia="Courier New" w:hAnsi="Courier New"/>
          <w:sz w:val="16"/>
          <w:szCs w:val="16"/>
          <w:color w:val="auto"/>
        </w:rPr>
        <w:t>The Company discontinues hedge accounting for a forward contract when (1) it is determined that the derivative is no longer effective in offsetting changes in the fair value of cash flows of hedged item; (2) the derivative matures or is terminated; (3) it is determined that the forecasted hedged transaction will no longer occur; (4) a hedged firm commitment no longer meets the definition of a firm commitment, or (5) management decides to remove the designation of the derivative as a hedging instrument.</w:t>
      </w:r>
    </w:p>
    <w:p>
      <w:pPr>
        <w:spacing w:after="0" w:line="72" w:lineRule="exact"/>
        <w:rPr>
          <w:sz w:val="20"/>
          <w:szCs w:val="20"/>
          <w:color w:val="auto"/>
        </w:rPr>
      </w:pPr>
    </w:p>
    <w:p>
      <w:pPr>
        <w:ind w:right="1779" w:firstLine="527"/>
        <w:spacing w:after="0" w:line="253" w:lineRule="auto"/>
        <w:rPr>
          <w:sz w:val="20"/>
          <w:szCs w:val="20"/>
          <w:color w:val="auto"/>
        </w:rPr>
      </w:pPr>
      <w:r>
        <w:rPr>
          <w:rFonts w:ascii="Courier New" w:cs="Courier New" w:eastAsia="Courier New" w:hAnsi="Courier New"/>
          <w:sz w:val="18"/>
          <w:szCs w:val="18"/>
          <w:color w:val="auto"/>
        </w:rPr>
        <w:t>When hedge accounting is discontinued, and if the derivative remains outstanding, the Company will record the derivative at its fair value on the consolidated balance sheet, recognizing changes in the fair value in current period earnings in "interest income and other, net". When the Company discontinues hedge accounting because it is no longer probable that the forecasted transaction will occur, the gains and losses that were accumulated in other comprehensive income will be recognized immediately in earnings in "interest income and other, net".</w:t>
      </w:r>
    </w:p>
    <w:p>
      <w:pPr>
        <w:spacing w:after="0" w:line="104" w:lineRule="exact"/>
        <w:rPr>
          <w:sz w:val="20"/>
          <w:szCs w:val="20"/>
          <w:color w:val="auto"/>
        </w:rPr>
      </w:pPr>
    </w:p>
    <w:p>
      <w:pPr>
        <w:ind w:right="2619" w:firstLine="527"/>
        <w:spacing w:after="0" w:line="402" w:lineRule="auto"/>
        <w:rPr>
          <w:sz w:val="20"/>
          <w:szCs w:val="20"/>
          <w:color w:val="auto"/>
        </w:rPr>
      </w:pPr>
      <w:r>
        <w:rPr>
          <w:rFonts w:ascii="Courier New" w:cs="Courier New" w:eastAsia="Courier New" w:hAnsi="Courier New"/>
          <w:sz w:val="16"/>
          <w:szCs w:val="16"/>
          <w:color w:val="auto"/>
        </w:rPr>
        <w:t>The fair value of the open contracts recorded by the Company in its consolidated balance sheets as an asset or a liability is as follows:</w:t>
      </w:r>
    </w:p>
    <w:tbl>
      <w:tblPr>
        <w:tblLayout w:type="fixed"/>
        <w:tblInd w:w="0" w:type="dxa"/>
        <w:tblCellMar>
          <w:top w:w="0" w:type="dxa"/>
          <w:left w:w="0" w:type="dxa"/>
          <w:bottom w:w="0" w:type="dxa"/>
          <w:right w:w="0" w:type="dxa"/>
        </w:tblCellMar>
      </w:tblPr>
      <w:tr>
        <w:trPr>
          <w:trHeight w:val="203"/>
        </w:trPr>
        <w:tc>
          <w:tcPr>
            <w:tcW w:w="4980" w:type="dxa"/>
            <w:vAlign w:val="bottom"/>
            <w:gridSpan w:val="3"/>
          </w:tcPr>
          <w:p>
            <w:pPr>
              <w:jc w:val="center"/>
              <w:ind w:left="120"/>
              <w:spacing w:after="0"/>
              <w:rPr>
                <w:sz w:val="20"/>
                <w:szCs w:val="20"/>
                <w:color w:val="auto"/>
              </w:rPr>
            </w:pPr>
            <w:r>
              <w:rPr>
                <w:rFonts w:ascii="Courier New" w:cs="Courier New" w:eastAsia="Courier New" w:hAnsi="Courier New"/>
                <w:sz w:val="18"/>
                <w:szCs w:val="18"/>
                <w:color w:val="auto"/>
                <w:w w:val="97"/>
              </w:rPr>
              <w:t>AS OF SEPTEMBER 30, -------------------- 2003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40" w:type="dxa"/>
            <w:vAlign w:val="bottom"/>
          </w:tcPr>
          <w:p>
            <w:pPr>
              <w:jc w:val="right"/>
              <w:ind w:right="20"/>
              <w:spacing w:after="0" w:line="203" w:lineRule="exact"/>
              <w:rPr>
                <w:sz w:val="20"/>
                <w:szCs w:val="20"/>
                <w:color w:val="auto"/>
              </w:rPr>
            </w:pPr>
            <w:r>
              <w:rPr>
                <w:rFonts w:ascii="Courier New" w:cs="Courier New" w:eastAsia="Courier New" w:hAnsi="Courier New"/>
                <w:sz w:val="18"/>
                <w:szCs w:val="18"/>
                <w:color w:val="auto"/>
              </w:rPr>
              <w:t>2002 --------</w:t>
            </w:r>
          </w:p>
        </w:tc>
        <w:tc>
          <w:tcPr>
            <w:tcW w:w="32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 Prepaid expenses and</w:t>
            </w:r>
          </w:p>
        </w:tc>
        <w:tc>
          <w:tcPr>
            <w:tcW w:w="1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other current assets...................</w:t>
            </w:r>
          </w:p>
        </w:tc>
        <w:tc>
          <w:tcPr>
            <w:tcW w:w="7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$7,447</w:t>
            </w:r>
          </w:p>
        </w:tc>
        <w:tc>
          <w:tcPr>
            <w:tcW w:w="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80" w:type="dxa"/>
            <w:vAlign w:val="bottom"/>
            <w:gridSpan w:val="3"/>
          </w:tcPr>
          <w:p>
            <w:pPr>
              <w:jc w:val="center"/>
              <w:ind w:left="120"/>
              <w:spacing w:after="0" w:line="203" w:lineRule="exact"/>
              <w:rPr>
                <w:sz w:val="20"/>
                <w:szCs w:val="20"/>
                <w:color w:val="auto"/>
              </w:rPr>
            </w:pPr>
            <w:r>
              <w:rPr>
                <w:rFonts w:ascii="Courier New" w:cs="Courier New" w:eastAsia="Courier New" w:hAnsi="Courier New"/>
                <w:sz w:val="18"/>
                <w:szCs w:val="18"/>
                <w:color w:val="auto"/>
                <w:w w:val="97"/>
              </w:rPr>
              <w:t>1,165 Accrued expenses and other current</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w w:val="77"/>
              </w:rPr>
              <w:t>liabilities............</w:t>
            </w:r>
          </w:p>
        </w:tc>
        <w:tc>
          <w:tcPr>
            <w:tcW w:w="2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(2,138) (8,290)</w:t>
            </w: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w:t>
            </w:r>
          </w:p>
        </w:tc>
        <w:tc>
          <w:tcPr>
            <w:tcW w:w="0" w:type="dxa"/>
            <w:vAlign w:val="bottom"/>
          </w:tcPr>
          <w:p>
            <w:pPr>
              <w:spacing w:after="0"/>
              <w:rPr>
                <w:sz w:val="1"/>
                <w:szCs w:val="1"/>
                <w:color w:val="auto"/>
              </w:rPr>
            </w:pPr>
          </w:p>
        </w:tc>
      </w:tr>
      <w:tr>
        <w:trPr>
          <w:trHeight w:val="296"/>
        </w:trPr>
        <w:tc>
          <w:tcPr>
            <w:tcW w:w="1740" w:type="dxa"/>
            <w:vAlign w:val="bottom"/>
            <w:vMerge w:val="restart"/>
          </w:tcPr>
          <w:p>
            <w:pPr>
              <w:jc w:val="right"/>
              <w:spacing w:after="0"/>
              <w:rPr>
                <w:sz w:val="20"/>
                <w:szCs w:val="20"/>
                <w:color w:val="auto"/>
              </w:rPr>
            </w:pPr>
            <w:r>
              <w:rPr>
                <w:rFonts w:ascii="Courier New" w:cs="Courier New" w:eastAsia="Courier New" w:hAnsi="Courier New"/>
                <w:sz w:val="8"/>
                <w:szCs w:val="8"/>
                <w:color w:val="auto"/>
                <w:w w:val="73"/>
              </w:rPr>
              <w:t>value............................................</w:t>
            </w:r>
          </w:p>
        </w:tc>
        <w:tc>
          <w:tcPr>
            <w:tcW w:w="2480" w:type="dxa"/>
            <w:vAlign w:val="bottom"/>
          </w:tcPr>
          <w:p>
            <w:pPr>
              <w:jc w:val="center"/>
              <w:ind w:right="692"/>
              <w:spacing w:after="0"/>
              <w:rPr>
                <w:sz w:val="20"/>
                <w:szCs w:val="20"/>
                <w:color w:val="auto"/>
              </w:rPr>
            </w:pPr>
            <w:r>
              <w:rPr>
                <w:rFonts w:ascii="Courier New" w:cs="Courier New" w:eastAsia="Courier New" w:hAnsi="Courier New"/>
                <w:sz w:val="18"/>
                <w:szCs w:val="18"/>
                <w:color w:val="auto"/>
                <w:w w:val="97"/>
              </w:rPr>
              <w:t>------ Net fair</w:t>
            </w: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1740" w:type="dxa"/>
            <w:vAlign w:val="bottom"/>
            <w:vMerge w:val="continue"/>
          </w:tcPr>
          <w:p>
            <w:pPr>
              <w:spacing w:after="0"/>
              <w:rPr>
                <w:sz w:val="9"/>
                <w:szCs w:val="9"/>
                <w:color w:val="auto"/>
              </w:rPr>
            </w:pPr>
          </w:p>
        </w:tc>
        <w:tc>
          <w:tcPr>
            <w:tcW w:w="24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6"/>
              </w:rPr>
              <w:t>$(7,125) ====== =======</w:t>
            </w: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6"/>
        </w:trPr>
        <w:tc>
          <w:tcPr>
            <w:tcW w:w="1740" w:type="dxa"/>
            <w:vAlign w:val="bottom"/>
          </w:tcPr>
          <w:p>
            <w:pPr>
              <w:jc w:val="right"/>
              <w:ind w:right="20"/>
              <w:spacing w:after="0"/>
              <w:rPr>
                <w:sz w:val="20"/>
                <w:szCs w:val="20"/>
                <w:color w:val="auto"/>
              </w:rPr>
            </w:pPr>
            <w:r>
              <w:rPr>
                <w:rFonts w:ascii="Courier New" w:cs="Courier New" w:eastAsia="Courier New" w:hAnsi="Courier New"/>
                <w:sz w:val="18"/>
                <w:szCs w:val="18"/>
                <w:color w:val="auto"/>
              </w:rPr>
              <w:t>$5,309</w:t>
            </w:r>
          </w:p>
        </w:tc>
        <w:tc>
          <w:tcPr>
            <w:tcW w:w="248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ind w:right="1879" w:firstLine="527"/>
        <w:spacing w:after="0" w:line="347" w:lineRule="auto"/>
        <w:rPr>
          <w:sz w:val="20"/>
          <w:szCs w:val="20"/>
          <w:color w:val="auto"/>
        </w:rPr>
      </w:pPr>
      <w:r>
        <w:rPr>
          <w:rFonts w:ascii="Courier New" w:cs="Courier New" w:eastAsia="Courier New" w:hAnsi="Courier New"/>
          <w:sz w:val="18"/>
          <w:szCs w:val="18"/>
          <w:color w:val="auto"/>
        </w:rPr>
        <w:t>All forward contracts outstanding as of September 30, 2003 are expected to mature within the next twelve months.</w:t>
      </w:r>
    </w:p>
    <w:p>
      <w:pPr>
        <w:spacing w:after="0" w:line="18" w:lineRule="exact"/>
        <w:rPr>
          <w:sz w:val="20"/>
          <w:szCs w:val="20"/>
          <w:color w:val="auto"/>
        </w:rPr>
      </w:pPr>
    </w:p>
    <w:p>
      <w:pPr>
        <w:ind w:right="1879" w:firstLine="527"/>
        <w:spacing w:after="0" w:line="253" w:lineRule="auto"/>
        <w:rPr>
          <w:sz w:val="20"/>
          <w:szCs w:val="20"/>
          <w:color w:val="auto"/>
        </w:rPr>
      </w:pPr>
      <w:r>
        <w:rPr>
          <w:rFonts w:ascii="Courier New" w:cs="Courier New" w:eastAsia="Courier New" w:hAnsi="Courier New"/>
          <w:sz w:val="18"/>
          <w:szCs w:val="18"/>
          <w:color w:val="auto"/>
        </w:rPr>
        <w:t>During fiscal years 2003 and 2002, the gains or losses recognized in earnings for hedge ineffectiveness, including the time value portion excluded from effectiveness testing, were not significant. During fiscal years 2003 and 2002 the Company recognized losses of $143 and $0, respectively for a hedged firm commitment that no longer qualified as a fair value hedge. During fiscal years 2003 and 2002, the Company recognized losses of $16 and $25, respectively resulting from hedged forecasted cash flows that no longer qualified as cash flow hedges.</w:t>
      </w:r>
    </w:p>
    <w:p>
      <w:pPr>
        <w:spacing w:after="0" w:line="104" w:lineRule="exact"/>
        <w:rPr>
          <w:sz w:val="20"/>
          <w:szCs w:val="20"/>
          <w:color w:val="auto"/>
        </w:rPr>
      </w:pPr>
    </w:p>
    <w:p>
      <w:pPr>
        <w:ind w:right="1779" w:firstLine="527"/>
        <w:spacing w:after="0" w:line="256" w:lineRule="auto"/>
        <w:rPr>
          <w:sz w:val="20"/>
          <w:szCs w:val="20"/>
          <w:color w:val="auto"/>
        </w:rPr>
      </w:pPr>
      <w:r>
        <w:rPr>
          <w:rFonts w:ascii="Courier New" w:cs="Courier New" w:eastAsia="Courier New" w:hAnsi="Courier New"/>
          <w:sz w:val="18"/>
          <w:szCs w:val="18"/>
          <w:color w:val="auto"/>
        </w:rPr>
        <w:t>Derivatives gains and losses, that are included in other comprehensive income, are reclassified into earnings at the time the forecasted revenue or expenses are recognized. The Company estimates that a $3,489 net gain related to forward contracts that is included in other comprehensive income as of September 30, 2003 will be reclassified into earnings within the next twelve months. The amount ultimately realized in earnings will likely differ due to future changes in foreign exchange rates.</w:t>
      </w:r>
    </w:p>
    <w:p>
      <w:pPr>
        <w:spacing w:after="0" w:line="98" w:lineRule="exact"/>
        <w:rPr>
          <w:sz w:val="20"/>
          <w:szCs w:val="20"/>
          <w:color w:val="auto"/>
        </w:rPr>
      </w:pPr>
    </w:p>
    <w:p>
      <w:pPr>
        <w:ind w:right="1999" w:firstLine="527"/>
        <w:spacing w:after="0" w:line="265" w:lineRule="auto"/>
        <w:rPr>
          <w:sz w:val="20"/>
          <w:szCs w:val="20"/>
          <w:color w:val="auto"/>
        </w:rPr>
      </w:pPr>
      <w:r>
        <w:rPr>
          <w:rFonts w:ascii="Courier New" w:cs="Courier New" w:eastAsia="Courier New" w:hAnsi="Courier New"/>
          <w:sz w:val="18"/>
          <w:szCs w:val="18"/>
          <w:color w:val="auto"/>
        </w:rPr>
        <w:t>Subsequent to the balance sheet date, the Company entered into material foreign exchange forward contracts for approximately $100,000 notional amount. These derivatives were designated as cash flow hedges, to hedge exposure to changes in foreign currency exchange rates associated with revenue denominated in a foreign currency, including long-term exposures.</w:t>
      </w:r>
    </w:p>
    <w:p>
      <w:pPr>
        <w:spacing w:after="0" w:line="9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F-37</w:t>
      </w:r>
    </w:p>
    <w:p>
      <w:pPr>
        <w:sectPr>
          <w:pgSz w:w="11900" w:h="16838" w:orient="portrait"/>
          <w:cols w:equalWidth="0" w:num="1">
            <w:col w:w="10219"/>
          </w:cols>
          <w:pgMar w:left="240" w:top="488" w:right="1440" w:bottom="793" w:gutter="0" w:footer="0" w:header="0"/>
        </w:sectPr>
      </w:pPr>
    </w:p>
    <w:bookmarkStart w:id="122" w:name="page123"/>
    <w:bookmarkEnd w:id="122"/>
    <w:p>
      <w:pPr>
        <w:jc w:val="center"/>
        <w:ind w:right="175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3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(IN THOUSANDS, EXCEPT PER SHARE DATA)</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23 -- SELECTED QUARTERLY RESULTS OF OPERATIONS (UNAUDITED)</w:t>
      </w:r>
    </w:p>
    <w:p>
      <w:pPr>
        <w:spacing w:after="0" w:line="201" w:lineRule="exact"/>
        <w:rPr>
          <w:sz w:val="20"/>
          <w:szCs w:val="20"/>
          <w:color w:val="auto"/>
        </w:rPr>
      </w:pPr>
    </w:p>
    <w:p>
      <w:pPr>
        <w:ind w:right="1879" w:firstLine="527"/>
        <w:spacing w:after="0" w:line="347" w:lineRule="auto"/>
        <w:rPr>
          <w:sz w:val="20"/>
          <w:szCs w:val="20"/>
          <w:color w:val="auto"/>
        </w:rPr>
      </w:pPr>
      <w:r>
        <w:rPr>
          <w:rFonts w:ascii="Courier New" w:cs="Courier New" w:eastAsia="Courier New" w:hAnsi="Courier New"/>
          <w:sz w:val="18"/>
          <w:szCs w:val="18"/>
          <w:color w:val="auto"/>
        </w:rPr>
        <w:t>The following are details of the unaudited quarterly results of operations for the three months ended:</w:t>
      </w:r>
    </w:p>
    <w:p>
      <w:pPr>
        <w:spacing w:after="0" w:line="18" w:lineRule="exact"/>
        <w:rPr>
          <w:sz w:val="20"/>
          <w:szCs w:val="20"/>
          <w:color w:val="auto"/>
        </w:rPr>
      </w:pPr>
    </w:p>
    <w:p>
      <w:pPr>
        <w:jc w:val="center"/>
        <w:ind w:right="5459"/>
        <w:spacing w:after="0"/>
        <w:rPr>
          <w:sz w:val="20"/>
          <w:szCs w:val="20"/>
          <w:color w:val="auto"/>
        </w:rPr>
      </w:pPr>
      <w:r>
        <w:rPr>
          <w:rFonts w:ascii="Courier New" w:cs="Courier New" w:eastAsia="Courier New" w:hAnsi="Courier New"/>
          <w:sz w:val="18"/>
          <w:szCs w:val="18"/>
          <w:color w:val="auto"/>
        </w:rPr>
        <w:t>SEPTEMBER 30, JUNE 30, MARCH 31, DECEMBER</w:t>
      </w:r>
    </w:p>
    <w:p>
      <w:pPr>
        <w:spacing w:after="0" w:line="29" w:lineRule="exact"/>
        <w:rPr>
          <w:sz w:val="20"/>
          <w:szCs w:val="20"/>
          <w:color w:val="auto"/>
        </w:rPr>
      </w:pPr>
    </w:p>
    <w:p>
      <w:pPr>
        <w:jc w:val="center"/>
        <w:ind w:right="5459"/>
        <w:spacing w:after="0"/>
        <w:rPr>
          <w:sz w:val="20"/>
          <w:szCs w:val="20"/>
          <w:color w:val="auto"/>
        </w:rPr>
      </w:pPr>
      <w:r>
        <w:rPr>
          <w:rFonts w:ascii="Courier New" w:cs="Courier New" w:eastAsia="Courier New" w:hAnsi="Courier New"/>
          <w:sz w:val="18"/>
          <w:szCs w:val="18"/>
          <w:color w:val="auto"/>
        </w:rPr>
        <w:t>31, ------------- -------- --------- -------</w:t>
      </w:r>
    </w:p>
    <w:tbl>
      <w:tblPr>
        <w:tblLayout w:type="fixed"/>
        <w:tblInd w:w="0" w:type="dxa"/>
        <w:tblCellMar>
          <w:top w:w="0" w:type="dxa"/>
          <w:left w:w="0" w:type="dxa"/>
          <w:bottom w:w="0" w:type="dxa"/>
          <w:right w:w="0" w:type="dxa"/>
        </w:tblCellMar>
      </w:tblPr>
      <w:tr>
        <w:trPr>
          <w:trHeight w:val="296"/>
        </w:trPr>
        <w:tc>
          <w:tcPr>
            <w:tcW w:w="1380" w:type="dxa"/>
            <w:vAlign w:val="bottom"/>
            <w:vMerge w:val="restart"/>
          </w:tcPr>
          <w:p>
            <w:pPr>
              <w:jc w:val="right"/>
              <w:spacing w:after="0"/>
              <w:rPr>
                <w:sz w:val="20"/>
                <w:szCs w:val="20"/>
                <w:color w:val="auto"/>
              </w:rPr>
            </w:pPr>
            <w:r>
              <w:rPr>
                <w:rFonts w:ascii="Courier New" w:cs="Courier New" w:eastAsia="Courier New" w:hAnsi="Courier New"/>
                <w:sz w:val="7"/>
                <w:szCs w:val="7"/>
                <w:color w:val="auto"/>
                <w:w w:val="71"/>
              </w:rPr>
              <w:t>Revenue......................................</w:t>
            </w:r>
          </w:p>
        </w:tc>
        <w:tc>
          <w:tcPr>
            <w:tcW w:w="3320" w:type="dxa"/>
            <w:vAlign w:val="bottom"/>
            <w:gridSpan w:val="2"/>
          </w:tcPr>
          <w:p>
            <w:pPr>
              <w:jc w:val="right"/>
              <w:ind w:right="1552"/>
              <w:spacing w:after="0"/>
              <w:rPr>
                <w:sz w:val="20"/>
                <w:szCs w:val="20"/>
                <w:color w:val="auto"/>
              </w:rPr>
            </w:pPr>
            <w:r>
              <w:rPr>
                <w:rFonts w:ascii="Courier New" w:cs="Courier New" w:eastAsia="Courier New" w:hAnsi="Courier New"/>
                <w:sz w:val="18"/>
                <w:szCs w:val="18"/>
                <w:color w:val="auto"/>
              </w:rPr>
              <w:t>----- 2003(1)</w:t>
            </w:r>
          </w:p>
        </w:tc>
        <w:tc>
          <w:tcPr>
            <w:tcW w:w="0" w:type="dxa"/>
            <w:vAlign w:val="bottom"/>
          </w:tcPr>
          <w:p>
            <w:pPr>
              <w:spacing w:after="0"/>
              <w:rPr>
                <w:sz w:val="1"/>
                <w:szCs w:val="1"/>
                <w:color w:val="auto"/>
              </w:rPr>
            </w:pPr>
          </w:p>
        </w:tc>
      </w:tr>
      <w:tr>
        <w:trPr>
          <w:trHeight w:val="77"/>
        </w:trPr>
        <w:tc>
          <w:tcPr>
            <w:tcW w:w="1380" w:type="dxa"/>
            <w:vAlign w:val="bottom"/>
            <w:vMerge w:val="continue"/>
          </w:tcPr>
          <w:p>
            <w:pPr>
              <w:spacing w:after="0"/>
              <w:rPr>
                <w:sz w:val="6"/>
                <w:szCs w:val="6"/>
                <w:color w:val="auto"/>
              </w:rPr>
            </w:pPr>
          </w:p>
        </w:tc>
        <w:tc>
          <w:tcPr>
            <w:tcW w:w="3320" w:type="dxa"/>
            <w:vAlign w:val="bottom"/>
            <w:gridSpan w:val="2"/>
            <w:vMerge w:val="restart"/>
          </w:tcPr>
          <w:p>
            <w:pPr>
              <w:jc w:val="right"/>
              <w:ind w:right="392"/>
              <w:spacing w:after="0"/>
              <w:rPr>
                <w:sz w:val="20"/>
                <w:szCs w:val="20"/>
                <w:color w:val="auto"/>
              </w:rPr>
            </w:pPr>
            <w:r>
              <w:rPr>
                <w:rFonts w:ascii="Courier New" w:cs="Courier New" w:eastAsia="Courier New" w:hAnsi="Courier New"/>
                <w:sz w:val="18"/>
                <w:szCs w:val="18"/>
                <w:color w:val="auto"/>
              </w:rPr>
              <w:t>$377,168 $355,014 $339,386</w:t>
            </w:r>
          </w:p>
        </w:tc>
        <w:tc>
          <w:tcPr>
            <w:tcW w:w="0" w:type="dxa"/>
            <w:vAlign w:val="bottom"/>
          </w:tcPr>
          <w:p>
            <w:pPr>
              <w:spacing w:after="0"/>
              <w:rPr>
                <w:sz w:val="1"/>
                <w:szCs w:val="1"/>
                <w:color w:val="auto"/>
              </w:rPr>
            </w:pPr>
          </w:p>
        </w:tc>
      </w:tr>
      <w:tr>
        <w:trPr>
          <w:trHeight w:val="203"/>
        </w:trPr>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$411,759</w:t>
            </w:r>
          </w:p>
        </w:tc>
        <w:tc>
          <w:tcPr>
            <w:tcW w:w="33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vMerge w:val="restart"/>
          </w:tcPr>
          <w:p>
            <w:pPr>
              <w:jc w:val="right"/>
              <w:spacing w:after="0"/>
              <w:rPr>
                <w:sz w:val="20"/>
                <w:szCs w:val="20"/>
                <w:color w:val="auto"/>
              </w:rPr>
            </w:pPr>
            <w:r>
              <w:rPr>
                <w:rFonts w:ascii="Courier New" w:cs="Courier New" w:eastAsia="Courier New" w:hAnsi="Courier New"/>
                <w:sz w:val="9"/>
                <w:szCs w:val="9"/>
                <w:color w:val="auto"/>
                <w:w w:val="71"/>
              </w:rPr>
              <w:t>income.............................</w:t>
            </w:r>
          </w:p>
        </w:tc>
        <w:tc>
          <w:tcPr>
            <w:tcW w:w="3320" w:type="dxa"/>
            <w:vAlign w:val="bottom"/>
            <w:gridSpan w:val="2"/>
          </w:tcPr>
          <w:p>
            <w:pPr>
              <w:jc w:val="center"/>
              <w:ind w:right="1232"/>
              <w:spacing w:after="0" w:line="203" w:lineRule="exact"/>
              <w:rPr>
                <w:sz w:val="20"/>
                <w:szCs w:val="20"/>
                <w:color w:val="auto"/>
              </w:rPr>
            </w:pPr>
            <w:r>
              <w:rPr>
                <w:rFonts w:ascii="Courier New" w:cs="Courier New" w:eastAsia="Courier New" w:hAnsi="Courier New"/>
                <w:sz w:val="18"/>
                <w:szCs w:val="18"/>
                <w:color w:val="auto"/>
                <w:w w:val="98"/>
              </w:rPr>
              <w:t>Operating</w:t>
            </w:r>
          </w:p>
        </w:tc>
        <w:tc>
          <w:tcPr>
            <w:tcW w:w="0" w:type="dxa"/>
            <w:vAlign w:val="bottom"/>
          </w:tcPr>
          <w:p>
            <w:pPr>
              <w:spacing w:after="0"/>
              <w:rPr>
                <w:sz w:val="1"/>
                <w:szCs w:val="1"/>
                <w:color w:val="auto"/>
              </w:rPr>
            </w:pPr>
          </w:p>
        </w:tc>
      </w:tr>
      <w:tr>
        <w:trPr>
          <w:trHeight w:val="203"/>
        </w:trPr>
        <w:tc>
          <w:tcPr>
            <w:tcW w:w="1380" w:type="dxa"/>
            <w:vAlign w:val="bottom"/>
            <w:vMerge w:val="continue"/>
          </w:tcPr>
          <w:p>
            <w:pPr>
              <w:spacing w:after="0"/>
              <w:rPr>
                <w:sz w:val="17"/>
                <w:szCs w:val="17"/>
                <w:color w:val="auto"/>
              </w:rPr>
            </w:pPr>
          </w:p>
        </w:tc>
        <w:tc>
          <w:tcPr>
            <w:tcW w:w="1200" w:type="dxa"/>
            <w:vAlign w:val="bottom"/>
          </w:tcPr>
          <w:p>
            <w:pPr>
              <w:spacing w:after="0"/>
              <w:rPr>
                <w:sz w:val="17"/>
                <w:szCs w:val="17"/>
                <w:color w:val="auto"/>
              </w:rPr>
            </w:pPr>
          </w:p>
        </w:tc>
        <w:tc>
          <w:tcPr>
            <w:tcW w:w="2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56,167</w:t>
            </w:r>
          </w:p>
        </w:tc>
        <w:tc>
          <w:tcPr>
            <w:tcW w:w="0" w:type="dxa"/>
            <w:vAlign w:val="bottom"/>
          </w:tcPr>
          <w:p>
            <w:pPr>
              <w:spacing w:after="0"/>
              <w:rPr>
                <w:sz w:val="1"/>
                <w:szCs w:val="1"/>
                <w:color w:val="auto"/>
              </w:rPr>
            </w:pPr>
          </w:p>
        </w:tc>
      </w:tr>
      <w:tr>
        <w:trPr>
          <w:trHeight w:val="203"/>
        </w:trPr>
        <w:tc>
          <w:tcPr>
            <w:tcW w:w="470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59,982 56,314 37,955 Net</w:t>
            </w:r>
          </w:p>
        </w:tc>
        <w:tc>
          <w:tcPr>
            <w:tcW w:w="0" w:type="dxa"/>
            <w:vAlign w:val="bottom"/>
          </w:tcPr>
          <w:p>
            <w:pPr>
              <w:spacing w:after="0"/>
              <w:rPr>
                <w:sz w:val="1"/>
                <w:szCs w:val="1"/>
                <w:color w:val="auto"/>
              </w:rPr>
            </w:pPr>
          </w:p>
        </w:tc>
      </w:tr>
      <w:tr>
        <w:trPr>
          <w:trHeight w:val="203"/>
        </w:trPr>
        <w:tc>
          <w:tcPr>
            <w:tcW w:w="25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4"/>
              </w:rPr>
              <w:t>income...................................</w:t>
            </w: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43,871 47,438 45,375 32,199 Basic earnings</w:t>
            </w:r>
          </w:p>
        </w:tc>
        <w:tc>
          <w:tcPr>
            <w:tcW w:w="0" w:type="dxa"/>
            <w:vAlign w:val="bottom"/>
          </w:tcPr>
          <w:p>
            <w:pPr>
              <w:spacing w:after="0"/>
              <w:rPr>
                <w:sz w:val="1"/>
                <w:szCs w:val="1"/>
                <w:color w:val="auto"/>
              </w:rPr>
            </w:pPr>
          </w:p>
        </w:tc>
      </w:tr>
      <w:tr>
        <w:trPr>
          <w:trHeight w:val="203"/>
        </w:trPr>
        <w:tc>
          <w:tcPr>
            <w:tcW w:w="2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8"/>
              </w:rPr>
              <w:t>per share.....................</w:t>
            </w:r>
          </w:p>
        </w:tc>
        <w:tc>
          <w:tcPr>
            <w:tcW w:w="2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0.20 0.22</w:t>
            </w:r>
          </w:p>
        </w:tc>
        <w:tc>
          <w:tcPr>
            <w:tcW w:w="0" w:type="dxa"/>
            <w:vAlign w:val="bottom"/>
          </w:tcPr>
          <w:p>
            <w:pPr>
              <w:spacing w:after="0"/>
              <w:rPr>
                <w:sz w:val="1"/>
                <w:szCs w:val="1"/>
                <w:color w:val="auto"/>
              </w:rPr>
            </w:pPr>
          </w:p>
        </w:tc>
      </w:tr>
      <w:tr>
        <w:trPr>
          <w:trHeight w:val="203"/>
        </w:trPr>
        <w:tc>
          <w:tcPr>
            <w:tcW w:w="470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0.21 0.15 Diluted earnings per</w:t>
            </w:r>
          </w:p>
        </w:tc>
        <w:tc>
          <w:tcPr>
            <w:tcW w:w="0" w:type="dxa"/>
            <w:vAlign w:val="bottom"/>
          </w:tcPr>
          <w:p>
            <w:pPr>
              <w:spacing w:after="0"/>
              <w:rPr>
                <w:sz w:val="1"/>
                <w:szCs w:val="1"/>
                <w:color w:val="auto"/>
              </w:rPr>
            </w:pPr>
          </w:p>
        </w:tc>
      </w:tr>
      <w:tr>
        <w:trPr>
          <w:trHeight w:val="203"/>
        </w:trPr>
        <w:tc>
          <w:tcPr>
            <w:tcW w:w="2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share...................</w:t>
            </w:r>
          </w:p>
        </w:tc>
        <w:tc>
          <w:tcPr>
            <w:tcW w:w="2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0.20 0.21 0.21 0.15</w:t>
            </w:r>
          </w:p>
        </w:tc>
        <w:tc>
          <w:tcPr>
            <w:tcW w:w="0" w:type="dxa"/>
            <w:vAlign w:val="bottom"/>
          </w:tcPr>
          <w:p>
            <w:pPr>
              <w:spacing w:after="0"/>
              <w:rPr>
                <w:sz w:val="1"/>
                <w:szCs w:val="1"/>
                <w:color w:val="auto"/>
              </w:rPr>
            </w:pPr>
          </w:p>
        </w:tc>
      </w:tr>
      <w:tr>
        <w:trPr>
          <w:trHeight w:val="296"/>
        </w:trPr>
        <w:tc>
          <w:tcPr>
            <w:tcW w:w="1380" w:type="dxa"/>
            <w:vAlign w:val="bottom"/>
            <w:vMerge w:val="restart"/>
          </w:tcPr>
          <w:p>
            <w:pPr>
              <w:jc w:val="right"/>
              <w:spacing w:after="0"/>
              <w:rPr>
                <w:sz w:val="20"/>
                <w:szCs w:val="20"/>
                <w:color w:val="auto"/>
              </w:rPr>
            </w:pPr>
            <w:r>
              <w:rPr>
                <w:rFonts w:ascii="Courier New" w:cs="Courier New" w:eastAsia="Courier New" w:hAnsi="Courier New"/>
                <w:sz w:val="7"/>
                <w:szCs w:val="7"/>
                <w:color w:val="auto"/>
                <w:w w:val="71"/>
              </w:rPr>
              <w:t>Revenue......................................</w:t>
            </w:r>
          </w:p>
        </w:tc>
        <w:tc>
          <w:tcPr>
            <w:tcW w:w="3320" w:type="dxa"/>
            <w:vAlign w:val="bottom"/>
            <w:gridSpan w:val="2"/>
          </w:tcPr>
          <w:p>
            <w:pPr>
              <w:jc w:val="right"/>
              <w:ind w:right="1872"/>
              <w:spacing w:after="0"/>
              <w:rPr>
                <w:sz w:val="20"/>
                <w:szCs w:val="20"/>
                <w:color w:val="auto"/>
              </w:rPr>
            </w:pPr>
            <w:r>
              <w:rPr>
                <w:rFonts w:ascii="Courier New" w:cs="Courier New" w:eastAsia="Courier New" w:hAnsi="Courier New"/>
                <w:sz w:val="18"/>
                <w:szCs w:val="18"/>
                <w:color w:val="auto"/>
              </w:rPr>
              <w:t>2002(2)</w:t>
            </w:r>
          </w:p>
        </w:tc>
        <w:tc>
          <w:tcPr>
            <w:tcW w:w="0" w:type="dxa"/>
            <w:vAlign w:val="bottom"/>
          </w:tcPr>
          <w:p>
            <w:pPr>
              <w:spacing w:after="0"/>
              <w:rPr>
                <w:sz w:val="1"/>
                <w:szCs w:val="1"/>
                <w:color w:val="auto"/>
              </w:rPr>
            </w:pPr>
          </w:p>
        </w:tc>
      </w:tr>
      <w:tr>
        <w:trPr>
          <w:trHeight w:val="109"/>
        </w:trPr>
        <w:tc>
          <w:tcPr>
            <w:tcW w:w="1380" w:type="dxa"/>
            <w:vAlign w:val="bottom"/>
            <w:vMerge w:val="continue"/>
          </w:tcPr>
          <w:p>
            <w:pPr>
              <w:spacing w:after="0"/>
              <w:rPr>
                <w:sz w:val="9"/>
                <w:szCs w:val="9"/>
                <w:color w:val="auto"/>
              </w:rPr>
            </w:pPr>
          </w:p>
        </w:tc>
        <w:tc>
          <w:tcPr>
            <w:tcW w:w="3320" w:type="dxa"/>
            <w:vAlign w:val="bottom"/>
            <w:gridSpan w:val="2"/>
            <w:vMerge w:val="restart"/>
          </w:tcPr>
          <w:p>
            <w:pPr>
              <w:jc w:val="right"/>
              <w:ind w:right="392"/>
              <w:spacing w:after="0"/>
              <w:rPr>
                <w:sz w:val="20"/>
                <w:szCs w:val="20"/>
                <w:color w:val="auto"/>
              </w:rPr>
            </w:pPr>
            <w:r>
              <w:rPr>
                <w:rFonts w:ascii="Courier New" w:cs="Courier New" w:eastAsia="Courier New" w:hAnsi="Courier New"/>
                <w:sz w:val="18"/>
                <w:szCs w:val="18"/>
                <w:color w:val="auto"/>
              </w:rPr>
              <w:t>$380,135 $455,269 $422,641</w:t>
            </w:r>
          </w:p>
        </w:tc>
        <w:tc>
          <w:tcPr>
            <w:tcW w:w="0" w:type="dxa"/>
            <w:vAlign w:val="bottom"/>
          </w:tcPr>
          <w:p>
            <w:pPr>
              <w:spacing w:after="0"/>
              <w:rPr>
                <w:sz w:val="1"/>
                <w:szCs w:val="1"/>
                <w:color w:val="auto"/>
              </w:rPr>
            </w:pPr>
          </w:p>
        </w:tc>
      </w:tr>
      <w:tr>
        <w:trPr>
          <w:trHeight w:val="203"/>
        </w:trPr>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$355,520</w:t>
            </w:r>
          </w:p>
        </w:tc>
        <w:tc>
          <w:tcPr>
            <w:tcW w:w="33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vMerge w:val="restart"/>
          </w:tcPr>
          <w:p>
            <w:pPr>
              <w:jc w:val="right"/>
              <w:spacing w:after="0"/>
              <w:rPr>
                <w:sz w:val="20"/>
                <w:szCs w:val="20"/>
                <w:color w:val="auto"/>
              </w:rPr>
            </w:pPr>
            <w:r>
              <w:rPr>
                <w:rFonts w:ascii="Courier New" w:cs="Courier New" w:eastAsia="Courier New" w:hAnsi="Courier New"/>
                <w:sz w:val="11"/>
                <w:szCs w:val="11"/>
                <w:color w:val="auto"/>
                <w:w w:val="73"/>
              </w:rPr>
              <w:t>income......................</w:t>
            </w:r>
          </w:p>
        </w:tc>
        <w:tc>
          <w:tcPr>
            <w:tcW w:w="3320" w:type="dxa"/>
            <w:vAlign w:val="bottom"/>
            <w:gridSpan w:val="2"/>
          </w:tcPr>
          <w:p>
            <w:pPr>
              <w:jc w:val="center"/>
              <w:ind w:right="1232"/>
              <w:spacing w:after="0" w:line="203" w:lineRule="exact"/>
              <w:rPr>
                <w:sz w:val="20"/>
                <w:szCs w:val="20"/>
                <w:color w:val="auto"/>
              </w:rPr>
            </w:pPr>
            <w:r>
              <w:rPr>
                <w:rFonts w:ascii="Courier New" w:cs="Courier New" w:eastAsia="Courier New" w:hAnsi="Courier New"/>
                <w:sz w:val="18"/>
                <w:szCs w:val="18"/>
                <w:color w:val="auto"/>
                <w:w w:val="97"/>
              </w:rPr>
              <w:t>Operating (loss)</w:t>
            </w:r>
          </w:p>
        </w:tc>
        <w:tc>
          <w:tcPr>
            <w:tcW w:w="0" w:type="dxa"/>
            <w:vAlign w:val="bottom"/>
          </w:tcPr>
          <w:p>
            <w:pPr>
              <w:spacing w:after="0"/>
              <w:rPr>
                <w:sz w:val="1"/>
                <w:szCs w:val="1"/>
                <w:color w:val="auto"/>
              </w:rPr>
            </w:pPr>
          </w:p>
        </w:tc>
      </w:tr>
      <w:tr>
        <w:trPr>
          <w:trHeight w:val="203"/>
        </w:trPr>
        <w:tc>
          <w:tcPr>
            <w:tcW w:w="1380" w:type="dxa"/>
            <w:vAlign w:val="bottom"/>
            <w:vMerge w:val="continue"/>
          </w:tcPr>
          <w:p>
            <w:pPr>
              <w:spacing w:after="0"/>
              <w:rPr>
                <w:sz w:val="17"/>
                <w:szCs w:val="17"/>
                <w:color w:val="auto"/>
              </w:rPr>
            </w:pPr>
          </w:p>
        </w:tc>
        <w:tc>
          <w:tcPr>
            <w:tcW w:w="1200" w:type="dxa"/>
            <w:vAlign w:val="bottom"/>
          </w:tcPr>
          <w:p>
            <w:pPr>
              <w:spacing w:after="0"/>
              <w:rPr>
                <w:sz w:val="17"/>
                <w:szCs w:val="17"/>
                <w:color w:val="auto"/>
              </w:rPr>
            </w:pPr>
          </w:p>
        </w:tc>
        <w:tc>
          <w:tcPr>
            <w:tcW w:w="2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(25,385) 2,503</w:t>
            </w:r>
          </w:p>
        </w:tc>
        <w:tc>
          <w:tcPr>
            <w:tcW w:w="0" w:type="dxa"/>
            <w:vAlign w:val="bottom"/>
          </w:tcPr>
          <w:p>
            <w:pPr>
              <w:spacing w:after="0"/>
              <w:rPr>
                <w:sz w:val="1"/>
                <w:szCs w:val="1"/>
                <w:color w:val="auto"/>
              </w:rPr>
            </w:pPr>
          </w:p>
        </w:tc>
      </w:tr>
      <w:tr>
        <w:trPr>
          <w:trHeight w:val="203"/>
        </w:trPr>
        <w:tc>
          <w:tcPr>
            <w:tcW w:w="470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50,813 21,229 Net (loss)</w:t>
            </w:r>
          </w:p>
        </w:tc>
        <w:tc>
          <w:tcPr>
            <w:tcW w:w="0" w:type="dxa"/>
            <w:vAlign w:val="bottom"/>
          </w:tcPr>
          <w:p>
            <w:pPr>
              <w:spacing w:after="0"/>
              <w:rPr>
                <w:sz w:val="1"/>
                <w:szCs w:val="1"/>
                <w:color w:val="auto"/>
              </w:rPr>
            </w:pPr>
          </w:p>
        </w:tc>
      </w:tr>
      <w:tr>
        <w:trPr>
          <w:trHeight w:val="203"/>
        </w:trPr>
        <w:tc>
          <w:tcPr>
            <w:tcW w:w="25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8"/>
              </w:rPr>
              <w:t>income............................</w:t>
            </w:r>
          </w:p>
        </w:tc>
        <w:tc>
          <w:tcPr>
            <w:tcW w:w="2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(8,986)</w:t>
            </w:r>
          </w:p>
        </w:tc>
        <w:tc>
          <w:tcPr>
            <w:tcW w:w="0" w:type="dxa"/>
            <w:vAlign w:val="bottom"/>
          </w:tcPr>
          <w:p>
            <w:pPr>
              <w:spacing w:after="0"/>
              <w:rPr>
                <w:sz w:val="1"/>
                <w:szCs w:val="1"/>
                <w:color w:val="auto"/>
              </w:rPr>
            </w:pPr>
          </w:p>
        </w:tc>
      </w:tr>
      <w:tr>
        <w:trPr>
          <w:trHeight w:val="203"/>
        </w:trPr>
        <w:tc>
          <w:tcPr>
            <w:tcW w:w="470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(26,851) 26,441 4,334 Basic and diluted</w:t>
            </w:r>
          </w:p>
        </w:tc>
        <w:tc>
          <w:tcPr>
            <w:tcW w:w="0" w:type="dxa"/>
            <w:vAlign w:val="bottom"/>
          </w:tcPr>
          <w:p>
            <w:pPr>
              <w:spacing w:after="0"/>
              <w:rPr>
                <w:sz w:val="1"/>
                <w:szCs w:val="1"/>
                <w:color w:val="auto"/>
              </w:rPr>
            </w:pPr>
          </w:p>
        </w:tc>
      </w:tr>
      <w:tr>
        <w:trPr>
          <w:trHeight w:val="296"/>
        </w:trPr>
        <w:tc>
          <w:tcPr>
            <w:tcW w:w="1380" w:type="dxa"/>
            <w:vAlign w:val="bottom"/>
            <w:vMerge w:val="restart"/>
          </w:tcPr>
          <w:p>
            <w:pPr>
              <w:jc w:val="right"/>
              <w:spacing w:after="0"/>
              <w:rPr>
                <w:sz w:val="20"/>
                <w:szCs w:val="20"/>
                <w:color w:val="auto"/>
              </w:rPr>
            </w:pPr>
            <w:r>
              <w:rPr>
                <w:rFonts w:ascii="Courier New" w:cs="Courier New" w:eastAsia="Courier New" w:hAnsi="Courier New"/>
                <w:sz w:val="7"/>
                <w:szCs w:val="7"/>
                <w:color w:val="auto"/>
                <w:w w:val="77"/>
              </w:rPr>
              <w:t>share.....................................</w:t>
            </w:r>
          </w:p>
        </w:tc>
        <w:tc>
          <w:tcPr>
            <w:tcW w:w="3320" w:type="dxa"/>
            <w:vAlign w:val="bottom"/>
            <w:gridSpan w:val="2"/>
          </w:tcPr>
          <w:p>
            <w:pPr>
              <w:jc w:val="center"/>
              <w:ind w:right="1232"/>
              <w:spacing w:after="0"/>
              <w:rPr>
                <w:sz w:val="20"/>
                <w:szCs w:val="20"/>
                <w:color w:val="auto"/>
              </w:rPr>
            </w:pPr>
            <w:r>
              <w:rPr>
                <w:rFonts w:ascii="Courier New" w:cs="Courier New" w:eastAsia="Courier New" w:hAnsi="Courier New"/>
                <w:sz w:val="18"/>
                <w:szCs w:val="18"/>
                <w:color w:val="auto"/>
                <w:w w:val="97"/>
              </w:rPr>
              <w:t>(loss) earnings per</w:t>
            </w:r>
          </w:p>
        </w:tc>
        <w:tc>
          <w:tcPr>
            <w:tcW w:w="0" w:type="dxa"/>
            <w:vAlign w:val="bottom"/>
          </w:tcPr>
          <w:p>
            <w:pPr>
              <w:spacing w:after="0"/>
              <w:rPr>
                <w:sz w:val="1"/>
                <w:szCs w:val="1"/>
                <w:color w:val="auto"/>
              </w:rPr>
            </w:pPr>
          </w:p>
        </w:tc>
      </w:tr>
      <w:tr>
        <w:trPr>
          <w:trHeight w:val="109"/>
        </w:trPr>
        <w:tc>
          <w:tcPr>
            <w:tcW w:w="1380" w:type="dxa"/>
            <w:vAlign w:val="bottom"/>
            <w:vMerge w:val="continue"/>
          </w:tcPr>
          <w:p>
            <w:pPr>
              <w:spacing w:after="0"/>
              <w:rPr>
                <w:sz w:val="9"/>
                <w:szCs w:val="9"/>
                <w:color w:val="auto"/>
              </w:rPr>
            </w:pPr>
          </w:p>
        </w:tc>
        <w:tc>
          <w:tcPr>
            <w:tcW w:w="1200" w:type="dxa"/>
            <w:vAlign w:val="bottom"/>
          </w:tcPr>
          <w:p>
            <w:pPr>
              <w:spacing w:after="0"/>
              <w:rPr>
                <w:sz w:val="9"/>
                <w:szCs w:val="9"/>
                <w:color w:val="auto"/>
              </w:rPr>
            </w:pPr>
          </w:p>
        </w:tc>
        <w:tc>
          <w:tcPr>
            <w:tcW w:w="2120" w:type="dxa"/>
            <w:vAlign w:val="bottom"/>
            <w:vMerge w:val="restart"/>
          </w:tcPr>
          <w:p>
            <w:pPr>
              <w:jc w:val="right"/>
              <w:ind w:right="1032"/>
              <w:spacing w:after="0"/>
              <w:rPr>
                <w:sz w:val="20"/>
                <w:szCs w:val="20"/>
                <w:color w:val="auto"/>
              </w:rPr>
            </w:pPr>
            <w:r>
              <w:rPr>
                <w:rFonts w:ascii="Courier New" w:cs="Courier New" w:eastAsia="Courier New" w:hAnsi="Courier New"/>
                <w:sz w:val="18"/>
                <w:szCs w:val="18"/>
                <w:color w:val="auto"/>
              </w:rPr>
              <w:t>0.12 0.02</w:t>
            </w:r>
          </w:p>
        </w:tc>
        <w:tc>
          <w:tcPr>
            <w:tcW w:w="0" w:type="dxa"/>
            <w:vAlign w:val="bottom"/>
          </w:tcPr>
          <w:p>
            <w:pPr>
              <w:spacing w:after="0"/>
              <w:rPr>
                <w:sz w:val="1"/>
                <w:szCs w:val="1"/>
                <w:color w:val="auto"/>
              </w:rPr>
            </w:pPr>
          </w:p>
        </w:tc>
      </w:tr>
      <w:tr>
        <w:trPr>
          <w:trHeight w:val="296"/>
        </w:trPr>
        <w:tc>
          <w:tcPr>
            <w:tcW w:w="25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(0.04) (0.12)</w:t>
            </w:r>
          </w:p>
        </w:tc>
        <w:tc>
          <w:tcPr>
            <w:tcW w:w="21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1" w:lineRule="exact"/>
        <w:rPr>
          <w:sz w:val="20"/>
          <w:szCs w:val="20"/>
          <w:color w:val="auto"/>
        </w:rPr>
      </w:pPr>
    </w:p>
    <w:p>
      <w:pPr>
        <w:ind w:left="420" w:right="1999" w:hanging="412"/>
        <w:spacing w:after="0" w:line="274" w:lineRule="auto"/>
        <w:tabs>
          <w:tab w:leader="none" w:pos="420"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fiscal 2003, the fiscal quarter ended December 31, 2002 included a restructuring charge of $9,956, and the fiscal quarter ended September 30, 2003 included a charge related to the Company's 10% share in Certen's pre-acquisition results of $4,133.</w:t>
      </w:r>
    </w:p>
    <w:p>
      <w:pPr>
        <w:spacing w:after="0" w:line="81" w:lineRule="exact"/>
        <w:rPr>
          <w:rFonts w:ascii="Courier New" w:cs="Courier New" w:eastAsia="Courier New" w:hAnsi="Courier New"/>
          <w:sz w:val="18"/>
          <w:szCs w:val="18"/>
          <w:color w:val="auto"/>
        </w:rPr>
      </w:pPr>
    </w:p>
    <w:p>
      <w:pPr>
        <w:ind w:left="420" w:right="1999" w:hanging="412"/>
        <w:spacing w:after="0" w:line="265" w:lineRule="auto"/>
        <w:tabs>
          <w:tab w:leader="none" w:pos="420"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fiscal 2002, the fiscal quarter ended December 31, 2001 included a restructuring charge and purchased in-process research and development expense of $13,311 and $17,400, respectively, and the fiscal quarter ended September 30, 2002 included a restructuring charge and gain from the repurchases of Notes of $20,919 and $6,012, respectively.</w:t>
      </w:r>
    </w:p>
    <w:p>
      <w:pPr>
        <w:spacing w:after="0" w:line="9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F-38</w:t>
      </w:r>
    </w:p>
    <w:p>
      <w:pPr>
        <w:sectPr>
          <w:pgSz w:w="11900" w:h="16838" w:orient="portrait"/>
          <w:cols w:equalWidth="0" w:num="1">
            <w:col w:w="10219"/>
          </w:cols>
          <w:pgMar w:left="240" w:top="488" w:right="1440" w:bottom="1440" w:gutter="0" w:footer="0" w:header="0"/>
        </w:sectPr>
      </w:pPr>
    </w:p>
    <w:bookmarkStart w:id="123" w:name="page124"/>
    <w:bookmarkEnd w:id="123"/>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FINANCIAL STATEMENT SCHEDULE</w:t>
      </w:r>
    </w:p>
    <w:p>
      <w:pPr>
        <w:spacing w:after="0" w:line="29"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VALUATION AND QUALIFYING ACCOUNTS</w:t>
      </w:r>
    </w:p>
    <w:p>
      <w:pPr>
        <w:jc w:val="center"/>
        <w:ind w:right="1779"/>
        <w:spacing w:after="0"/>
        <w:rPr>
          <w:sz w:val="20"/>
          <w:szCs w:val="20"/>
          <w:color w:val="auto"/>
        </w:rPr>
      </w:pPr>
      <w:r>
        <w:rPr>
          <w:rFonts w:ascii="Courier New" w:cs="Courier New" w:eastAsia="Courier New" w:hAnsi="Courier New"/>
          <w:sz w:val="18"/>
          <w:szCs w:val="18"/>
          <w:color w:val="auto"/>
        </w:rPr>
        <w:t>(DOLLARS IN THOUSANDS)</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ACCOUNTS VALUATION RECEIVABLE ALLOWANCES ON NET ALLOWANCES</w:t>
      </w:r>
    </w:p>
    <w:tbl>
      <w:tblPr>
        <w:tblLayout w:type="fixed"/>
        <w:tblInd w:w="0" w:type="dxa"/>
        <w:tblCellMar>
          <w:top w:w="0" w:type="dxa"/>
          <w:left w:w="0" w:type="dxa"/>
          <w:bottom w:w="0" w:type="dxa"/>
          <w:right w:w="0" w:type="dxa"/>
        </w:tblCellMar>
      </w:tblPr>
      <w:tr>
        <w:trPr>
          <w:trHeight w:val="201"/>
        </w:trPr>
        <w:tc>
          <w:tcPr>
            <w:tcW w:w="2740" w:type="dxa"/>
            <w:vAlign w:val="bottom"/>
          </w:tcPr>
          <w:p>
            <w:pPr>
              <w:jc w:val="right"/>
              <w:spacing w:after="0"/>
              <w:rPr>
                <w:sz w:val="20"/>
                <w:szCs w:val="20"/>
                <w:color w:val="auto"/>
              </w:rPr>
            </w:pPr>
            <w:r>
              <w:rPr>
                <w:rFonts w:ascii="Courier New" w:cs="Courier New" w:eastAsia="Courier New" w:hAnsi="Courier New"/>
                <w:sz w:val="16"/>
                <w:szCs w:val="16"/>
                <w:color w:val="auto"/>
                <w:w w:val="76"/>
              </w:rPr>
              <w:t>DEFERRED TAX ASSETS -----------------</w:t>
            </w:r>
          </w:p>
        </w:tc>
        <w:tc>
          <w:tcPr>
            <w:tcW w:w="3540" w:type="dxa"/>
            <w:vAlign w:val="bottom"/>
          </w:tcPr>
          <w:p>
            <w:pPr>
              <w:jc w:val="right"/>
              <w:ind w:right="12"/>
              <w:spacing w:after="0" w:line="201"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2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Balance as of October 1,</w:t>
            </w:r>
          </w:p>
        </w:tc>
        <w:tc>
          <w:tcPr>
            <w:tcW w:w="0" w:type="dxa"/>
            <w:vAlign w:val="bottom"/>
          </w:tcPr>
          <w:p>
            <w:pPr>
              <w:spacing w:after="0"/>
              <w:rPr>
                <w:sz w:val="1"/>
                <w:szCs w:val="1"/>
                <w:color w:val="auto"/>
              </w:rPr>
            </w:pPr>
          </w:p>
        </w:tc>
      </w:tr>
      <w:tr>
        <w:trPr>
          <w:trHeight w:val="203"/>
        </w:trPr>
        <w:tc>
          <w:tcPr>
            <w:tcW w:w="2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1"/>
              </w:rPr>
              <w:t>2000...............................</w:t>
            </w:r>
          </w:p>
        </w:tc>
        <w:tc>
          <w:tcPr>
            <w:tcW w:w="3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$ 6,868 $ 16,743</w:t>
            </w:r>
          </w:p>
        </w:tc>
        <w:tc>
          <w:tcPr>
            <w:tcW w:w="0" w:type="dxa"/>
            <w:vAlign w:val="bottom"/>
          </w:tcPr>
          <w:p>
            <w:pPr>
              <w:spacing w:after="0"/>
              <w:rPr>
                <w:sz w:val="1"/>
                <w:szCs w:val="1"/>
                <w:color w:val="auto"/>
              </w:rPr>
            </w:pPr>
          </w:p>
        </w:tc>
      </w:tr>
      <w:tr>
        <w:trPr>
          <w:trHeight w:val="203"/>
        </w:trPr>
        <w:tc>
          <w:tcPr>
            <w:tcW w:w="62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Additions: Charged to costs and</w:t>
            </w:r>
          </w:p>
        </w:tc>
        <w:tc>
          <w:tcPr>
            <w:tcW w:w="0" w:type="dxa"/>
            <w:vAlign w:val="bottom"/>
          </w:tcPr>
          <w:p>
            <w:pPr>
              <w:spacing w:after="0"/>
              <w:rPr>
                <w:sz w:val="1"/>
                <w:szCs w:val="1"/>
                <w:color w:val="auto"/>
              </w:rPr>
            </w:pPr>
          </w:p>
        </w:tc>
      </w:tr>
      <w:tr>
        <w:trPr>
          <w:trHeight w:val="203"/>
        </w:trPr>
        <w:tc>
          <w:tcPr>
            <w:tcW w:w="2740" w:type="dxa"/>
            <w:vAlign w:val="bottom"/>
          </w:tcPr>
          <w:p>
            <w:pPr>
              <w:jc w:val="right"/>
              <w:spacing w:after="0"/>
              <w:rPr>
                <w:sz w:val="20"/>
                <w:szCs w:val="20"/>
                <w:color w:val="auto"/>
              </w:rPr>
            </w:pPr>
            <w:r>
              <w:rPr>
                <w:rFonts w:ascii="Courier New" w:cs="Courier New" w:eastAsia="Courier New" w:hAnsi="Courier New"/>
                <w:sz w:val="16"/>
                <w:szCs w:val="16"/>
                <w:color w:val="auto"/>
                <w:w w:val="76"/>
              </w:rPr>
              <w:t>expenses.............................</w:t>
            </w:r>
          </w:p>
        </w:tc>
        <w:tc>
          <w:tcPr>
            <w:tcW w:w="3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-- 11,164 Charged to</w:t>
            </w:r>
          </w:p>
        </w:tc>
        <w:tc>
          <w:tcPr>
            <w:tcW w:w="0" w:type="dxa"/>
            <w:vAlign w:val="bottom"/>
          </w:tcPr>
          <w:p>
            <w:pPr>
              <w:spacing w:after="0"/>
              <w:rPr>
                <w:sz w:val="1"/>
                <w:szCs w:val="1"/>
                <w:color w:val="auto"/>
              </w:rPr>
            </w:pPr>
          </w:p>
        </w:tc>
      </w:tr>
      <w:tr>
        <w:trPr>
          <w:trHeight w:val="203"/>
        </w:trPr>
        <w:tc>
          <w:tcPr>
            <w:tcW w:w="2740" w:type="dxa"/>
            <w:vAlign w:val="bottom"/>
          </w:tcPr>
          <w:p>
            <w:pPr>
              <w:jc w:val="right"/>
              <w:spacing w:after="0"/>
              <w:rPr>
                <w:sz w:val="20"/>
                <w:szCs w:val="20"/>
                <w:color w:val="auto"/>
              </w:rPr>
            </w:pPr>
            <w:r>
              <w:rPr>
                <w:rFonts w:ascii="Courier New" w:cs="Courier New" w:eastAsia="Courier New" w:hAnsi="Courier New"/>
                <w:sz w:val="13"/>
                <w:szCs w:val="13"/>
                <w:color w:val="auto"/>
                <w:w w:val="74"/>
              </w:rPr>
              <w:t>other accounts.................................</w:t>
            </w:r>
          </w:p>
        </w:tc>
        <w:tc>
          <w:tcPr>
            <w:tcW w:w="35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899 --</w:t>
            </w:r>
          </w:p>
        </w:tc>
        <w:tc>
          <w:tcPr>
            <w:tcW w:w="0" w:type="dxa"/>
            <w:vAlign w:val="bottom"/>
          </w:tcPr>
          <w:p>
            <w:pPr>
              <w:spacing w:after="0"/>
              <w:rPr>
                <w:sz w:val="1"/>
                <w:szCs w:val="1"/>
                <w:color w:val="auto"/>
              </w:rPr>
            </w:pPr>
          </w:p>
        </w:tc>
      </w:tr>
      <w:tr>
        <w:trPr>
          <w:trHeight w:val="203"/>
        </w:trPr>
        <w:tc>
          <w:tcPr>
            <w:tcW w:w="62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Deductions..................................................</w:t>
            </w:r>
          </w:p>
        </w:tc>
        <w:tc>
          <w:tcPr>
            <w:tcW w:w="0" w:type="dxa"/>
            <w:vAlign w:val="bottom"/>
          </w:tcPr>
          <w:p>
            <w:pPr>
              <w:spacing w:after="0"/>
              <w:rPr>
                <w:sz w:val="1"/>
                <w:szCs w:val="1"/>
                <w:color w:val="auto"/>
              </w:rPr>
            </w:pPr>
          </w:p>
        </w:tc>
      </w:tr>
      <w:tr>
        <w:trPr>
          <w:trHeight w:val="203"/>
        </w:trPr>
        <w:tc>
          <w:tcPr>
            <w:tcW w:w="62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(3,649) -- --------- --------- Balance as of September 30,</w:t>
            </w:r>
          </w:p>
        </w:tc>
        <w:tc>
          <w:tcPr>
            <w:tcW w:w="0" w:type="dxa"/>
            <w:vAlign w:val="bottom"/>
          </w:tcPr>
          <w:p>
            <w:pPr>
              <w:spacing w:after="0"/>
              <w:rPr>
                <w:sz w:val="1"/>
                <w:szCs w:val="1"/>
                <w:color w:val="auto"/>
              </w:rPr>
            </w:pPr>
          </w:p>
        </w:tc>
      </w:tr>
      <w:tr>
        <w:trPr>
          <w:trHeight w:val="203"/>
        </w:trPr>
        <w:tc>
          <w:tcPr>
            <w:tcW w:w="2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8"/>
              </w:rPr>
              <w:t>2001............................</w:t>
            </w:r>
          </w:p>
        </w:tc>
        <w:tc>
          <w:tcPr>
            <w:tcW w:w="3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4,118 27,907 Additions:</w:t>
            </w:r>
          </w:p>
        </w:tc>
        <w:tc>
          <w:tcPr>
            <w:tcW w:w="0" w:type="dxa"/>
            <w:vAlign w:val="bottom"/>
          </w:tcPr>
          <w:p>
            <w:pPr>
              <w:spacing w:after="0"/>
              <w:rPr>
                <w:sz w:val="1"/>
                <w:szCs w:val="1"/>
                <w:color w:val="auto"/>
              </w:rPr>
            </w:pPr>
          </w:p>
        </w:tc>
      </w:tr>
      <w:tr>
        <w:trPr>
          <w:trHeight w:val="203"/>
        </w:trPr>
        <w:tc>
          <w:tcPr>
            <w:tcW w:w="62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Charged to costs and expenses.............................</w:t>
            </w:r>
          </w:p>
        </w:tc>
        <w:tc>
          <w:tcPr>
            <w:tcW w:w="0" w:type="dxa"/>
            <w:vAlign w:val="bottom"/>
          </w:tcPr>
          <w:p>
            <w:pPr>
              <w:spacing w:after="0"/>
              <w:rPr>
                <w:sz w:val="1"/>
                <w:szCs w:val="1"/>
                <w:color w:val="auto"/>
              </w:rPr>
            </w:pPr>
          </w:p>
        </w:tc>
      </w:tr>
      <w:tr>
        <w:trPr>
          <w:trHeight w:val="203"/>
        </w:trPr>
        <w:tc>
          <w:tcPr>
            <w:tcW w:w="62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 -- Charged to other</w:t>
            </w:r>
          </w:p>
        </w:tc>
        <w:tc>
          <w:tcPr>
            <w:tcW w:w="0" w:type="dxa"/>
            <w:vAlign w:val="bottom"/>
          </w:tcPr>
          <w:p>
            <w:pPr>
              <w:spacing w:after="0"/>
              <w:rPr>
                <w:sz w:val="1"/>
                <w:szCs w:val="1"/>
                <w:color w:val="auto"/>
              </w:rPr>
            </w:pPr>
          </w:p>
        </w:tc>
      </w:tr>
      <w:tr>
        <w:trPr>
          <w:trHeight w:val="203"/>
        </w:trPr>
        <w:tc>
          <w:tcPr>
            <w:tcW w:w="2740" w:type="dxa"/>
            <w:vAlign w:val="bottom"/>
          </w:tcPr>
          <w:p>
            <w:pPr>
              <w:jc w:val="right"/>
              <w:spacing w:after="0"/>
              <w:rPr>
                <w:sz w:val="20"/>
                <w:szCs w:val="20"/>
                <w:color w:val="auto"/>
              </w:rPr>
            </w:pPr>
            <w:r>
              <w:rPr>
                <w:rFonts w:ascii="Courier New" w:cs="Courier New" w:eastAsia="Courier New" w:hAnsi="Courier New"/>
                <w:sz w:val="15"/>
                <w:szCs w:val="15"/>
                <w:color w:val="auto"/>
                <w:w w:val="73"/>
              </w:rPr>
              <w:t>accounts.................................</w:t>
            </w:r>
          </w:p>
        </w:tc>
        <w:tc>
          <w:tcPr>
            <w:tcW w:w="35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22,859(1) --</w:t>
            </w:r>
          </w:p>
        </w:tc>
        <w:tc>
          <w:tcPr>
            <w:tcW w:w="0" w:type="dxa"/>
            <w:vAlign w:val="bottom"/>
          </w:tcPr>
          <w:p>
            <w:pPr>
              <w:spacing w:after="0"/>
              <w:rPr>
                <w:sz w:val="1"/>
                <w:szCs w:val="1"/>
                <w:color w:val="auto"/>
              </w:rPr>
            </w:pPr>
          </w:p>
        </w:tc>
      </w:tr>
      <w:tr>
        <w:trPr>
          <w:trHeight w:val="203"/>
        </w:trPr>
        <w:tc>
          <w:tcPr>
            <w:tcW w:w="2740" w:type="dxa"/>
            <w:vAlign w:val="bottom"/>
          </w:tcPr>
          <w:p>
            <w:pPr>
              <w:jc w:val="right"/>
              <w:spacing w:after="0"/>
              <w:rPr>
                <w:sz w:val="20"/>
                <w:szCs w:val="20"/>
                <w:color w:val="auto"/>
              </w:rPr>
            </w:pPr>
            <w:r>
              <w:rPr>
                <w:rFonts w:ascii="Courier New" w:cs="Courier New" w:eastAsia="Courier New" w:hAnsi="Courier New"/>
                <w:sz w:val="10"/>
                <w:szCs w:val="10"/>
                <w:color w:val="auto"/>
                <w:w w:val="75"/>
              </w:rPr>
              <w:t>Deductions..................................................</w:t>
            </w:r>
          </w:p>
        </w:tc>
        <w:tc>
          <w:tcPr>
            <w:tcW w:w="35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7"/>
              </w:rPr>
              <w:t>--------- Balance as of September</w:t>
            </w:r>
          </w:p>
        </w:tc>
        <w:tc>
          <w:tcPr>
            <w:tcW w:w="0" w:type="dxa"/>
            <w:vAlign w:val="bottom"/>
          </w:tcPr>
          <w:p>
            <w:pPr>
              <w:spacing w:after="0"/>
              <w:rPr>
                <w:sz w:val="1"/>
                <w:szCs w:val="1"/>
                <w:color w:val="auto"/>
              </w:rPr>
            </w:pPr>
          </w:p>
        </w:tc>
      </w:tr>
      <w:tr>
        <w:trPr>
          <w:trHeight w:val="203"/>
        </w:trPr>
        <w:tc>
          <w:tcPr>
            <w:tcW w:w="2740" w:type="dxa"/>
            <w:vAlign w:val="bottom"/>
          </w:tcPr>
          <w:p>
            <w:pPr>
              <w:jc w:val="right"/>
              <w:ind w:right="20"/>
              <w:spacing w:after="0" w:line="203" w:lineRule="exact"/>
              <w:rPr>
                <w:sz w:val="20"/>
                <w:szCs w:val="20"/>
                <w:color w:val="auto"/>
              </w:rPr>
            </w:pPr>
            <w:r>
              <w:rPr>
                <w:rFonts w:ascii="Courier New" w:cs="Courier New" w:eastAsia="Courier New" w:hAnsi="Courier New"/>
                <w:sz w:val="18"/>
                <w:szCs w:val="18"/>
                <w:color w:val="auto"/>
              </w:rPr>
              <w:t>(737) (17,203) ---------</w:t>
            </w:r>
          </w:p>
        </w:tc>
        <w:tc>
          <w:tcPr>
            <w:tcW w:w="3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40" w:type="dxa"/>
            <w:vAlign w:val="bottom"/>
          </w:tcPr>
          <w:p>
            <w:pPr>
              <w:jc w:val="right"/>
              <w:spacing w:after="0"/>
              <w:rPr>
                <w:sz w:val="20"/>
                <w:szCs w:val="20"/>
                <w:color w:val="auto"/>
              </w:rPr>
            </w:pPr>
            <w:r>
              <w:rPr>
                <w:rFonts w:ascii="Courier New" w:cs="Courier New" w:eastAsia="Courier New" w:hAnsi="Courier New"/>
                <w:sz w:val="16"/>
                <w:szCs w:val="16"/>
                <w:color w:val="auto"/>
                <w:w w:val="78"/>
              </w:rPr>
              <w:t>30, 2002............................</w:t>
            </w:r>
          </w:p>
        </w:tc>
        <w:tc>
          <w:tcPr>
            <w:tcW w:w="35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26,240 10,704</w:t>
            </w:r>
          </w:p>
        </w:tc>
        <w:tc>
          <w:tcPr>
            <w:tcW w:w="0" w:type="dxa"/>
            <w:vAlign w:val="bottom"/>
          </w:tcPr>
          <w:p>
            <w:pPr>
              <w:spacing w:after="0"/>
              <w:rPr>
                <w:sz w:val="1"/>
                <w:szCs w:val="1"/>
                <w:color w:val="auto"/>
              </w:rPr>
            </w:pPr>
          </w:p>
        </w:tc>
      </w:tr>
      <w:tr>
        <w:trPr>
          <w:trHeight w:val="203"/>
        </w:trPr>
        <w:tc>
          <w:tcPr>
            <w:tcW w:w="62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Additions: Charged to costs and</w:t>
            </w:r>
          </w:p>
        </w:tc>
        <w:tc>
          <w:tcPr>
            <w:tcW w:w="0" w:type="dxa"/>
            <w:vAlign w:val="bottom"/>
          </w:tcPr>
          <w:p>
            <w:pPr>
              <w:spacing w:after="0"/>
              <w:rPr>
                <w:sz w:val="1"/>
                <w:szCs w:val="1"/>
                <w:color w:val="auto"/>
              </w:rPr>
            </w:pPr>
          </w:p>
        </w:tc>
      </w:tr>
      <w:tr>
        <w:trPr>
          <w:trHeight w:val="203"/>
        </w:trPr>
        <w:tc>
          <w:tcPr>
            <w:tcW w:w="2740" w:type="dxa"/>
            <w:vAlign w:val="bottom"/>
          </w:tcPr>
          <w:p>
            <w:pPr>
              <w:jc w:val="right"/>
              <w:spacing w:after="0"/>
              <w:rPr>
                <w:sz w:val="20"/>
                <w:szCs w:val="20"/>
                <w:color w:val="auto"/>
              </w:rPr>
            </w:pPr>
            <w:r>
              <w:rPr>
                <w:rFonts w:ascii="Courier New" w:cs="Courier New" w:eastAsia="Courier New" w:hAnsi="Courier New"/>
                <w:sz w:val="16"/>
                <w:szCs w:val="16"/>
                <w:color w:val="auto"/>
                <w:w w:val="76"/>
              </w:rPr>
              <w:t>expenses.............................</w:t>
            </w:r>
          </w:p>
        </w:tc>
        <w:tc>
          <w:tcPr>
            <w:tcW w:w="3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17,585 -- Charged to</w:t>
            </w:r>
          </w:p>
        </w:tc>
        <w:tc>
          <w:tcPr>
            <w:tcW w:w="0" w:type="dxa"/>
            <w:vAlign w:val="bottom"/>
          </w:tcPr>
          <w:p>
            <w:pPr>
              <w:spacing w:after="0"/>
              <w:rPr>
                <w:sz w:val="1"/>
                <w:szCs w:val="1"/>
                <w:color w:val="auto"/>
              </w:rPr>
            </w:pPr>
          </w:p>
        </w:tc>
      </w:tr>
      <w:tr>
        <w:trPr>
          <w:trHeight w:val="203"/>
        </w:trPr>
        <w:tc>
          <w:tcPr>
            <w:tcW w:w="2740" w:type="dxa"/>
            <w:vAlign w:val="bottom"/>
          </w:tcPr>
          <w:p>
            <w:pPr>
              <w:jc w:val="right"/>
              <w:spacing w:after="0"/>
              <w:rPr>
                <w:sz w:val="20"/>
                <w:szCs w:val="20"/>
                <w:color w:val="auto"/>
              </w:rPr>
            </w:pPr>
            <w:r>
              <w:rPr>
                <w:rFonts w:ascii="Courier New" w:cs="Courier New" w:eastAsia="Courier New" w:hAnsi="Courier New"/>
                <w:sz w:val="13"/>
                <w:szCs w:val="13"/>
                <w:color w:val="auto"/>
                <w:w w:val="74"/>
              </w:rPr>
              <w:t>other accounts.................................</w:t>
            </w:r>
          </w:p>
        </w:tc>
        <w:tc>
          <w:tcPr>
            <w:tcW w:w="3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-- 2,578(2)</w:t>
            </w:r>
          </w:p>
        </w:tc>
        <w:tc>
          <w:tcPr>
            <w:tcW w:w="0" w:type="dxa"/>
            <w:vAlign w:val="bottom"/>
          </w:tcPr>
          <w:p>
            <w:pPr>
              <w:spacing w:after="0"/>
              <w:rPr>
                <w:sz w:val="1"/>
                <w:szCs w:val="1"/>
                <w:color w:val="auto"/>
              </w:rPr>
            </w:pPr>
          </w:p>
        </w:tc>
      </w:tr>
      <w:tr>
        <w:trPr>
          <w:trHeight w:val="203"/>
        </w:trPr>
        <w:tc>
          <w:tcPr>
            <w:tcW w:w="2740" w:type="dxa"/>
            <w:vAlign w:val="bottom"/>
          </w:tcPr>
          <w:p>
            <w:pPr>
              <w:jc w:val="right"/>
              <w:spacing w:after="0"/>
              <w:rPr>
                <w:sz w:val="20"/>
                <w:szCs w:val="20"/>
                <w:color w:val="auto"/>
              </w:rPr>
            </w:pPr>
            <w:r>
              <w:rPr>
                <w:rFonts w:ascii="Courier New" w:cs="Courier New" w:eastAsia="Courier New" w:hAnsi="Courier New"/>
                <w:sz w:val="9"/>
                <w:szCs w:val="9"/>
                <w:color w:val="auto"/>
                <w:w w:val="74"/>
              </w:rPr>
              <w:t>Deductions..................................................</w:t>
            </w:r>
            <w:r>
              <w:rPr>
                <w:rFonts w:ascii="Courier New" w:cs="Courier New" w:eastAsia="Courier New" w:hAnsi="Courier New"/>
                <w:sz w:val="12"/>
                <w:szCs w:val="12"/>
                <w:color w:val="auto"/>
                <w:w w:val="74"/>
                <w:vertAlign w:val="subscript"/>
              </w:rPr>
              <w:t>---------</w:t>
            </w:r>
          </w:p>
        </w:tc>
        <w:tc>
          <w:tcPr>
            <w:tcW w:w="35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 Balance as of</w:t>
            </w:r>
          </w:p>
        </w:tc>
        <w:tc>
          <w:tcPr>
            <w:tcW w:w="0" w:type="dxa"/>
            <w:vAlign w:val="bottom"/>
          </w:tcPr>
          <w:p>
            <w:pPr>
              <w:spacing w:after="0"/>
              <w:rPr>
                <w:sz w:val="1"/>
                <w:szCs w:val="1"/>
                <w:color w:val="auto"/>
              </w:rPr>
            </w:pPr>
          </w:p>
        </w:tc>
      </w:tr>
      <w:tr>
        <w:trPr>
          <w:trHeight w:val="203"/>
        </w:trPr>
        <w:tc>
          <w:tcPr>
            <w:tcW w:w="2740" w:type="dxa"/>
            <w:vAlign w:val="bottom"/>
          </w:tcPr>
          <w:p>
            <w:pPr>
              <w:jc w:val="right"/>
              <w:ind w:right="80"/>
              <w:spacing w:after="0" w:line="203" w:lineRule="exact"/>
              <w:rPr>
                <w:sz w:val="20"/>
                <w:szCs w:val="20"/>
                <w:color w:val="auto"/>
              </w:rPr>
            </w:pPr>
            <w:r>
              <w:rPr>
                <w:rFonts w:ascii="Courier New" w:cs="Courier New" w:eastAsia="Courier New" w:hAnsi="Courier New"/>
                <w:sz w:val="18"/>
                <w:szCs w:val="18"/>
                <w:color w:val="auto"/>
              </w:rPr>
              <w:t>(25,807)(3) (13,282)(4)</w:t>
            </w:r>
          </w:p>
        </w:tc>
        <w:tc>
          <w:tcPr>
            <w:tcW w:w="3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740" w:type="dxa"/>
            <w:vAlign w:val="bottom"/>
          </w:tcPr>
          <w:p>
            <w:pPr>
              <w:jc w:val="right"/>
              <w:spacing w:after="0"/>
              <w:rPr>
                <w:sz w:val="20"/>
                <w:szCs w:val="20"/>
                <w:color w:val="auto"/>
              </w:rPr>
            </w:pPr>
            <w:r>
              <w:rPr>
                <w:rFonts w:ascii="Courier New" w:cs="Courier New" w:eastAsia="Courier New" w:hAnsi="Courier New"/>
                <w:sz w:val="14"/>
                <w:szCs w:val="14"/>
                <w:color w:val="auto"/>
                <w:w w:val="70"/>
              </w:rPr>
              <w:t>September 30, 2003............................</w:t>
            </w:r>
          </w:p>
        </w:tc>
        <w:tc>
          <w:tcPr>
            <w:tcW w:w="3540" w:type="dxa"/>
            <w:vAlign w:val="bottom"/>
          </w:tcPr>
          <w:p>
            <w:pPr>
              <w:jc w:val="right"/>
              <w:spacing w:after="0"/>
              <w:rPr>
                <w:sz w:val="20"/>
                <w:szCs w:val="20"/>
                <w:color w:val="auto"/>
              </w:rPr>
            </w:pPr>
            <w:r>
              <w:rPr>
                <w:rFonts w:ascii="Courier New" w:cs="Courier New" w:eastAsia="Courier New" w:hAnsi="Courier New"/>
                <w:sz w:val="18"/>
                <w:szCs w:val="18"/>
                <w:color w:val="auto"/>
              </w:rPr>
              <w:t>$ 18,018 $ -</w:t>
            </w:r>
          </w:p>
        </w:tc>
        <w:tc>
          <w:tcPr>
            <w:tcW w:w="0" w:type="dxa"/>
            <w:vAlign w:val="bottom"/>
          </w:tcPr>
          <w:p>
            <w:pPr>
              <w:spacing w:after="0"/>
              <w:rPr>
                <w:sz w:val="1"/>
                <w:szCs w:val="1"/>
                <w:color w:val="auto"/>
              </w:rPr>
            </w:pPr>
          </w:p>
        </w:tc>
      </w:tr>
    </w:tbl>
    <w:p>
      <w:pPr>
        <w:ind w:left="2060"/>
        <w:spacing w:after="0"/>
        <w:rPr>
          <w:sz w:val="20"/>
          <w:szCs w:val="20"/>
          <w:color w:val="auto"/>
        </w:rPr>
      </w:pPr>
      <w:r>
        <w:rPr>
          <w:rFonts w:ascii="Courier New" w:cs="Courier New" w:eastAsia="Courier New" w:hAnsi="Courier New"/>
          <w:sz w:val="18"/>
          <w:szCs w:val="18"/>
          <w:color w:val="auto"/>
        </w:rPr>
        <w:t>- ========= =========</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1" w:lineRule="exact"/>
        <w:rPr>
          <w:sz w:val="20"/>
          <w:szCs w:val="20"/>
          <w:color w:val="auto"/>
        </w:rPr>
      </w:pPr>
    </w:p>
    <w:p>
      <w:pPr>
        <w:ind w:left="420" w:right="2099" w:hanging="412"/>
        <w:spacing w:after="0" w:line="347" w:lineRule="auto"/>
        <w:tabs>
          <w:tab w:leader="none" w:pos="420"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accounts receivable allowance of $13,777 acquired as part of the acquisition of Clarify.</w:t>
      </w:r>
    </w:p>
    <w:p>
      <w:pPr>
        <w:spacing w:after="0" w:line="18" w:lineRule="exact"/>
        <w:rPr>
          <w:rFonts w:ascii="Courier New" w:cs="Courier New" w:eastAsia="Courier New" w:hAnsi="Courier New"/>
          <w:sz w:val="18"/>
          <w:szCs w:val="18"/>
          <w:color w:val="auto"/>
        </w:rPr>
      </w:pPr>
    </w:p>
    <w:p>
      <w:pPr>
        <w:ind w:left="420" w:right="2199" w:hanging="412"/>
        <w:spacing w:after="0" w:line="347" w:lineRule="auto"/>
        <w:tabs>
          <w:tab w:leader="none" w:pos="420"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valuation allowances on net deferred tax assets incurred during fiscal 2003.</w:t>
      </w:r>
    </w:p>
    <w:p>
      <w:pPr>
        <w:spacing w:after="0" w:line="18" w:lineRule="exact"/>
        <w:rPr>
          <w:rFonts w:ascii="Courier New" w:cs="Courier New" w:eastAsia="Courier New" w:hAnsi="Courier New"/>
          <w:sz w:val="18"/>
          <w:szCs w:val="18"/>
          <w:color w:val="auto"/>
        </w:rPr>
      </w:pPr>
    </w:p>
    <w:p>
      <w:pPr>
        <w:ind w:left="420" w:right="2519" w:hanging="412"/>
        <w:spacing w:after="0" w:line="292" w:lineRule="auto"/>
        <w:tabs>
          <w:tab w:leader="none" w:pos="420"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accounts receivable allowance eliminated as a result of the acquisition of Certen and write-off of accounts receivable previously reserved.</w:t>
      </w:r>
    </w:p>
    <w:p>
      <w:pPr>
        <w:spacing w:after="0" w:line="6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Release of valuation allowance.</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F-39</w:t>
      </w:r>
    </w:p>
    <w:p>
      <w:pPr>
        <w:sectPr>
          <w:pgSz w:w="11900" w:h="16838" w:orient="portrait"/>
          <w:cols w:equalWidth="0" w:num="1">
            <w:col w:w="10219"/>
          </w:cols>
          <w:pgMar w:left="240" w:top="690" w:right="1440" w:bottom="1440" w:gutter="0" w:footer="0" w:header="0"/>
        </w:sectPr>
      </w:pPr>
    </w:p>
    <w:bookmarkStart w:id="124" w:name="page125"/>
    <w:bookmarkEnd w:id="124"/>
    <w:p>
      <w:pPr>
        <w:spacing w:after="0"/>
        <w:rPr>
          <w:sz w:val="20"/>
          <w:szCs w:val="20"/>
          <w:color w:val="auto"/>
        </w:rPr>
      </w:pPr>
      <w:r>
        <w:rPr>
          <w:rFonts w:ascii="Courier New" w:cs="Courier New" w:eastAsia="Courier New" w:hAnsi="Courier New"/>
          <w:sz w:val="18"/>
          <w:szCs w:val="18"/>
          <w:color w:val="auto"/>
        </w:rPr>
        <w:t>Deloitte &amp; Touche, LLP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Assurance and Advisory Services</w:t>
      </w:r>
    </w:p>
    <w:p>
      <w:pPr>
        <w:spacing w:after="0" w:line="238" w:lineRule="auto"/>
        <w:rPr>
          <w:sz w:val="20"/>
          <w:szCs w:val="20"/>
          <w:color w:val="auto"/>
        </w:rPr>
      </w:pPr>
      <w:r>
        <w:rPr>
          <w:rFonts w:ascii="Courier New" w:cs="Courier New" w:eastAsia="Courier New" w:hAnsi="Courier New"/>
          <w:sz w:val="18"/>
          <w:szCs w:val="18"/>
          <w:color w:val="auto"/>
        </w:rPr>
        <w:t>1 Place Ville-Marie</w:t>
      </w:r>
    </w:p>
    <w:p>
      <w:pPr>
        <w:spacing w:after="0"/>
        <w:rPr>
          <w:sz w:val="20"/>
          <w:szCs w:val="20"/>
          <w:color w:val="auto"/>
        </w:rPr>
      </w:pPr>
      <w:r>
        <w:rPr>
          <w:rFonts w:ascii="Courier New" w:cs="Courier New" w:eastAsia="Courier New" w:hAnsi="Courier New"/>
          <w:sz w:val="18"/>
          <w:szCs w:val="18"/>
          <w:color w:val="auto"/>
        </w:rPr>
        <w:t>Suite 3000</w:t>
      </w:r>
    </w:p>
    <w:p>
      <w:pPr>
        <w:spacing w:after="0" w:line="238" w:lineRule="auto"/>
        <w:rPr>
          <w:sz w:val="20"/>
          <w:szCs w:val="20"/>
          <w:color w:val="auto"/>
        </w:rPr>
      </w:pPr>
      <w:r>
        <w:rPr>
          <w:rFonts w:ascii="Courier New" w:cs="Courier New" w:eastAsia="Courier New" w:hAnsi="Courier New"/>
          <w:sz w:val="18"/>
          <w:szCs w:val="18"/>
          <w:color w:val="auto"/>
        </w:rPr>
        <w:t>Montreal QC H3B 4T9</w:t>
      </w:r>
    </w:p>
    <w:p>
      <w:pPr>
        <w:spacing w:after="0"/>
        <w:rPr>
          <w:sz w:val="20"/>
          <w:szCs w:val="20"/>
          <w:color w:val="auto"/>
        </w:rPr>
      </w:pPr>
      <w:r>
        <w:rPr>
          <w:rFonts w:ascii="Courier New" w:cs="Courier New" w:eastAsia="Courier New" w:hAnsi="Courier New"/>
          <w:sz w:val="18"/>
          <w:szCs w:val="18"/>
          <w:color w:val="auto"/>
        </w:rPr>
        <w:t>Canada</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Tel.: (514) 393-7115</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Fax: (514) 390-4113</w:t>
      </w:r>
    </w:p>
    <w:p>
      <w:pPr>
        <w:spacing w:after="0" w:line="238" w:lineRule="auto"/>
        <w:rPr>
          <w:sz w:val="20"/>
          <w:szCs w:val="20"/>
          <w:color w:val="auto"/>
        </w:rPr>
      </w:pPr>
      <w:r>
        <w:rPr>
          <w:rFonts w:ascii="Courier New" w:cs="Courier New" w:eastAsia="Courier New" w:hAnsi="Courier New"/>
          <w:sz w:val="18"/>
          <w:szCs w:val="18"/>
          <w:color w:val="auto"/>
        </w:rPr>
        <w:t>www.deloitte.ca</w:t>
      </w:r>
    </w:p>
    <w:p>
      <w:pPr>
        <w:jc w:val="right"/>
        <w:ind w:right="1779"/>
        <w:spacing w:after="0"/>
        <w:rPr>
          <w:sz w:val="20"/>
          <w:szCs w:val="20"/>
          <w:color w:val="auto"/>
        </w:rPr>
      </w:pPr>
      <w:r>
        <w:rPr>
          <w:rFonts w:ascii="Courier New" w:cs="Courier New" w:eastAsia="Courier New" w:hAnsi="Courier New"/>
          <w:sz w:val="18"/>
          <w:szCs w:val="18"/>
          <w:color w:val="auto"/>
        </w:rPr>
        <w:t>(DELOITTE &amp; TOUCHE LOGO)</w:t>
      </w:r>
    </w:p>
    <w:p>
      <w:pPr>
        <w:spacing w:after="0" w:line="169"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INDEPENDENT AUDITORS' REPORT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the Board of Directors of</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Certen Inc.</w:t>
      </w:r>
    </w:p>
    <w:p>
      <w:pPr>
        <w:spacing w:after="0" w:line="169" w:lineRule="exact"/>
        <w:rPr>
          <w:sz w:val="20"/>
          <w:szCs w:val="20"/>
          <w:color w:val="auto"/>
        </w:rPr>
      </w:pPr>
    </w:p>
    <w:p>
      <w:pPr>
        <w:ind w:right="1999" w:firstLine="527"/>
        <w:spacing w:after="0" w:line="265" w:lineRule="auto"/>
        <w:rPr>
          <w:sz w:val="20"/>
          <w:szCs w:val="20"/>
          <w:color w:val="auto"/>
        </w:rPr>
      </w:pPr>
      <w:r>
        <w:rPr>
          <w:rFonts w:ascii="Courier New" w:cs="Courier New" w:eastAsia="Courier New" w:hAnsi="Courier New"/>
          <w:sz w:val="18"/>
          <w:szCs w:val="18"/>
          <w:color w:val="auto"/>
        </w:rPr>
        <w:t>We have audited the balance sheet of Certen Inc. as at December 31, 2001 and 2002 and the statements of operations and retained earnings and cash flows for the years then ended. These financial statements are the responsibility of the Company's management. Our responsibility is to express an opinion on these financial statements based on our audits.</w:t>
      </w:r>
    </w:p>
    <w:p>
      <w:pPr>
        <w:spacing w:after="0" w:line="90" w:lineRule="exact"/>
        <w:rPr>
          <w:sz w:val="20"/>
          <w:szCs w:val="20"/>
          <w:color w:val="auto"/>
        </w:rPr>
      </w:pPr>
    </w:p>
    <w:p>
      <w:pPr>
        <w:ind w:right="1779" w:firstLine="527"/>
        <w:spacing w:after="0" w:line="250" w:lineRule="auto"/>
        <w:rPr>
          <w:sz w:val="20"/>
          <w:szCs w:val="20"/>
          <w:color w:val="auto"/>
        </w:rPr>
      </w:pPr>
      <w:r>
        <w:rPr>
          <w:rFonts w:ascii="Courier New" w:cs="Courier New" w:eastAsia="Courier New" w:hAnsi="Courier New"/>
          <w:sz w:val="18"/>
          <w:szCs w:val="18"/>
          <w:color w:val="auto"/>
        </w:rPr>
        <w:t>We conducted our audits in accordance with Canadian generally accepted auditing standards and auditing standards generally accepted in the United States of America. These standards require that we plan and perform an audit to obtain reasonable assurance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04" w:lineRule="exact"/>
        <w:rPr>
          <w:sz w:val="20"/>
          <w:szCs w:val="20"/>
          <w:color w:val="auto"/>
        </w:rPr>
      </w:pPr>
    </w:p>
    <w:p>
      <w:pPr>
        <w:ind w:right="1779" w:firstLine="527"/>
        <w:spacing w:after="0" w:line="318" w:lineRule="auto"/>
        <w:rPr>
          <w:sz w:val="20"/>
          <w:szCs w:val="20"/>
          <w:color w:val="auto"/>
        </w:rPr>
      </w:pPr>
      <w:r>
        <w:rPr>
          <w:rFonts w:ascii="Courier New" w:cs="Courier New" w:eastAsia="Courier New" w:hAnsi="Courier New"/>
          <w:sz w:val="16"/>
          <w:szCs w:val="16"/>
          <w:color w:val="auto"/>
        </w:rPr>
        <w:t>In our opinion, these financial statements present fairly, in all material respects, the financial position of the Company as at December 31, 2001 and 2002 and the results of its operations and its cash flows for the years then ended in accordance with Canadian generally accepted accounting principles.</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(signed) DELOITTE &amp; TOUCHE,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Chartered Accountants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March 19, 2003</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(July 2, 2003 as to Note 17)</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(DELOITTE TOUCHE TOHMATSU LOGO)</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F-40</w:t>
      </w:r>
    </w:p>
    <w:p>
      <w:pPr>
        <w:sectPr>
          <w:pgSz w:w="11900" w:h="16838" w:orient="portrait"/>
          <w:cols w:equalWidth="0" w:num="1">
            <w:col w:w="10219"/>
          </w:cols>
          <w:pgMar w:left="240" w:top="690" w:right="1440" w:bottom="1440" w:gutter="0" w:footer="0" w:header="0"/>
        </w:sectPr>
      </w:pPr>
    </w:p>
    <w:bookmarkStart w:id="125" w:name="page126"/>
    <w:bookmarkEnd w:id="125"/>
    <w:p>
      <w:pPr>
        <w:jc w:val="center"/>
        <w:ind w:right="1879"/>
        <w:spacing w:after="0"/>
        <w:rPr>
          <w:sz w:val="20"/>
          <w:szCs w:val="20"/>
          <w:color w:val="auto"/>
        </w:rPr>
      </w:pPr>
      <w:r>
        <w:rPr>
          <w:rFonts w:ascii="Courier New" w:cs="Courier New" w:eastAsia="Courier New" w:hAnsi="Courier New"/>
          <w:sz w:val="18"/>
          <w:szCs w:val="18"/>
          <w:color w:val="auto"/>
        </w:rPr>
        <w:t>CERTEN INC.</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STATEMENT OF OPERATIONS AND RETAINED EARNINGS YEAR ENDED DECEMBER 31, 2002</w:t>
      </w:r>
    </w:p>
    <w:p>
      <w:pPr>
        <w:spacing w:after="0" w:line="5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(IN THOUSANDS OF DOLLARS)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89"/>
              </w:rPr>
              <w:t>2002 2001 -----------</w:t>
            </w:r>
          </w:p>
        </w:tc>
        <w:tc>
          <w:tcPr>
            <w:tcW w:w="4000" w:type="dxa"/>
            <w:vAlign w:val="bottom"/>
            <w:gridSpan w:val="3"/>
          </w:tcPr>
          <w:p>
            <w:pPr>
              <w:ind w:left="320"/>
              <w:spacing w:after="0"/>
              <w:rPr>
                <w:sz w:val="20"/>
                <w:szCs w:val="20"/>
                <w:color w:val="auto"/>
              </w:rPr>
            </w:pPr>
            <w:r>
              <w:rPr>
                <w:rFonts w:ascii="Courier New" w:cs="Courier New" w:eastAsia="Courier New" w:hAnsi="Courier New"/>
                <w:sz w:val="18"/>
                <w:szCs w:val="18"/>
                <w:color w:val="auto"/>
                <w:w w:val="96"/>
              </w:rPr>
              <w:t>----------- (12 MONTHS) (11 MONTHS)</w:t>
            </w:r>
          </w:p>
        </w:tc>
        <w:tc>
          <w:tcPr>
            <w:tcW w:w="0" w:type="dxa"/>
            <w:vAlign w:val="bottom"/>
          </w:tcPr>
          <w:p>
            <w:pPr>
              <w:spacing w:after="0"/>
              <w:rPr>
                <w:sz w:val="1"/>
                <w:szCs w:val="1"/>
                <w:color w:val="auto"/>
              </w:rPr>
            </w:pPr>
          </w:p>
        </w:tc>
      </w:tr>
      <w:tr>
        <w:trPr>
          <w:trHeight w:val="296"/>
        </w:trPr>
        <w:tc>
          <w:tcPr>
            <w:tcW w:w="2060" w:type="dxa"/>
            <w:vAlign w:val="bottom"/>
            <w:gridSpan w:val="2"/>
            <w:vMerge w:val="restart"/>
          </w:tcPr>
          <w:p>
            <w:pPr>
              <w:jc w:val="right"/>
              <w:spacing w:after="0"/>
              <w:rPr>
                <w:sz w:val="20"/>
                <w:szCs w:val="20"/>
                <w:color w:val="auto"/>
              </w:rPr>
            </w:pPr>
            <w:r>
              <w:rPr>
                <w:rFonts w:ascii="Courier New" w:cs="Courier New" w:eastAsia="Courier New" w:hAnsi="Courier New"/>
                <w:sz w:val="4"/>
                <w:szCs w:val="4"/>
                <w:color w:val="auto"/>
                <w:w w:val="85"/>
              </w:rPr>
              <w:t>services</w:t>
            </w:r>
            <w:r>
              <w:rPr>
                <w:rFonts w:ascii="Courier New" w:cs="Courier New" w:eastAsia="Courier New" w:hAnsi="Courier New"/>
                <w:sz w:val="8"/>
                <w:szCs w:val="8"/>
                <w:color w:val="auto"/>
                <w:w w:val="85"/>
                <w:vertAlign w:val="subscript"/>
              </w:rPr>
              <w:t>.....................................</w:t>
            </w:r>
            <w:r>
              <w:rPr>
                <w:rFonts w:ascii="Courier New" w:cs="Courier New" w:eastAsia="Courier New" w:hAnsi="Courier New"/>
                <w:sz w:val="4"/>
                <w:szCs w:val="4"/>
                <w:color w:val="auto"/>
                <w:w w:val="85"/>
              </w:rPr>
              <w:t>..........................................</w:t>
            </w:r>
          </w:p>
        </w:tc>
        <w:tc>
          <w:tcPr>
            <w:tcW w:w="2900" w:type="dxa"/>
            <w:vAlign w:val="bottom"/>
            <w:gridSpan w:val="2"/>
          </w:tcPr>
          <w:p>
            <w:pPr>
              <w:jc w:val="center"/>
              <w:ind w:right="812"/>
              <w:spacing w:after="0"/>
              <w:rPr>
                <w:sz w:val="20"/>
                <w:szCs w:val="20"/>
                <w:color w:val="auto"/>
              </w:rPr>
            </w:pPr>
            <w:r>
              <w:rPr>
                <w:rFonts w:ascii="Courier New" w:cs="Courier New" w:eastAsia="Courier New" w:hAnsi="Courier New"/>
                <w:sz w:val="18"/>
                <w:szCs w:val="18"/>
                <w:color w:val="auto"/>
                <w:w w:val="97"/>
              </w:rPr>
              <w:t>$ $ REVENUE Billing</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1540" w:type="dxa"/>
            <w:vAlign w:val="bottom"/>
            <w:vMerge w:val="continue"/>
          </w:tcPr>
          <w:p>
            <w:pPr>
              <w:spacing w:after="0"/>
              <w:rPr>
                <w:sz w:val="24"/>
                <w:szCs w:val="24"/>
                <w:color w:val="auto"/>
              </w:rPr>
            </w:pPr>
          </w:p>
        </w:tc>
        <w:tc>
          <w:tcPr>
            <w:tcW w:w="3420" w:type="dxa"/>
            <w:vAlign w:val="bottom"/>
            <w:gridSpan w:val="3"/>
            <w:vMerge w:val="restart"/>
          </w:tcPr>
          <w:p>
            <w:pPr>
              <w:jc w:val="center"/>
              <w:ind w:right="292"/>
              <w:spacing w:after="0"/>
              <w:rPr>
                <w:sz w:val="20"/>
                <w:szCs w:val="20"/>
                <w:color w:val="auto"/>
              </w:rPr>
            </w:pPr>
            <w:r>
              <w:rPr>
                <w:rFonts w:ascii="Courier New" w:cs="Courier New" w:eastAsia="Courier New" w:hAnsi="Courier New"/>
                <w:sz w:val="18"/>
                <w:szCs w:val="18"/>
                <w:color w:val="auto"/>
                <w:w w:val="97"/>
              </w:rPr>
              <w:t>365,286 312,444 Professional</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540" w:type="dxa"/>
            <w:vAlign w:val="bottom"/>
            <w:vMerge w:val="restart"/>
          </w:tcPr>
          <w:p>
            <w:pPr>
              <w:jc w:val="right"/>
              <w:ind w:right="311"/>
              <w:spacing w:after="0"/>
              <w:rPr>
                <w:sz w:val="20"/>
                <w:szCs w:val="20"/>
                <w:color w:val="auto"/>
              </w:rPr>
            </w:pPr>
            <w:r>
              <w:rPr>
                <w:rFonts w:ascii="Courier New" w:cs="Courier New" w:eastAsia="Courier New" w:hAnsi="Courier New"/>
                <w:sz w:val="18"/>
                <w:szCs w:val="18"/>
                <w:color w:val="auto"/>
              </w:rPr>
              <w:t>services</w:t>
            </w:r>
          </w:p>
        </w:tc>
        <w:tc>
          <w:tcPr>
            <w:tcW w:w="3420" w:type="dxa"/>
            <w:vAlign w:val="bottom"/>
            <w:gridSpan w:val="3"/>
            <w:vMerge w:val="continue"/>
          </w:tcPr>
          <w:p>
            <w:pPr>
              <w:spacing w:after="0"/>
              <w:rPr>
                <w:sz w:val="10"/>
                <w:szCs w:val="10"/>
                <w:color w:val="auto"/>
              </w:rPr>
            </w:pPr>
          </w:p>
        </w:tc>
        <w:tc>
          <w:tcPr>
            <w:tcW w:w="110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71,499</w:t>
            </w:r>
          </w:p>
        </w:tc>
        <w:tc>
          <w:tcPr>
            <w:tcW w:w="0" w:type="dxa"/>
            <w:vAlign w:val="bottom"/>
          </w:tcPr>
          <w:p>
            <w:pPr>
              <w:spacing w:after="0"/>
              <w:rPr>
                <w:sz w:val="1"/>
                <w:szCs w:val="1"/>
                <w:color w:val="auto"/>
              </w:rPr>
            </w:pPr>
          </w:p>
        </w:tc>
      </w:tr>
      <w:tr>
        <w:trPr>
          <w:trHeight w:val="109"/>
        </w:trPr>
        <w:tc>
          <w:tcPr>
            <w:tcW w:w="154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6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52,352 -------</w:t>
            </w:r>
          </w:p>
        </w:tc>
        <w:tc>
          <w:tcPr>
            <w:tcW w:w="452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------- 436,785 364,796 Cost of services,</w:t>
            </w:r>
          </w:p>
        </w:tc>
        <w:tc>
          <w:tcPr>
            <w:tcW w:w="0" w:type="dxa"/>
            <w:vAlign w:val="bottom"/>
          </w:tcPr>
          <w:p>
            <w:pPr>
              <w:spacing w:after="0"/>
              <w:rPr>
                <w:sz w:val="1"/>
                <w:szCs w:val="1"/>
                <w:color w:val="auto"/>
              </w:rPr>
            </w:pPr>
          </w:p>
        </w:tc>
      </w:tr>
      <w:tr>
        <w:trPr>
          <w:trHeight w:val="203"/>
        </w:trPr>
        <w:tc>
          <w:tcPr>
            <w:tcW w:w="4960" w:type="dxa"/>
            <w:vAlign w:val="bottom"/>
            <w:gridSpan w:val="4"/>
          </w:tcPr>
          <w:p>
            <w:pPr>
              <w:ind w:left="420"/>
              <w:spacing w:after="0" w:line="203" w:lineRule="exact"/>
              <w:rPr>
                <w:sz w:val="20"/>
                <w:szCs w:val="20"/>
                <w:color w:val="auto"/>
              </w:rPr>
            </w:pPr>
            <w:r>
              <w:rPr>
                <w:rFonts w:ascii="Courier New" w:cs="Courier New" w:eastAsia="Courier New" w:hAnsi="Courier New"/>
                <w:sz w:val="18"/>
                <w:szCs w:val="18"/>
                <w:color w:val="auto"/>
                <w:w w:val="99"/>
              </w:rPr>
              <w:t>selling and administrative expenses.......</w:t>
            </w: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5"/>
              </w:rPr>
              <w:t>331,224</w:t>
            </w:r>
          </w:p>
        </w:tc>
        <w:tc>
          <w:tcPr>
            <w:tcW w:w="0" w:type="dxa"/>
            <w:vAlign w:val="bottom"/>
          </w:tcPr>
          <w:p>
            <w:pPr>
              <w:spacing w:after="0"/>
              <w:rPr>
                <w:sz w:val="1"/>
                <w:szCs w:val="1"/>
                <w:color w:val="auto"/>
              </w:rPr>
            </w:pPr>
          </w:p>
        </w:tc>
      </w:tr>
      <w:tr>
        <w:trPr>
          <w:trHeight w:val="203"/>
        </w:trPr>
        <w:tc>
          <w:tcPr>
            <w:tcW w:w="6060" w:type="dxa"/>
            <w:vAlign w:val="bottom"/>
            <w:gridSpan w:val="5"/>
          </w:tcPr>
          <w:p>
            <w:pPr>
              <w:jc w:val="center"/>
              <w:spacing w:after="0" w:line="203" w:lineRule="exact"/>
              <w:rPr>
                <w:sz w:val="20"/>
                <w:szCs w:val="20"/>
                <w:color w:val="auto"/>
              </w:rPr>
            </w:pPr>
            <w:r>
              <w:rPr>
                <w:rFonts w:ascii="Courier New" w:cs="Courier New" w:eastAsia="Courier New" w:hAnsi="Courier New"/>
                <w:sz w:val="18"/>
                <w:szCs w:val="18"/>
                <w:color w:val="auto"/>
                <w:w w:val="97"/>
              </w:rPr>
              <w:t>287,490 Net benefit plans expense (Note</w:t>
            </w:r>
          </w:p>
        </w:tc>
        <w:tc>
          <w:tcPr>
            <w:tcW w:w="0" w:type="dxa"/>
            <w:vAlign w:val="bottom"/>
          </w:tcPr>
          <w:p>
            <w:pPr>
              <w:spacing w:after="0"/>
              <w:rPr>
                <w:sz w:val="1"/>
                <w:szCs w:val="1"/>
                <w:color w:val="auto"/>
              </w:rPr>
            </w:pPr>
          </w:p>
        </w:tc>
      </w:tr>
      <w:tr>
        <w:trPr>
          <w:trHeight w:val="203"/>
        </w:trPr>
        <w:tc>
          <w:tcPr>
            <w:tcW w:w="20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5"/>
              </w:rPr>
              <w:t>6)..........................</w:t>
            </w:r>
          </w:p>
        </w:tc>
        <w:tc>
          <w:tcPr>
            <w:tcW w:w="840" w:type="dxa"/>
            <w:vAlign w:val="bottom"/>
          </w:tcPr>
          <w:p>
            <w:pPr>
              <w:spacing w:after="0"/>
              <w:rPr>
                <w:sz w:val="17"/>
                <w:szCs w:val="17"/>
                <w:color w:val="auto"/>
              </w:rPr>
            </w:pPr>
          </w:p>
        </w:tc>
        <w:tc>
          <w:tcPr>
            <w:tcW w:w="3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2,233 1,900 ------- -------</w:t>
            </w:r>
          </w:p>
        </w:tc>
        <w:tc>
          <w:tcPr>
            <w:tcW w:w="0" w:type="dxa"/>
            <w:vAlign w:val="bottom"/>
          </w:tcPr>
          <w:p>
            <w:pPr>
              <w:spacing w:after="0"/>
              <w:rPr>
                <w:sz w:val="1"/>
                <w:szCs w:val="1"/>
                <w:color w:val="auto"/>
              </w:rPr>
            </w:pPr>
          </w:p>
        </w:tc>
      </w:tr>
      <w:tr>
        <w:trPr>
          <w:trHeight w:val="203"/>
        </w:trPr>
        <w:tc>
          <w:tcPr>
            <w:tcW w:w="1540" w:type="dxa"/>
            <w:vAlign w:val="bottom"/>
          </w:tcPr>
          <w:p>
            <w:pPr>
              <w:spacing w:after="0"/>
              <w:rPr>
                <w:sz w:val="17"/>
                <w:szCs w:val="17"/>
                <w:color w:val="auto"/>
              </w:rPr>
            </w:pPr>
          </w:p>
        </w:tc>
        <w:tc>
          <w:tcPr>
            <w:tcW w:w="3420" w:type="dxa"/>
            <w:vAlign w:val="bottom"/>
            <w:gridSpan w:val="3"/>
          </w:tcPr>
          <w:p>
            <w:pPr>
              <w:jc w:val="center"/>
              <w:ind w:right="292"/>
              <w:spacing w:after="0" w:line="203" w:lineRule="exact"/>
              <w:rPr>
                <w:sz w:val="20"/>
                <w:szCs w:val="20"/>
                <w:color w:val="auto"/>
              </w:rPr>
            </w:pPr>
            <w:r>
              <w:rPr>
                <w:rFonts w:ascii="Courier New" w:cs="Courier New" w:eastAsia="Courier New" w:hAnsi="Courier New"/>
                <w:sz w:val="18"/>
                <w:szCs w:val="18"/>
                <w:color w:val="auto"/>
                <w:w w:val="97"/>
              </w:rPr>
              <w:t>Operating earnings before the</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88"/>
              </w:rPr>
              <w:t>undernoted....................</w:t>
            </w:r>
          </w:p>
        </w:tc>
        <w:tc>
          <w:tcPr>
            <w:tcW w:w="316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103,328 75,406</w:t>
            </w:r>
          </w:p>
        </w:tc>
        <w:tc>
          <w:tcPr>
            <w:tcW w:w="0" w:type="dxa"/>
            <w:vAlign w:val="bottom"/>
          </w:tcPr>
          <w:p>
            <w:pPr>
              <w:spacing w:after="0"/>
              <w:rPr>
                <w:sz w:val="1"/>
                <w:szCs w:val="1"/>
                <w:color w:val="auto"/>
              </w:rPr>
            </w:pPr>
          </w:p>
        </w:tc>
      </w:tr>
      <w:tr>
        <w:trPr>
          <w:trHeight w:val="203"/>
        </w:trPr>
        <w:tc>
          <w:tcPr>
            <w:tcW w:w="1540" w:type="dxa"/>
            <w:vAlign w:val="bottom"/>
            <w:vMerge w:val="restart"/>
          </w:tcPr>
          <w:p>
            <w:pPr>
              <w:jc w:val="right"/>
              <w:spacing w:after="0"/>
              <w:rPr>
                <w:sz w:val="20"/>
                <w:szCs w:val="20"/>
                <w:color w:val="auto"/>
              </w:rPr>
            </w:pPr>
            <w:r>
              <w:rPr>
                <w:rFonts w:ascii="Courier New" w:cs="Courier New" w:eastAsia="Courier New" w:hAnsi="Courier New"/>
                <w:sz w:val="10"/>
                <w:szCs w:val="10"/>
                <w:color w:val="auto"/>
                <w:w w:val="74"/>
              </w:rPr>
              <w:t>5)................................</w:t>
            </w:r>
          </w:p>
        </w:tc>
        <w:tc>
          <w:tcPr>
            <w:tcW w:w="3420" w:type="dxa"/>
            <w:vAlign w:val="bottom"/>
            <w:gridSpan w:val="3"/>
          </w:tcPr>
          <w:p>
            <w:pPr>
              <w:jc w:val="center"/>
              <w:ind w:right="292"/>
              <w:spacing w:after="0" w:line="203" w:lineRule="exact"/>
              <w:rPr>
                <w:sz w:val="20"/>
                <w:szCs w:val="20"/>
                <w:color w:val="auto"/>
              </w:rPr>
            </w:pPr>
            <w:r>
              <w:rPr>
                <w:rFonts w:ascii="Courier New" w:cs="Courier New" w:eastAsia="Courier New" w:hAnsi="Courier New"/>
                <w:sz w:val="18"/>
                <w:szCs w:val="18"/>
                <w:color w:val="auto"/>
                <w:w w:val="97"/>
              </w:rPr>
              <w:t>Amortization (Notes 4 and</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vMerge w:val="continue"/>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16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60,518 18,234</w:t>
            </w:r>
          </w:p>
        </w:tc>
        <w:tc>
          <w:tcPr>
            <w:tcW w:w="0" w:type="dxa"/>
            <w:vAlign w:val="bottom"/>
          </w:tcPr>
          <w:p>
            <w:pPr>
              <w:spacing w:after="0"/>
              <w:rPr>
                <w:sz w:val="1"/>
                <w:szCs w:val="1"/>
                <w:color w:val="auto"/>
              </w:rPr>
            </w:pPr>
          </w:p>
        </w:tc>
      </w:tr>
      <w:tr>
        <w:trPr>
          <w:trHeight w:val="203"/>
        </w:trPr>
        <w:tc>
          <w:tcPr>
            <w:tcW w:w="1540" w:type="dxa"/>
            <w:vAlign w:val="bottom"/>
            <w:vMerge w:val="restart"/>
          </w:tcPr>
          <w:p>
            <w:pPr>
              <w:jc w:val="right"/>
              <w:spacing w:after="0"/>
              <w:rPr>
                <w:sz w:val="20"/>
                <w:szCs w:val="20"/>
                <w:color w:val="auto"/>
              </w:rPr>
            </w:pPr>
            <w:r>
              <w:rPr>
                <w:rFonts w:ascii="Courier New" w:cs="Courier New" w:eastAsia="Courier New" w:hAnsi="Courier New"/>
                <w:sz w:val="10"/>
                <w:szCs w:val="10"/>
                <w:color w:val="auto"/>
                <w:w w:val="76"/>
              </w:rPr>
              <w:t>3)...............................</w:t>
            </w:r>
          </w:p>
        </w:tc>
        <w:tc>
          <w:tcPr>
            <w:tcW w:w="3420" w:type="dxa"/>
            <w:vAlign w:val="bottom"/>
            <w:gridSpan w:val="3"/>
          </w:tcPr>
          <w:p>
            <w:pPr>
              <w:jc w:val="center"/>
              <w:ind w:right="292"/>
              <w:spacing w:after="0" w:line="203" w:lineRule="exact"/>
              <w:rPr>
                <w:sz w:val="20"/>
                <w:szCs w:val="20"/>
                <w:color w:val="auto"/>
              </w:rPr>
            </w:pPr>
            <w:r>
              <w:rPr>
                <w:rFonts w:ascii="Courier New" w:cs="Courier New" w:eastAsia="Courier New" w:hAnsi="Courier New"/>
                <w:sz w:val="18"/>
                <w:szCs w:val="18"/>
                <w:color w:val="auto"/>
                <w:w w:val="96"/>
              </w:rPr>
              <w:t>Restructuring charge (Note</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vMerge w:val="continue"/>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721 -- ------- -------</w:t>
            </w:r>
          </w:p>
        </w:tc>
        <w:tc>
          <w:tcPr>
            <w:tcW w:w="0" w:type="dxa"/>
            <w:vAlign w:val="bottom"/>
          </w:tcPr>
          <w:p>
            <w:pPr>
              <w:spacing w:after="0"/>
              <w:rPr>
                <w:sz w:val="1"/>
                <w:szCs w:val="1"/>
                <w:color w:val="auto"/>
              </w:rPr>
            </w:pPr>
          </w:p>
        </w:tc>
      </w:tr>
      <w:tr>
        <w:trPr>
          <w:trHeight w:val="296"/>
        </w:trPr>
        <w:tc>
          <w:tcPr>
            <w:tcW w:w="2060" w:type="dxa"/>
            <w:vAlign w:val="bottom"/>
            <w:gridSpan w:val="2"/>
            <w:vMerge w:val="restart"/>
          </w:tcPr>
          <w:p>
            <w:pPr>
              <w:jc w:val="right"/>
              <w:spacing w:after="0"/>
              <w:rPr>
                <w:sz w:val="20"/>
                <w:szCs w:val="20"/>
                <w:color w:val="auto"/>
              </w:rPr>
            </w:pPr>
            <w:r>
              <w:rPr>
                <w:rFonts w:ascii="Courier New" w:cs="Courier New" w:eastAsia="Courier New" w:hAnsi="Courier New"/>
                <w:sz w:val="9"/>
                <w:szCs w:val="9"/>
                <w:color w:val="auto"/>
                <w:w w:val="75"/>
              </w:rPr>
              <w:t>earnings..........................................</w:t>
            </w:r>
          </w:p>
        </w:tc>
        <w:tc>
          <w:tcPr>
            <w:tcW w:w="2900" w:type="dxa"/>
            <w:vAlign w:val="bottom"/>
            <w:gridSpan w:val="2"/>
          </w:tcPr>
          <w:p>
            <w:pPr>
              <w:jc w:val="center"/>
              <w:ind w:right="812"/>
              <w:spacing w:after="0"/>
              <w:rPr>
                <w:sz w:val="20"/>
                <w:szCs w:val="20"/>
                <w:color w:val="auto"/>
              </w:rPr>
            </w:pPr>
            <w:r>
              <w:rPr>
                <w:rFonts w:ascii="Courier New" w:cs="Courier New" w:eastAsia="Courier New" w:hAnsi="Courier New"/>
                <w:sz w:val="18"/>
                <w:szCs w:val="18"/>
                <w:color w:val="auto"/>
                <w:w w:val="98"/>
              </w:rPr>
              <w:t>Operating</w:t>
            </w:r>
          </w:p>
        </w:tc>
        <w:tc>
          <w:tcPr>
            <w:tcW w:w="11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42,089</w:t>
            </w:r>
          </w:p>
        </w:tc>
        <w:tc>
          <w:tcPr>
            <w:tcW w:w="0" w:type="dxa"/>
            <w:vAlign w:val="bottom"/>
          </w:tcPr>
          <w:p>
            <w:pPr>
              <w:spacing w:after="0"/>
              <w:rPr>
                <w:sz w:val="1"/>
                <w:szCs w:val="1"/>
                <w:color w:val="auto"/>
              </w:rPr>
            </w:pPr>
          </w:p>
        </w:tc>
      </w:tr>
      <w:tr>
        <w:trPr>
          <w:trHeight w:val="109"/>
        </w:trPr>
        <w:tc>
          <w:tcPr>
            <w:tcW w:w="154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6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4960" w:type="dxa"/>
            <w:vAlign w:val="bottom"/>
            <w:gridSpan w:val="4"/>
          </w:tcPr>
          <w:p>
            <w:pPr>
              <w:jc w:val="center"/>
              <w:ind w:left="1091"/>
              <w:spacing w:after="0" w:line="203" w:lineRule="exact"/>
              <w:rPr>
                <w:sz w:val="20"/>
                <w:szCs w:val="20"/>
                <w:color w:val="auto"/>
              </w:rPr>
            </w:pPr>
            <w:r>
              <w:rPr>
                <w:rFonts w:ascii="Courier New" w:cs="Courier New" w:eastAsia="Courier New" w:hAnsi="Courier New"/>
                <w:sz w:val="18"/>
                <w:szCs w:val="18"/>
                <w:color w:val="auto"/>
                <w:w w:val="97"/>
              </w:rPr>
              <w:t>57,172 Interest expense -- long-term</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0"/>
              </w:rPr>
              <w:t>debt..........................</w:t>
            </w:r>
          </w:p>
        </w:tc>
        <w:tc>
          <w:tcPr>
            <w:tcW w:w="840" w:type="dxa"/>
            <w:vAlign w:val="bottom"/>
          </w:tcPr>
          <w:p>
            <w:pPr>
              <w:spacing w:after="0"/>
              <w:rPr>
                <w:sz w:val="17"/>
                <w:szCs w:val="17"/>
                <w:color w:val="auto"/>
              </w:rPr>
            </w:pPr>
          </w:p>
        </w:tc>
        <w:tc>
          <w:tcPr>
            <w:tcW w:w="3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4,991 1,111 Accretion on</w:t>
            </w:r>
          </w:p>
        </w:tc>
        <w:tc>
          <w:tcPr>
            <w:tcW w:w="0" w:type="dxa"/>
            <w:vAlign w:val="bottom"/>
          </w:tcPr>
          <w:p>
            <w:pPr>
              <w:spacing w:after="0"/>
              <w:rPr>
                <w:sz w:val="1"/>
                <w:szCs w:val="1"/>
                <w:color w:val="auto"/>
              </w:rPr>
            </w:pPr>
          </w:p>
        </w:tc>
      </w:tr>
      <w:tr>
        <w:trPr>
          <w:trHeight w:val="203"/>
        </w:trPr>
        <w:tc>
          <w:tcPr>
            <w:tcW w:w="6060" w:type="dxa"/>
            <w:vAlign w:val="bottom"/>
            <w:gridSpan w:val="5"/>
          </w:tcPr>
          <w:p>
            <w:pPr>
              <w:jc w:val="center"/>
              <w:spacing w:after="0" w:line="203" w:lineRule="exact"/>
              <w:rPr>
                <w:sz w:val="20"/>
                <w:szCs w:val="20"/>
                <w:color w:val="auto"/>
              </w:rPr>
            </w:pPr>
            <w:r>
              <w:rPr>
                <w:rFonts w:ascii="Courier New" w:cs="Courier New" w:eastAsia="Courier New" w:hAnsi="Courier New"/>
                <w:sz w:val="18"/>
                <w:szCs w:val="18"/>
                <w:color w:val="auto"/>
                <w:w w:val="97"/>
              </w:rPr>
              <w:t>convertible debentures due to related party (Note</w:t>
            </w:r>
          </w:p>
        </w:tc>
        <w:tc>
          <w:tcPr>
            <w:tcW w:w="0" w:type="dxa"/>
            <w:vAlign w:val="bottom"/>
          </w:tcPr>
          <w:p>
            <w:pPr>
              <w:spacing w:after="0"/>
              <w:rPr>
                <w:sz w:val="1"/>
                <w:szCs w:val="1"/>
                <w:color w:val="auto"/>
              </w:rPr>
            </w:pPr>
          </w:p>
        </w:tc>
      </w:tr>
      <w:tr>
        <w:trPr>
          <w:trHeight w:val="381"/>
        </w:trPr>
        <w:tc>
          <w:tcPr>
            <w:tcW w:w="2060" w:type="dxa"/>
            <w:vAlign w:val="bottom"/>
            <w:gridSpan w:val="2"/>
          </w:tcPr>
          <w:p>
            <w:pPr>
              <w:jc w:val="right"/>
              <w:spacing w:after="0"/>
              <w:rPr>
                <w:sz w:val="20"/>
                <w:szCs w:val="20"/>
                <w:color w:val="auto"/>
              </w:rPr>
            </w:pPr>
            <w:r>
              <w:rPr>
                <w:rFonts w:ascii="Courier New" w:cs="Courier New" w:eastAsia="Courier New" w:hAnsi="Courier New"/>
                <w:sz w:val="4"/>
                <w:szCs w:val="4"/>
                <w:color w:val="auto"/>
                <w:w w:val="74"/>
              </w:rPr>
              <w:t>9)..................................................</w:t>
            </w:r>
            <w:r>
              <w:rPr>
                <w:rFonts w:ascii="Courier New" w:cs="Courier New" w:eastAsia="Courier New" w:hAnsi="Courier New"/>
                <w:sz w:val="8"/>
                <w:szCs w:val="8"/>
                <w:color w:val="auto"/>
                <w:w w:val="74"/>
                <w:vertAlign w:val="subscript"/>
              </w:rPr>
              <w:t>..............................................</w:t>
            </w:r>
          </w:p>
        </w:tc>
        <w:tc>
          <w:tcPr>
            <w:tcW w:w="2900" w:type="dxa"/>
            <w:vAlign w:val="bottom"/>
            <w:gridSpan w:val="2"/>
            <w:vMerge w:val="restart"/>
          </w:tcPr>
          <w:p>
            <w:pPr>
              <w:jc w:val="center"/>
              <w:ind w:right="792"/>
              <w:spacing w:after="0"/>
              <w:rPr>
                <w:sz w:val="20"/>
                <w:szCs w:val="20"/>
                <w:color w:val="auto"/>
              </w:rPr>
            </w:pPr>
            <w:r>
              <w:rPr>
                <w:rFonts w:ascii="Courier New" w:cs="Courier New" w:eastAsia="Courier New" w:hAnsi="Courier New"/>
                <w:sz w:val="18"/>
                <w:szCs w:val="18"/>
                <w:color w:val="auto"/>
                <w:w w:val="97"/>
              </w:rPr>
              <w:t>5,457 908 Other</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540" w:type="dxa"/>
            <w:vAlign w:val="bottom"/>
            <w:vMerge w:val="restart"/>
          </w:tcPr>
          <w:p>
            <w:pPr>
              <w:jc w:val="right"/>
              <w:ind w:right="411"/>
              <w:spacing w:after="0"/>
              <w:rPr>
                <w:sz w:val="20"/>
                <w:szCs w:val="20"/>
                <w:color w:val="auto"/>
              </w:rPr>
            </w:pPr>
            <w:r>
              <w:rPr>
                <w:rFonts w:ascii="Courier New" w:cs="Courier New" w:eastAsia="Courier New" w:hAnsi="Courier New"/>
                <w:sz w:val="18"/>
                <w:szCs w:val="18"/>
                <w:color w:val="auto"/>
              </w:rPr>
              <w:t>expenses</w:t>
            </w:r>
          </w:p>
        </w:tc>
        <w:tc>
          <w:tcPr>
            <w:tcW w:w="520" w:type="dxa"/>
            <w:vAlign w:val="bottom"/>
          </w:tcPr>
          <w:p>
            <w:pPr>
              <w:spacing w:after="0"/>
              <w:rPr>
                <w:sz w:val="10"/>
                <w:szCs w:val="10"/>
                <w:color w:val="auto"/>
              </w:rPr>
            </w:pPr>
          </w:p>
        </w:tc>
        <w:tc>
          <w:tcPr>
            <w:tcW w:w="2900" w:type="dxa"/>
            <w:vAlign w:val="bottom"/>
            <w:gridSpan w:val="2"/>
            <w:vMerge w:val="continue"/>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1540" w:type="dxa"/>
            <w:vAlign w:val="bottom"/>
            <w:vMerge w:val="continue"/>
          </w:tcPr>
          <w:p>
            <w:pPr>
              <w:spacing w:after="0"/>
              <w:rPr>
                <w:sz w:val="9"/>
                <w:szCs w:val="9"/>
                <w:color w:val="auto"/>
              </w:rPr>
            </w:pPr>
          </w:p>
        </w:tc>
        <w:tc>
          <w:tcPr>
            <w:tcW w:w="520" w:type="dxa"/>
            <w:vAlign w:val="bottom"/>
          </w:tcPr>
          <w:p>
            <w:pPr>
              <w:jc w:val="right"/>
              <w:spacing w:after="0" w:line="109" w:lineRule="exact"/>
              <w:rPr>
                <w:sz w:val="20"/>
                <w:szCs w:val="20"/>
                <w:color w:val="auto"/>
              </w:rPr>
            </w:pPr>
            <w:r>
              <w:rPr>
                <w:rFonts w:ascii="Courier New" w:cs="Courier New" w:eastAsia="Courier New" w:hAnsi="Courier New"/>
                <w:sz w:val="12"/>
                <w:szCs w:val="12"/>
                <w:color w:val="auto"/>
                <w:w w:val="99"/>
              </w:rPr>
              <w:t>-------</w:t>
            </w:r>
          </w:p>
        </w:tc>
        <w:tc>
          <w:tcPr>
            <w:tcW w:w="4000" w:type="dxa"/>
            <w:vAlign w:val="bottom"/>
            <w:gridSpan w:val="3"/>
            <w:vMerge w:val="restart"/>
          </w:tcPr>
          <w:p>
            <w:pPr>
              <w:jc w:val="right"/>
              <w:ind w:right="272"/>
              <w:spacing w:after="0"/>
              <w:rPr>
                <w:sz w:val="20"/>
                <w:szCs w:val="20"/>
                <w:color w:val="auto"/>
              </w:rPr>
            </w:pPr>
            <w:r>
              <w:rPr>
                <w:rFonts w:ascii="Courier New" w:cs="Courier New" w:eastAsia="Courier New" w:hAnsi="Courier New"/>
                <w:sz w:val="18"/>
                <w:szCs w:val="18"/>
                <w:color w:val="auto"/>
              </w:rPr>
              <w:t>------- Earnings before income</w:t>
            </w:r>
          </w:p>
        </w:tc>
        <w:tc>
          <w:tcPr>
            <w:tcW w:w="0" w:type="dxa"/>
            <w:vAlign w:val="bottom"/>
          </w:tcPr>
          <w:p>
            <w:pPr>
              <w:spacing w:after="0"/>
              <w:rPr>
                <w:sz w:val="1"/>
                <w:szCs w:val="1"/>
                <w:color w:val="auto"/>
              </w:rPr>
            </w:pPr>
          </w:p>
        </w:tc>
      </w:tr>
      <w:tr>
        <w:trPr>
          <w:trHeight w:val="203"/>
        </w:trPr>
        <w:tc>
          <w:tcPr>
            <w:tcW w:w="20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2,030 1,415</w:t>
            </w:r>
          </w:p>
        </w:tc>
        <w:tc>
          <w:tcPr>
            <w:tcW w:w="400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6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0"/>
              </w:rPr>
              <w:t>taxes................................</w:t>
            </w:r>
          </w:p>
        </w:tc>
        <w:tc>
          <w:tcPr>
            <w:tcW w:w="840" w:type="dxa"/>
            <w:vAlign w:val="bottom"/>
          </w:tcPr>
          <w:p>
            <w:pPr>
              <w:spacing w:after="0"/>
              <w:rPr>
                <w:sz w:val="17"/>
                <w:szCs w:val="17"/>
                <w:color w:val="auto"/>
              </w:rPr>
            </w:pPr>
          </w:p>
        </w:tc>
        <w:tc>
          <w:tcPr>
            <w:tcW w:w="3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29,611 53,738 -----</w:t>
            </w:r>
          </w:p>
        </w:tc>
        <w:tc>
          <w:tcPr>
            <w:tcW w:w="0" w:type="dxa"/>
            <w:vAlign w:val="bottom"/>
          </w:tcPr>
          <w:p>
            <w:pPr>
              <w:spacing w:after="0"/>
              <w:rPr>
                <w:sz w:val="1"/>
                <w:szCs w:val="1"/>
                <w:color w:val="auto"/>
              </w:rPr>
            </w:pPr>
          </w:p>
        </w:tc>
      </w:tr>
      <w:tr>
        <w:trPr>
          <w:trHeight w:val="296"/>
        </w:trPr>
        <w:tc>
          <w:tcPr>
            <w:tcW w:w="1540" w:type="dxa"/>
            <w:vAlign w:val="bottom"/>
            <w:vMerge w:val="restart"/>
          </w:tcPr>
          <w:p>
            <w:pPr>
              <w:jc w:val="right"/>
              <w:spacing w:after="0"/>
              <w:rPr>
                <w:sz w:val="20"/>
                <w:szCs w:val="20"/>
                <w:color w:val="auto"/>
              </w:rPr>
            </w:pPr>
            <w:r>
              <w:rPr>
                <w:rFonts w:ascii="Courier New" w:cs="Courier New" w:eastAsia="Courier New" w:hAnsi="Courier New"/>
                <w:sz w:val="3"/>
                <w:szCs w:val="3"/>
                <w:color w:val="auto"/>
                <w:w w:val="72"/>
              </w:rPr>
              <w:t>Current</w:t>
            </w:r>
            <w:r>
              <w:rPr>
                <w:rFonts w:ascii="Courier New" w:cs="Courier New" w:eastAsia="Courier New" w:hAnsi="Courier New"/>
                <w:sz w:val="5"/>
                <w:szCs w:val="5"/>
                <w:color w:val="auto"/>
                <w:w w:val="72"/>
                <w:vertAlign w:val="subscript"/>
              </w:rPr>
              <w:t>....................................................</w:t>
            </w:r>
            <w:r>
              <w:rPr>
                <w:rFonts w:ascii="Courier New" w:cs="Courier New" w:eastAsia="Courier New" w:hAnsi="Courier New"/>
                <w:sz w:val="3"/>
                <w:szCs w:val="3"/>
                <w:color w:val="auto"/>
                <w:w w:val="72"/>
              </w:rPr>
              <w:t>...................................................</w:t>
            </w:r>
          </w:p>
        </w:tc>
        <w:tc>
          <w:tcPr>
            <w:tcW w:w="3420" w:type="dxa"/>
            <w:vAlign w:val="bottom"/>
            <w:gridSpan w:val="3"/>
          </w:tcPr>
          <w:p>
            <w:pPr>
              <w:jc w:val="center"/>
              <w:ind w:right="292"/>
              <w:spacing w:after="0"/>
              <w:rPr>
                <w:sz w:val="20"/>
                <w:szCs w:val="20"/>
                <w:color w:val="auto"/>
              </w:rPr>
            </w:pPr>
            <w:r>
              <w:rPr>
                <w:rFonts w:ascii="Courier New" w:cs="Courier New" w:eastAsia="Courier New" w:hAnsi="Courier New"/>
                <w:sz w:val="18"/>
                <w:szCs w:val="18"/>
                <w:color w:val="auto"/>
                <w:w w:val="98"/>
              </w:rPr>
              <w:t>-- ------- Income taxes</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154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70</w:t>
            </w:r>
          </w:p>
        </w:tc>
        <w:tc>
          <w:tcPr>
            <w:tcW w:w="2060" w:type="dxa"/>
            <w:vAlign w:val="bottom"/>
            <w:vMerge w:val="restart"/>
          </w:tcPr>
          <w:p>
            <w:pPr>
              <w:jc w:val="right"/>
              <w:ind w:right="1392"/>
              <w:spacing w:after="0"/>
              <w:rPr>
                <w:sz w:val="20"/>
                <w:szCs w:val="20"/>
                <w:color w:val="auto"/>
              </w:rPr>
            </w:pPr>
            <w:r>
              <w:rPr>
                <w:rFonts w:ascii="Courier New" w:cs="Courier New" w:eastAsia="Courier New" w:hAnsi="Courier New"/>
                <w:sz w:val="18"/>
                <w:szCs w:val="18"/>
                <w:color w:val="auto"/>
              </w:rPr>
              <w:t>2,491</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540" w:type="dxa"/>
            <w:vAlign w:val="bottom"/>
            <w:vMerge w:val="restart"/>
          </w:tcPr>
          <w:p>
            <w:pPr>
              <w:jc w:val="right"/>
              <w:ind w:right="831"/>
              <w:spacing w:after="0"/>
              <w:rPr>
                <w:sz w:val="20"/>
                <w:szCs w:val="20"/>
                <w:color w:val="auto"/>
              </w:rPr>
            </w:pPr>
            <w:r>
              <w:rPr>
                <w:rFonts w:ascii="Courier New" w:cs="Courier New" w:eastAsia="Courier New" w:hAnsi="Courier New"/>
                <w:sz w:val="18"/>
                <w:szCs w:val="18"/>
                <w:color w:val="auto"/>
                <w:w w:val="95"/>
              </w:rPr>
              <w:t>Future</w:t>
            </w:r>
          </w:p>
        </w:tc>
        <w:tc>
          <w:tcPr>
            <w:tcW w:w="52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206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1540" w:type="dxa"/>
            <w:vAlign w:val="bottom"/>
            <w:vMerge w:val="continue"/>
          </w:tcPr>
          <w:p>
            <w:pPr>
              <w:spacing w:after="0"/>
              <w:rPr>
                <w:sz w:val="9"/>
                <w:szCs w:val="9"/>
                <w:color w:val="auto"/>
              </w:rPr>
            </w:pPr>
          </w:p>
        </w:tc>
        <w:tc>
          <w:tcPr>
            <w:tcW w:w="520" w:type="dxa"/>
            <w:vAlign w:val="bottom"/>
          </w:tcPr>
          <w:p>
            <w:pPr>
              <w:jc w:val="right"/>
              <w:spacing w:after="0" w:line="109" w:lineRule="exact"/>
              <w:rPr>
                <w:sz w:val="20"/>
                <w:szCs w:val="20"/>
                <w:color w:val="auto"/>
              </w:rPr>
            </w:pPr>
            <w:r>
              <w:rPr>
                <w:rFonts w:ascii="Courier New" w:cs="Courier New" w:eastAsia="Courier New" w:hAnsi="Courier New"/>
                <w:sz w:val="12"/>
                <w:szCs w:val="12"/>
                <w:color w:val="auto"/>
                <w:w w:val="99"/>
              </w:rPr>
              <w:t>-------</w:t>
            </w:r>
          </w:p>
        </w:tc>
        <w:tc>
          <w:tcPr>
            <w:tcW w:w="2900" w:type="dxa"/>
            <w:vAlign w:val="bottom"/>
            <w:gridSpan w:val="2"/>
            <w:vMerge w:val="restart"/>
          </w:tcPr>
          <w:p>
            <w:pPr>
              <w:ind w:left="320"/>
              <w:spacing w:after="0"/>
              <w:rPr>
                <w:sz w:val="20"/>
                <w:szCs w:val="20"/>
                <w:color w:val="auto"/>
              </w:rPr>
            </w:pPr>
            <w:r>
              <w:rPr>
                <w:rFonts w:ascii="Courier New" w:cs="Courier New" w:eastAsia="Courier New" w:hAnsi="Courier New"/>
                <w:sz w:val="18"/>
                <w:szCs w:val="18"/>
                <w:color w:val="auto"/>
                <w:w w:val="81"/>
              </w:rPr>
              <w:t>------- 14,317 16,964 -------</w:t>
            </w:r>
          </w:p>
        </w:tc>
        <w:tc>
          <w:tcPr>
            <w:tcW w:w="11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540" w:type="dxa"/>
            <w:vAlign w:val="bottom"/>
          </w:tcPr>
          <w:p>
            <w:pPr>
              <w:jc w:val="right"/>
              <w:ind w:right="51"/>
              <w:spacing w:after="0" w:line="203" w:lineRule="exact"/>
              <w:rPr>
                <w:sz w:val="20"/>
                <w:szCs w:val="20"/>
                <w:color w:val="auto"/>
              </w:rPr>
            </w:pPr>
            <w:r>
              <w:rPr>
                <w:rFonts w:ascii="Courier New" w:cs="Courier New" w:eastAsia="Courier New" w:hAnsi="Courier New"/>
                <w:sz w:val="18"/>
                <w:szCs w:val="18"/>
                <w:color w:val="auto"/>
                <w:w w:val="99"/>
              </w:rPr>
              <w:t>14,247 14,473</w:t>
            </w:r>
          </w:p>
        </w:tc>
        <w:tc>
          <w:tcPr>
            <w:tcW w:w="520" w:type="dxa"/>
            <w:vAlign w:val="bottom"/>
          </w:tcPr>
          <w:p>
            <w:pPr>
              <w:spacing w:after="0"/>
              <w:rPr>
                <w:sz w:val="17"/>
                <w:szCs w:val="17"/>
                <w:color w:val="auto"/>
              </w:rPr>
            </w:pPr>
          </w:p>
        </w:tc>
        <w:tc>
          <w:tcPr>
            <w:tcW w:w="2900" w:type="dxa"/>
            <w:vAlign w:val="bottom"/>
            <w:gridSpan w:val="2"/>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060" w:type="dxa"/>
            <w:vAlign w:val="bottom"/>
            <w:gridSpan w:val="2"/>
            <w:vMerge w:val="restart"/>
          </w:tcPr>
          <w:p>
            <w:pPr>
              <w:jc w:val="right"/>
              <w:spacing w:after="0"/>
              <w:rPr>
                <w:sz w:val="20"/>
                <w:szCs w:val="20"/>
                <w:color w:val="auto"/>
              </w:rPr>
            </w:pPr>
            <w:r>
              <w:rPr>
                <w:rFonts w:ascii="Courier New" w:cs="Courier New" w:eastAsia="Courier New" w:hAnsi="Courier New"/>
                <w:sz w:val="8"/>
                <w:szCs w:val="8"/>
                <w:color w:val="auto"/>
                <w:w w:val="75"/>
              </w:rPr>
              <w:t>EARNINGS................................................</w:t>
            </w:r>
          </w:p>
        </w:tc>
        <w:tc>
          <w:tcPr>
            <w:tcW w:w="2900" w:type="dxa"/>
            <w:vAlign w:val="bottom"/>
            <w:gridSpan w:val="2"/>
          </w:tcPr>
          <w:p>
            <w:pPr>
              <w:jc w:val="center"/>
              <w:ind w:right="812"/>
              <w:spacing w:after="0"/>
              <w:rPr>
                <w:sz w:val="20"/>
                <w:szCs w:val="20"/>
                <w:color w:val="auto"/>
              </w:rPr>
            </w:pPr>
            <w:r>
              <w:rPr>
                <w:rFonts w:ascii="Courier New" w:cs="Courier New" w:eastAsia="Courier New" w:hAnsi="Courier New"/>
                <w:sz w:val="18"/>
                <w:szCs w:val="18"/>
                <w:color w:val="auto"/>
                <w:w w:val="98"/>
              </w:rPr>
              <w:t>-- NET</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154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6060" w:type="dxa"/>
            <w:vAlign w:val="bottom"/>
            <w:gridSpan w:val="5"/>
          </w:tcPr>
          <w:p>
            <w:pPr>
              <w:jc w:val="center"/>
              <w:spacing w:after="0" w:line="203" w:lineRule="exact"/>
              <w:rPr>
                <w:sz w:val="20"/>
                <w:szCs w:val="20"/>
                <w:color w:val="auto"/>
              </w:rPr>
            </w:pPr>
            <w:r>
              <w:rPr>
                <w:rFonts w:ascii="Courier New" w:cs="Courier New" w:eastAsia="Courier New" w:hAnsi="Courier New"/>
                <w:sz w:val="18"/>
                <w:szCs w:val="18"/>
                <w:color w:val="auto"/>
                <w:w w:val="97"/>
              </w:rPr>
              <w:t>15,294 36,774 Retained earnings, beginning of</w:t>
            </w:r>
          </w:p>
        </w:tc>
        <w:tc>
          <w:tcPr>
            <w:tcW w:w="0" w:type="dxa"/>
            <w:vAlign w:val="bottom"/>
          </w:tcPr>
          <w:p>
            <w:pPr>
              <w:spacing w:after="0"/>
              <w:rPr>
                <w:sz w:val="1"/>
                <w:szCs w:val="1"/>
                <w:color w:val="auto"/>
              </w:rPr>
            </w:pPr>
          </w:p>
        </w:tc>
      </w:tr>
      <w:tr>
        <w:trPr>
          <w:trHeight w:val="203"/>
        </w:trPr>
        <w:tc>
          <w:tcPr>
            <w:tcW w:w="20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5"/>
              </w:rPr>
              <w:t>year........................</w:t>
            </w:r>
          </w:p>
        </w:tc>
        <w:tc>
          <w:tcPr>
            <w:tcW w:w="840" w:type="dxa"/>
            <w:vAlign w:val="bottom"/>
          </w:tcPr>
          <w:p>
            <w:pPr>
              <w:spacing w:after="0"/>
              <w:rPr>
                <w:sz w:val="17"/>
                <w:szCs w:val="17"/>
                <w:color w:val="auto"/>
              </w:rPr>
            </w:pPr>
          </w:p>
        </w:tc>
        <w:tc>
          <w:tcPr>
            <w:tcW w:w="31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35,774 -- Related party</w:t>
            </w:r>
          </w:p>
        </w:tc>
        <w:tc>
          <w:tcPr>
            <w:tcW w:w="0" w:type="dxa"/>
            <w:vAlign w:val="bottom"/>
          </w:tcPr>
          <w:p>
            <w:pPr>
              <w:spacing w:after="0"/>
              <w:rPr>
                <w:sz w:val="1"/>
                <w:szCs w:val="1"/>
                <w:color w:val="auto"/>
              </w:rPr>
            </w:pPr>
          </w:p>
        </w:tc>
      </w:tr>
      <w:tr>
        <w:trPr>
          <w:trHeight w:val="203"/>
        </w:trPr>
        <w:tc>
          <w:tcPr>
            <w:tcW w:w="2900" w:type="dxa"/>
            <w:vAlign w:val="bottom"/>
            <w:gridSpan w:val="3"/>
          </w:tcPr>
          <w:p>
            <w:pPr>
              <w:jc w:val="right"/>
              <w:spacing w:after="0"/>
              <w:rPr>
                <w:sz w:val="20"/>
                <w:szCs w:val="20"/>
                <w:color w:val="auto"/>
              </w:rPr>
            </w:pPr>
            <w:r>
              <w:rPr>
                <w:rFonts w:ascii="Courier New" w:cs="Courier New" w:eastAsia="Courier New" w:hAnsi="Courier New"/>
                <w:sz w:val="14"/>
                <w:szCs w:val="14"/>
                <w:color w:val="auto"/>
                <w:w w:val="74"/>
              </w:rPr>
              <w:t>adjustment (Note 6)...........................</w:t>
            </w:r>
          </w:p>
        </w:tc>
        <w:tc>
          <w:tcPr>
            <w:tcW w:w="206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 (1,000)</w:t>
            </w:r>
          </w:p>
        </w:tc>
        <w:tc>
          <w:tcPr>
            <w:tcW w:w="0" w:type="dxa"/>
            <w:vAlign w:val="bottom"/>
          </w:tcPr>
          <w:p>
            <w:pPr>
              <w:spacing w:after="0"/>
              <w:rPr>
                <w:sz w:val="1"/>
                <w:szCs w:val="1"/>
                <w:color w:val="auto"/>
              </w:rPr>
            </w:pPr>
          </w:p>
        </w:tc>
      </w:tr>
      <w:tr>
        <w:trPr>
          <w:trHeight w:val="203"/>
        </w:trPr>
        <w:tc>
          <w:tcPr>
            <w:tcW w:w="1540" w:type="dxa"/>
            <w:vAlign w:val="bottom"/>
            <w:vMerge w:val="restart"/>
          </w:tcPr>
          <w:p>
            <w:pPr>
              <w:jc w:val="right"/>
              <w:spacing w:after="0"/>
              <w:rPr>
                <w:sz w:val="20"/>
                <w:szCs w:val="20"/>
                <w:color w:val="auto"/>
              </w:rPr>
            </w:pPr>
            <w:r>
              <w:rPr>
                <w:rFonts w:ascii="Courier New" w:cs="Courier New" w:eastAsia="Courier New" w:hAnsi="Courier New"/>
                <w:sz w:val="9"/>
                <w:szCs w:val="9"/>
                <w:color w:val="auto"/>
                <w:w w:val="70"/>
              </w:rPr>
              <w:t>YEAR..............................</w:t>
            </w:r>
            <w:r>
              <w:rPr>
                <w:rFonts w:ascii="Courier New" w:cs="Courier New" w:eastAsia="Courier New" w:hAnsi="Courier New"/>
                <w:sz w:val="11"/>
                <w:szCs w:val="11"/>
                <w:color w:val="auto"/>
                <w:w w:val="70"/>
                <w:vertAlign w:val="superscript"/>
              </w:rPr>
              <w:t>-------</w:t>
            </w:r>
          </w:p>
        </w:tc>
        <w:tc>
          <w:tcPr>
            <w:tcW w:w="4520" w:type="dxa"/>
            <w:vAlign w:val="bottom"/>
            <w:gridSpan w:val="4"/>
          </w:tcPr>
          <w:p>
            <w:pPr>
              <w:jc w:val="right"/>
              <w:ind w:right="752"/>
              <w:spacing w:after="0" w:line="203" w:lineRule="exact"/>
              <w:rPr>
                <w:sz w:val="20"/>
                <w:szCs w:val="20"/>
                <w:color w:val="auto"/>
              </w:rPr>
            </w:pPr>
            <w:r>
              <w:rPr>
                <w:rFonts w:ascii="Courier New" w:cs="Courier New" w:eastAsia="Courier New" w:hAnsi="Courier New"/>
                <w:sz w:val="18"/>
                <w:szCs w:val="18"/>
                <w:color w:val="auto"/>
              </w:rPr>
              <w:t>------- RETAINED EARNINGS, END OF</w:t>
            </w:r>
          </w:p>
        </w:tc>
        <w:tc>
          <w:tcPr>
            <w:tcW w:w="0" w:type="dxa"/>
            <w:vAlign w:val="bottom"/>
          </w:tcPr>
          <w:p>
            <w:pPr>
              <w:spacing w:after="0"/>
              <w:rPr>
                <w:sz w:val="1"/>
                <w:szCs w:val="1"/>
                <w:color w:val="auto"/>
              </w:rPr>
            </w:pPr>
          </w:p>
        </w:tc>
      </w:tr>
      <w:tr>
        <w:trPr>
          <w:trHeight w:val="203"/>
        </w:trPr>
        <w:tc>
          <w:tcPr>
            <w:tcW w:w="1540" w:type="dxa"/>
            <w:vAlign w:val="bottom"/>
            <w:vMerge w:val="continue"/>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51,068 35,774 =======</w:t>
            </w:r>
          </w:p>
        </w:tc>
        <w:tc>
          <w:tcPr>
            <w:tcW w:w="0" w:type="dxa"/>
            <w:vAlign w:val="bottom"/>
          </w:tcPr>
          <w:p>
            <w:pPr>
              <w:spacing w:after="0"/>
              <w:rPr>
                <w:sz w:val="1"/>
                <w:szCs w:val="1"/>
                <w:color w:val="auto"/>
              </w:rPr>
            </w:pPr>
          </w:p>
        </w:tc>
      </w:tr>
      <w:tr>
        <w:trPr>
          <w:trHeight w:val="296"/>
        </w:trPr>
        <w:tc>
          <w:tcPr>
            <w:tcW w:w="1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900" w:type="dxa"/>
            <w:vAlign w:val="bottom"/>
            <w:gridSpan w:val="2"/>
          </w:tcPr>
          <w:p>
            <w:pPr>
              <w:jc w:val="center"/>
              <w:ind w:right="812"/>
              <w:spacing w:after="0"/>
              <w:rPr>
                <w:sz w:val="20"/>
                <w:szCs w:val="20"/>
                <w:color w:val="auto"/>
              </w:rPr>
            </w:pPr>
            <w:r>
              <w:rPr>
                <w:rFonts w:ascii="Courier New" w:cs="Courier New" w:eastAsia="Courier New" w:hAnsi="Courier New"/>
                <w:sz w:val="18"/>
                <w:szCs w:val="18"/>
                <w:color w:val="auto"/>
                <w:w w:val="95"/>
              </w:rPr>
              <w:t>=======</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The accompanying notes are an integral part of the financial statements.</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F-41</w:t>
      </w:r>
    </w:p>
    <w:p>
      <w:pPr>
        <w:sectPr>
          <w:pgSz w:w="11900" w:h="16838" w:orient="portrait"/>
          <w:cols w:equalWidth="0" w:num="1">
            <w:col w:w="10219"/>
          </w:cols>
          <w:pgMar w:left="240" w:top="690" w:right="1440" w:bottom="1440" w:gutter="0" w:footer="0" w:header="0"/>
        </w:sectPr>
      </w:pPr>
    </w:p>
    <w:bookmarkStart w:id="126" w:name="page127"/>
    <w:bookmarkEnd w:id="126"/>
    <w:tbl>
      <w:tblPr>
        <w:tblLayout w:type="fixed"/>
        <w:tblInd w:w="0" w:type="dxa"/>
        <w:tblCellMar>
          <w:top w:w="0" w:type="dxa"/>
          <w:left w:w="0" w:type="dxa"/>
          <w:bottom w:w="0" w:type="dxa"/>
          <w:right w:w="0" w:type="dxa"/>
        </w:tblCellMar>
      </w:tblPr>
      <w:tr>
        <w:trPr>
          <w:trHeight w:val="296"/>
        </w:trPr>
        <w:tc>
          <w:tcPr>
            <w:tcW w:w="2220" w:type="dxa"/>
            <w:vAlign w:val="bottom"/>
          </w:tcPr>
          <w:p>
            <w:pPr>
              <w:spacing w:after="0"/>
              <w:rPr>
                <w:sz w:val="24"/>
                <w:szCs w:val="24"/>
                <w:color w:val="auto"/>
              </w:rPr>
            </w:pPr>
          </w:p>
        </w:tc>
        <w:tc>
          <w:tcPr>
            <w:tcW w:w="2780" w:type="dxa"/>
            <w:vAlign w:val="bottom"/>
          </w:tcPr>
          <w:p>
            <w:pPr>
              <w:jc w:val="center"/>
              <w:ind w:left="1012"/>
              <w:spacing w:after="0"/>
              <w:rPr>
                <w:sz w:val="20"/>
                <w:szCs w:val="20"/>
                <w:color w:val="auto"/>
              </w:rPr>
            </w:pPr>
            <w:r>
              <w:rPr>
                <w:rFonts w:ascii="Courier New" w:cs="Courier New" w:eastAsia="Courier New" w:hAnsi="Courier New"/>
                <w:sz w:val="18"/>
                <w:szCs w:val="18"/>
                <w:color w:val="auto"/>
                <w:w w:val="97"/>
              </w:rPr>
              <w:t>CERTEN INC.</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220" w:type="dxa"/>
            <w:vAlign w:val="bottom"/>
          </w:tcPr>
          <w:p>
            <w:pPr>
              <w:spacing w:after="0"/>
              <w:rPr>
                <w:sz w:val="24"/>
                <w:szCs w:val="24"/>
                <w:color w:val="auto"/>
              </w:rPr>
            </w:pPr>
          </w:p>
        </w:tc>
        <w:tc>
          <w:tcPr>
            <w:tcW w:w="3900" w:type="dxa"/>
            <w:vAlign w:val="bottom"/>
            <w:gridSpan w:val="2"/>
          </w:tcPr>
          <w:p>
            <w:pPr>
              <w:jc w:val="center"/>
              <w:spacing w:after="0"/>
              <w:rPr>
                <w:sz w:val="20"/>
                <w:szCs w:val="20"/>
                <w:color w:val="auto"/>
              </w:rPr>
            </w:pPr>
            <w:r>
              <w:rPr>
                <w:rFonts w:ascii="Courier New" w:cs="Courier New" w:eastAsia="Courier New" w:hAnsi="Courier New"/>
                <w:sz w:val="18"/>
                <w:szCs w:val="18"/>
                <w:color w:val="auto"/>
                <w:w w:val="97"/>
              </w:rPr>
              <w:t>BALANCE SHEET AS AT DECEMBER 31, 2002</w:t>
            </w:r>
          </w:p>
        </w:tc>
        <w:tc>
          <w:tcPr>
            <w:tcW w:w="0" w:type="dxa"/>
            <w:vAlign w:val="bottom"/>
          </w:tcPr>
          <w:p>
            <w:pPr>
              <w:spacing w:after="0"/>
              <w:rPr>
                <w:sz w:val="1"/>
                <w:szCs w:val="1"/>
                <w:color w:val="auto"/>
              </w:rPr>
            </w:pPr>
          </w:p>
        </w:tc>
      </w:tr>
      <w:tr>
        <w:trPr>
          <w:trHeight w:val="296"/>
        </w:trPr>
        <w:tc>
          <w:tcPr>
            <w:tcW w:w="2220" w:type="dxa"/>
            <w:vAlign w:val="bottom"/>
          </w:tcPr>
          <w:p>
            <w:pPr>
              <w:spacing w:after="0"/>
              <w:rPr>
                <w:sz w:val="24"/>
                <w:szCs w:val="24"/>
                <w:color w:val="auto"/>
              </w:rPr>
            </w:pPr>
          </w:p>
        </w:tc>
        <w:tc>
          <w:tcPr>
            <w:tcW w:w="3900" w:type="dxa"/>
            <w:vAlign w:val="bottom"/>
            <w:gridSpan w:val="2"/>
          </w:tcPr>
          <w:p>
            <w:pPr>
              <w:jc w:val="center"/>
              <w:spacing w:after="0"/>
              <w:rPr>
                <w:sz w:val="20"/>
                <w:szCs w:val="20"/>
                <w:color w:val="auto"/>
              </w:rPr>
            </w:pPr>
            <w:r>
              <w:rPr>
                <w:rFonts w:ascii="Courier New" w:cs="Courier New" w:eastAsia="Courier New" w:hAnsi="Courier New"/>
                <w:sz w:val="18"/>
                <w:szCs w:val="18"/>
                <w:color w:val="auto"/>
                <w:w w:val="97"/>
              </w:rPr>
              <w:t>(IN THOUSANDS OF DOLLARS)</w:t>
            </w:r>
          </w:p>
        </w:tc>
        <w:tc>
          <w:tcPr>
            <w:tcW w:w="0" w:type="dxa"/>
            <w:vAlign w:val="bottom"/>
          </w:tcPr>
          <w:p>
            <w:pPr>
              <w:spacing w:after="0"/>
              <w:rPr>
                <w:sz w:val="1"/>
                <w:szCs w:val="1"/>
                <w:color w:val="auto"/>
              </w:rPr>
            </w:pPr>
          </w:p>
        </w:tc>
      </w:tr>
      <w:tr>
        <w:trPr>
          <w:trHeight w:val="311"/>
        </w:trPr>
        <w:tc>
          <w:tcPr>
            <w:tcW w:w="2220" w:type="dxa"/>
            <w:vAlign w:val="bottom"/>
          </w:tcPr>
          <w:p>
            <w:pPr>
              <w:jc w:val="right"/>
              <w:spacing w:after="0"/>
              <w:rPr>
                <w:sz w:val="20"/>
                <w:szCs w:val="20"/>
                <w:color w:val="auto"/>
              </w:rPr>
            </w:pPr>
            <w:r>
              <w:rPr>
                <w:rFonts w:ascii="Courier New" w:cs="Courier New" w:eastAsia="Courier New" w:hAnsi="Courier New"/>
                <w:sz w:val="18"/>
                <w:szCs w:val="18"/>
                <w:color w:val="auto"/>
              </w:rPr>
              <w:t>2002 2001 -------</w:t>
            </w:r>
          </w:p>
        </w:tc>
        <w:tc>
          <w:tcPr>
            <w:tcW w:w="3900" w:type="dxa"/>
            <w:vAlign w:val="bottom"/>
            <w:gridSpan w:val="2"/>
          </w:tcPr>
          <w:p>
            <w:pPr>
              <w:jc w:val="right"/>
              <w:ind w:right="292"/>
              <w:spacing w:after="0"/>
              <w:rPr>
                <w:sz w:val="20"/>
                <w:szCs w:val="20"/>
                <w:color w:val="auto"/>
              </w:rPr>
            </w:pPr>
            <w:r>
              <w:rPr>
                <w:rFonts w:ascii="Courier New" w:cs="Courier New" w:eastAsia="Courier New" w:hAnsi="Courier New"/>
                <w:sz w:val="18"/>
                <w:szCs w:val="18"/>
                <w:color w:val="auto"/>
                <w:w w:val="98"/>
              </w:rPr>
              <w:t>------- $ $ ASSETS Current assets</w:t>
            </w:r>
          </w:p>
        </w:tc>
        <w:tc>
          <w:tcPr>
            <w:tcW w:w="0" w:type="dxa"/>
            <w:vAlign w:val="bottom"/>
          </w:tcPr>
          <w:p>
            <w:pPr>
              <w:spacing w:after="0"/>
              <w:rPr>
                <w:sz w:val="1"/>
                <w:szCs w:val="1"/>
                <w:color w:val="auto"/>
              </w:rPr>
            </w:pPr>
          </w:p>
        </w:tc>
      </w:tr>
      <w:tr>
        <w:trPr>
          <w:trHeight w:val="203"/>
        </w:trPr>
        <w:tc>
          <w:tcPr>
            <w:tcW w:w="5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9"/>
              </w:rPr>
              <w:t>Cash......................................................</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gridSpan w:val="2"/>
          </w:tcPr>
          <w:p>
            <w:pPr>
              <w:jc w:val="right"/>
              <w:spacing w:after="0" w:line="202" w:lineRule="exact"/>
              <w:rPr>
                <w:sz w:val="20"/>
                <w:szCs w:val="20"/>
                <w:color w:val="auto"/>
              </w:rPr>
            </w:pPr>
            <w:r>
              <w:rPr>
                <w:rFonts w:ascii="Courier New" w:cs="Courier New" w:eastAsia="Courier New" w:hAnsi="Courier New"/>
                <w:sz w:val="13"/>
                <w:szCs w:val="13"/>
                <w:color w:val="auto"/>
              </w:rPr>
              <w:t>.......................................</w:t>
            </w:r>
            <w:r>
              <w:rPr>
                <w:rFonts w:ascii="Courier New" w:cs="Courier New" w:eastAsia="Courier New" w:hAnsi="Courier New"/>
                <w:sz w:val="23"/>
                <w:szCs w:val="23"/>
                <w:color w:val="auto"/>
                <w:vertAlign w:val="superscript"/>
              </w:rPr>
              <w:t>33,59059,500Accounts</w:t>
            </w:r>
          </w:p>
        </w:tc>
        <w:tc>
          <w:tcPr>
            <w:tcW w:w="112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5,021</w:t>
            </w:r>
          </w:p>
        </w:tc>
        <w:tc>
          <w:tcPr>
            <w:tcW w:w="0" w:type="dxa"/>
            <w:vAlign w:val="bottom"/>
          </w:tcPr>
          <w:p>
            <w:pPr>
              <w:spacing w:after="0"/>
              <w:rPr>
                <w:sz w:val="1"/>
                <w:szCs w:val="1"/>
                <w:color w:val="auto"/>
              </w:rPr>
            </w:pPr>
          </w:p>
        </w:tc>
      </w:tr>
      <w:tr>
        <w:trPr>
          <w:trHeight w:val="203"/>
        </w:trPr>
        <w:tc>
          <w:tcPr>
            <w:tcW w:w="2220" w:type="dxa"/>
            <w:vAlign w:val="bottom"/>
          </w:tcPr>
          <w:p>
            <w:pPr>
              <w:jc w:val="right"/>
              <w:ind w:right="924"/>
              <w:spacing w:after="0" w:line="203" w:lineRule="exact"/>
              <w:rPr>
                <w:sz w:val="20"/>
                <w:szCs w:val="20"/>
                <w:color w:val="auto"/>
              </w:rPr>
            </w:pPr>
            <w:r>
              <w:rPr>
                <w:rFonts w:ascii="Courier New" w:cs="Courier New" w:eastAsia="Courier New" w:hAnsi="Courier New"/>
                <w:sz w:val="18"/>
                <w:szCs w:val="18"/>
                <w:color w:val="auto"/>
              </w:rPr>
              <w:t>receivable</w:t>
            </w:r>
          </w:p>
        </w:tc>
        <w:tc>
          <w:tcPr>
            <w:tcW w:w="278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gridSpan w:val="2"/>
          </w:tcPr>
          <w:p>
            <w:pPr>
              <w:jc w:val="center"/>
              <w:ind w:left="1044"/>
              <w:spacing w:after="0" w:line="203" w:lineRule="exact"/>
              <w:rPr>
                <w:sz w:val="20"/>
                <w:szCs w:val="20"/>
                <w:color w:val="auto"/>
              </w:rPr>
            </w:pPr>
            <w:r>
              <w:rPr>
                <w:rFonts w:ascii="Courier New" w:cs="Courier New" w:eastAsia="Courier New" w:hAnsi="Courier New"/>
                <w:sz w:val="18"/>
                <w:szCs w:val="18"/>
                <w:color w:val="auto"/>
                <w:w w:val="98"/>
              </w:rPr>
              <w:t>20,858 Other current</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20" w:type="dxa"/>
            <w:vAlign w:val="bottom"/>
          </w:tcPr>
          <w:p>
            <w:pPr>
              <w:jc w:val="right"/>
              <w:spacing w:after="0"/>
              <w:rPr>
                <w:sz w:val="20"/>
                <w:szCs w:val="20"/>
                <w:color w:val="auto"/>
              </w:rPr>
            </w:pPr>
            <w:r>
              <w:rPr>
                <w:rFonts w:ascii="Courier New" w:cs="Courier New" w:eastAsia="Courier New" w:hAnsi="Courier New"/>
                <w:sz w:val="11"/>
                <w:szCs w:val="11"/>
                <w:color w:val="auto"/>
                <w:w w:val="75"/>
              </w:rPr>
              <w:t>receivables.................................</w:t>
            </w:r>
          </w:p>
        </w:tc>
        <w:tc>
          <w:tcPr>
            <w:tcW w:w="3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4,359 48,695</w:t>
            </w:r>
          </w:p>
        </w:tc>
        <w:tc>
          <w:tcPr>
            <w:tcW w:w="0" w:type="dxa"/>
            <w:vAlign w:val="bottom"/>
          </w:tcPr>
          <w:p>
            <w:pPr>
              <w:spacing w:after="0"/>
              <w:rPr>
                <w:sz w:val="1"/>
                <w:szCs w:val="1"/>
                <w:color w:val="auto"/>
              </w:rPr>
            </w:pPr>
          </w:p>
        </w:tc>
      </w:tr>
      <w:tr>
        <w:trPr>
          <w:trHeight w:val="296"/>
        </w:trPr>
        <w:tc>
          <w:tcPr>
            <w:tcW w:w="2220" w:type="dxa"/>
            <w:vAlign w:val="bottom"/>
            <w:vMerge w:val="restart"/>
          </w:tcPr>
          <w:p>
            <w:pPr>
              <w:jc w:val="right"/>
              <w:spacing w:after="0"/>
              <w:rPr>
                <w:sz w:val="20"/>
                <w:szCs w:val="20"/>
                <w:color w:val="auto"/>
              </w:rPr>
            </w:pPr>
            <w:r>
              <w:rPr>
                <w:rFonts w:ascii="Courier New" w:cs="Courier New" w:eastAsia="Courier New" w:hAnsi="Courier New"/>
                <w:sz w:val="10"/>
                <w:szCs w:val="10"/>
                <w:color w:val="auto"/>
                <w:w w:val="73"/>
              </w:rPr>
              <w:t>expenses..........................................</w:t>
            </w:r>
          </w:p>
        </w:tc>
        <w:tc>
          <w:tcPr>
            <w:tcW w:w="2780" w:type="dxa"/>
            <w:vAlign w:val="bottom"/>
          </w:tcPr>
          <w:p>
            <w:pPr>
              <w:jc w:val="center"/>
              <w:ind w:right="1012"/>
              <w:spacing w:after="0"/>
              <w:rPr>
                <w:sz w:val="20"/>
                <w:szCs w:val="20"/>
                <w:color w:val="auto"/>
              </w:rPr>
            </w:pPr>
            <w:r>
              <w:rPr>
                <w:rFonts w:ascii="Courier New" w:cs="Courier New" w:eastAsia="Courier New" w:hAnsi="Courier New"/>
                <w:sz w:val="18"/>
                <w:szCs w:val="18"/>
                <w:color w:val="auto"/>
                <w:w w:val="95"/>
              </w:rPr>
              <w:t>Prepaid</w:t>
            </w:r>
          </w:p>
        </w:tc>
        <w:tc>
          <w:tcPr>
            <w:tcW w:w="11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420 --</w:t>
            </w:r>
          </w:p>
        </w:tc>
        <w:tc>
          <w:tcPr>
            <w:tcW w:w="0" w:type="dxa"/>
            <w:vAlign w:val="bottom"/>
          </w:tcPr>
          <w:p>
            <w:pPr>
              <w:spacing w:after="0"/>
              <w:rPr>
                <w:sz w:val="1"/>
                <w:szCs w:val="1"/>
                <w:color w:val="auto"/>
              </w:rPr>
            </w:pPr>
          </w:p>
        </w:tc>
      </w:tr>
      <w:tr>
        <w:trPr>
          <w:trHeight w:val="109"/>
        </w:trPr>
        <w:tc>
          <w:tcPr>
            <w:tcW w:w="2220" w:type="dxa"/>
            <w:vAlign w:val="bottom"/>
            <w:vMerge w:val="continue"/>
          </w:tcPr>
          <w:p>
            <w:pPr>
              <w:spacing w:after="0"/>
              <w:rPr>
                <w:sz w:val="9"/>
                <w:szCs w:val="9"/>
                <w:color w:val="auto"/>
              </w:rPr>
            </w:pPr>
          </w:p>
        </w:tc>
        <w:tc>
          <w:tcPr>
            <w:tcW w:w="278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612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 ------- 43,390 129,053 Property, plant and</w:t>
            </w:r>
          </w:p>
        </w:tc>
        <w:tc>
          <w:tcPr>
            <w:tcW w:w="0" w:type="dxa"/>
            <w:vAlign w:val="bottom"/>
          </w:tcPr>
          <w:p>
            <w:pPr>
              <w:spacing w:after="0"/>
              <w:rPr>
                <w:sz w:val="1"/>
                <w:szCs w:val="1"/>
                <w:color w:val="auto"/>
              </w:rPr>
            </w:pPr>
          </w:p>
        </w:tc>
      </w:tr>
      <w:tr>
        <w:trPr>
          <w:trHeight w:val="203"/>
        </w:trPr>
        <w:tc>
          <w:tcPr>
            <w:tcW w:w="2220" w:type="dxa"/>
            <w:vAlign w:val="bottom"/>
          </w:tcPr>
          <w:p>
            <w:pPr>
              <w:jc w:val="right"/>
              <w:spacing w:after="0"/>
              <w:rPr>
                <w:sz w:val="20"/>
                <w:szCs w:val="20"/>
                <w:color w:val="auto"/>
              </w:rPr>
            </w:pPr>
            <w:r>
              <w:rPr>
                <w:rFonts w:ascii="Courier New" w:cs="Courier New" w:eastAsia="Courier New" w:hAnsi="Courier New"/>
                <w:sz w:val="13"/>
                <w:szCs w:val="13"/>
                <w:color w:val="auto"/>
                <w:w w:val="70"/>
              </w:rPr>
              <w:t>equipment (Note 4)......................</w:t>
            </w:r>
          </w:p>
        </w:tc>
        <w:tc>
          <w:tcPr>
            <w:tcW w:w="39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49,494 36,822</w:t>
            </w:r>
          </w:p>
        </w:tc>
        <w:tc>
          <w:tcPr>
            <w:tcW w:w="0" w:type="dxa"/>
            <w:vAlign w:val="bottom"/>
          </w:tcPr>
          <w:p>
            <w:pPr>
              <w:spacing w:after="0"/>
              <w:rPr>
                <w:sz w:val="1"/>
                <w:szCs w:val="1"/>
                <w:color w:val="auto"/>
              </w:rPr>
            </w:pPr>
          </w:p>
        </w:tc>
      </w:tr>
      <w:tr>
        <w:trPr>
          <w:trHeight w:val="203"/>
        </w:trPr>
        <w:tc>
          <w:tcPr>
            <w:tcW w:w="5000" w:type="dxa"/>
            <w:vAlign w:val="bottom"/>
            <w:gridSpan w:val="2"/>
          </w:tcPr>
          <w:p>
            <w:pPr>
              <w:jc w:val="center"/>
              <w:ind w:left="1044"/>
              <w:spacing w:after="0" w:line="203" w:lineRule="exact"/>
              <w:rPr>
                <w:sz w:val="20"/>
                <w:szCs w:val="20"/>
                <w:color w:val="auto"/>
              </w:rPr>
            </w:pPr>
            <w:r>
              <w:rPr>
                <w:rFonts w:ascii="Courier New" w:cs="Courier New" w:eastAsia="Courier New" w:hAnsi="Courier New"/>
                <w:sz w:val="18"/>
                <w:szCs w:val="18"/>
                <w:color w:val="auto"/>
                <w:w w:val="98"/>
              </w:rPr>
              <w:t>Intangible assets (Note</w:t>
            </w:r>
          </w:p>
        </w:tc>
        <w:tc>
          <w:tcPr>
            <w:tcW w:w="112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196,345</w:t>
            </w:r>
          </w:p>
        </w:tc>
        <w:tc>
          <w:tcPr>
            <w:tcW w:w="0" w:type="dxa"/>
            <w:vAlign w:val="bottom"/>
          </w:tcPr>
          <w:p>
            <w:pPr>
              <w:spacing w:after="0"/>
              <w:rPr>
                <w:sz w:val="1"/>
                <w:szCs w:val="1"/>
                <w:color w:val="auto"/>
              </w:rPr>
            </w:pPr>
          </w:p>
        </w:tc>
      </w:tr>
      <w:tr>
        <w:trPr>
          <w:trHeight w:val="203"/>
        </w:trPr>
        <w:tc>
          <w:tcPr>
            <w:tcW w:w="2220" w:type="dxa"/>
            <w:vAlign w:val="bottom"/>
          </w:tcPr>
          <w:p>
            <w:pPr>
              <w:jc w:val="right"/>
              <w:spacing w:after="0"/>
              <w:rPr>
                <w:sz w:val="20"/>
                <w:szCs w:val="20"/>
                <w:color w:val="auto"/>
              </w:rPr>
            </w:pPr>
            <w:r>
              <w:rPr>
                <w:rFonts w:ascii="Courier New" w:cs="Courier New" w:eastAsia="Courier New" w:hAnsi="Courier New"/>
                <w:sz w:val="14"/>
                <w:szCs w:val="14"/>
                <w:color w:val="auto"/>
                <w:w w:val="72"/>
              </w:rPr>
              <w:t>5)..................................</w:t>
            </w:r>
          </w:p>
        </w:tc>
        <w:tc>
          <w:tcPr>
            <w:tcW w:w="2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365,386</w:t>
            </w: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220" w:type="dxa"/>
            <w:vAlign w:val="bottom"/>
            <w:vMerge w:val="restart"/>
          </w:tcPr>
          <w:p>
            <w:pPr>
              <w:jc w:val="right"/>
              <w:spacing w:after="0"/>
              <w:rPr>
                <w:sz w:val="20"/>
                <w:szCs w:val="20"/>
                <w:color w:val="auto"/>
              </w:rPr>
            </w:pPr>
            <w:r>
              <w:rPr>
                <w:rFonts w:ascii="Courier New" w:cs="Courier New" w:eastAsia="Courier New" w:hAnsi="Courier New"/>
                <w:sz w:val="11"/>
                <w:szCs w:val="11"/>
                <w:color w:val="auto"/>
                <w:w w:val="72"/>
              </w:rPr>
              <w:t>taxes.........................................</w:t>
            </w:r>
          </w:p>
        </w:tc>
        <w:tc>
          <w:tcPr>
            <w:tcW w:w="2780" w:type="dxa"/>
            <w:vAlign w:val="bottom"/>
          </w:tcPr>
          <w:p>
            <w:pPr>
              <w:jc w:val="center"/>
              <w:ind w:right="1012"/>
              <w:spacing w:after="0"/>
              <w:rPr>
                <w:sz w:val="20"/>
                <w:szCs w:val="20"/>
                <w:color w:val="auto"/>
              </w:rPr>
            </w:pPr>
            <w:r>
              <w:rPr>
                <w:rFonts w:ascii="Courier New" w:cs="Courier New" w:eastAsia="Courier New" w:hAnsi="Courier New"/>
                <w:sz w:val="18"/>
                <w:szCs w:val="18"/>
                <w:color w:val="auto"/>
                <w:w w:val="96"/>
              </w:rPr>
              <w:t>Future income</w:t>
            </w:r>
          </w:p>
        </w:tc>
        <w:tc>
          <w:tcPr>
            <w:tcW w:w="112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1,418 642</w:t>
            </w:r>
          </w:p>
        </w:tc>
        <w:tc>
          <w:tcPr>
            <w:tcW w:w="0" w:type="dxa"/>
            <w:vAlign w:val="bottom"/>
          </w:tcPr>
          <w:p>
            <w:pPr>
              <w:spacing w:after="0"/>
              <w:rPr>
                <w:sz w:val="1"/>
                <w:szCs w:val="1"/>
                <w:color w:val="auto"/>
              </w:rPr>
            </w:pPr>
          </w:p>
        </w:tc>
      </w:tr>
      <w:tr>
        <w:trPr>
          <w:trHeight w:val="109"/>
        </w:trPr>
        <w:tc>
          <w:tcPr>
            <w:tcW w:w="2220" w:type="dxa"/>
            <w:vAlign w:val="bottom"/>
            <w:vMerge w:val="continue"/>
          </w:tcPr>
          <w:p>
            <w:pPr>
              <w:spacing w:after="0"/>
              <w:rPr>
                <w:sz w:val="9"/>
                <w:szCs w:val="9"/>
                <w:color w:val="auto"/>
              </w:rPr>
            </w:pPr>
          </w:p>
        </w:tc>
        <w:tc>
          <w:tcPr>
            <w:tcW w:w="278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5000" w:type="dxa"/>
            <w:vAlign w:val="bottom"/>
            <w:gridSpan w:val="2"/>
          </w:tcPr>
          <w:p>
            <w:pPr>
              <w:jc w:val="center"/>
              <w:ind w:left="1044"/>
              <w:spacing w:after="0" w:line="203" w:lineRule="exact"/>
              <w:rPr>
                <w:sz w:val="20"/>
                <w:szCs w:val="20"/>
                <w:color w:val="auto"/>
              </w:rPr>
            </w:pPr>
            <w:r>
              <w:rPr>
                <w:rFonts w:ascii="Courier New" w:cs="Courier New" w:eastAsia="Courier New" w:hAnsi="Courier New"/>
                <w:sz w:val="18"/>
                <w:szCs w:val="18"/>
                <w:color w:val="auto"/>
                <w:w w:val="97"/>
              </w:rPr>
              <w:t>Accrued benefit asset (Note</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220" w:type="dxa"/>
            <w:vAlign w:val="bottom"/>
          </w:tcPr>
          <w:p>
            <w:pPr>
              <w:jc w:val="right"/>
              <w:spacing w:after="0"/>
              <w:rPr>
                <w:sz w:val="20"/>
                <w:szCs w:val="20"/>
                <w:color w:val="auto"/>
              </w:rPr>
            </w:pPr>
            <w:r>
              <w:rPr>
                <w:rFonts w:ascii="Courier New" w:cs="Courier New" w:eastAsia="Courier New" w:hAnsi="Courier New"/>
                <w:sz w:val="16"/>
                <w:szCs w:val="16"/>
                <w:color w:val="auto"/>
                <w:w w:val="71"/>
              </w:rPr>
              <w:t>6)..............................</w:t>
            </w:r>
          </w:p>
        </w:tc>
        <w:tc>
          <w:tcPr>
            <w:tcW w:w="39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4,572 8,000 ------- ----</w:t>
            </w:r>
          </w:p>
        </w:tc>
        <w:tc>
          <w:tcPr>
            <w:tcW w:w="0" w:type="dxa"/>
            <w:vAlign w:val="bottom"/>
          </w:tcPr>
          <w:p>
            <w:pPr>
              <w:spacing w:after="0"/>
              <w:rPr>
                <w:sz w:val="1"/>
                <w:szCs w:val="1"/>
                <w:color w:val="auto"/>
              </w:rPr>
            </w:pPr>
          </w:p>
        </w:tc>
      </w:tr>
    </w:tbl>
    <w:p>
      <w:pPr>
        <w:ind w:left="2220" w:right="4259" w:hanging="2057"/>
        <w:spacing w:after="0" w:line="238" w:lineRule="auto"/>
        <w:tabs>
          <w:tab w:leader="none" w:pos="587"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464,260 370,862 ======= ======= LIABILITIES Current liabilities Bank</w:t>
      </w:r>
    </w:p>
    <w:p>
      <w:pPr>
        <w:spacing w:after="0" w:line="1" w:lineRule="exact"/>
        <w:rPr>
          <w:sz w:val="20"/>
          <w:szCs w:val="20"/>
          <w:color w:val="auto"/>
        </w:rPr>
      </w:pPr>
    </w:p>
    <w:p>
      <w:pPr>
        <w:jc w:val="center"/>
        <w:ind w:right="4099"/>
        <w:spacing w:after="0" w:line="268" w:lineRule="auto"/>
        <w:rPr>
          <w:sz w:val="20"/>
          <w:szCs w:val="20"/>
          <w:color w:val="auto"/>
        </w:rPr>
      </w:pPr>
      <w:r>
        <w:rPr>
          <w:rFonts w:ascii="Courier New" w:cs="Courier New" w:eastAsia="Courier New" w:hAnsi="Courier New"/>
          <w:sz w:val="16"/>
          <w:szCs w:val="16"/>
          <w:color w:val="auto"/>
        </w:rPr>
        <w:t>indebtedness......................................... -- 1,807 Promissory note due to related party (Note 7)............. -- 6,133 Accounts payable and accrued liabilities.................. 117,286 162,646 Income and other taxes payable............................ 12,106 11,217 Current portion of obligation under capital leases</w:t>
      </w:r>
    </w:p>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96"/>
        </w:trPr>
        <w:tc>
          <w:tcPr>
            <w:tcW w:w="1580" w:type="dxa"/>
            <w:vAlign w:val="bottom"/>
            <w:vMerge w:val="restart"/>
          </w:tcPr>
          <w:p>
            <w:pPr>
              <w:jc w:val="right"/>
              <w:spacing w:after="0"/>
              <w:rPr>
                <w:sz w:val="20"/>
                <w:szCs w:val="20"/>
                <w:color w:val="auto"/>
              </w:rPr>
            </w:pPr>
            <w:r>
              <w:rPr>
                <w:rFonts w:ascii="Courier New" w:cs="Courier New" w:eastAsia="Courier New" w:hAnsi="Courier New"/>
                <w:sz w:val="5"/>
                <w:szCs w:val="5"/>
                <w:color w:val="auto"/>
                <w:w w:val="94"/>
              </w:rPr>
              <w:t>8).....................................................</w:t>
            </w:r>
          </w:p>
        </w:tc>
        <w:tc>
          <w:tcPr>
            <w:tcW w:w="4420" w:type="dxa"/>
            <w:vAlign w:val="bottom"/>
          </w:tcPr>
          <w:p>
            <w:pPr>
              <w:jc w:val="center"/>
              <w:ind w:right="1492"/>
              <w:spacing w:after="0"/>
              <w:rPr>
                <w:sz w:val="20"/>
                <w:szCs w:val="20"/>
                <w:color w:val="auto"/>
              </w:rPr>
            </w:pPr>
            <w:r>
              <w:rPr>
                <w:rFonts w:ascii="Courier New" w:cs="Courier New" w:eastAsia="Courier New" w:hAnsi="Courier New"/>
                <w:sz w:val="18"/>
                <w:szCs w:val="18"/>
                <w:color w:val="auto"/>
                <w:w w:val="96"/>
              </w:rPr>
              <w:t>(Note</w:t>
            </w:r>
          </w:p>
        </w:tc>
        <w:tc>
          <w:tcPr>
            <w:tcW w:w="0" w:type="dxa"/>
            <w:vAlign w:val="bottom"/>
          </w:tcPr>
          <w:p>
            <w:pPr>
              <w:spacing w:after="0"/>
              <w:rPr>
                <w:sz w:val="1"/>
                <w:szCs w:val="1"/>
                <w:color w:val="auto"/>
              </w:rPr>
            </w:pPr>
          </w:p>
        </w:tc>
      </w:tr>
      <w:tr>
        <w:trPr>
          <w:trHeight w:val="171"/>
        </w:trPr>
        <w:tc>
          <w:tcPr>
            <w:tcW w:w="1580" w:type="dxa"/>
            <w:vAlign w:val="bottom"/>
            <w:vMerge w:val="continue"/>
          </w:tcPr>
          <w:p>
            <w:pPr>
              <w:spacing w:after="0"/>
              <w:rPr>
                <w:sz w:val="14"/>
                <w:szCs w:val="14"/>
                <w:color w:val="auto"/>
              </w:rPr>
            </w:pPr>
          </w:p>
        </w:tc>
        <w:tc>
          <w:tcPr>
            <w:tcW w:w="4420" w:type="dxa"/>
            <w:vAlign w:val="bottom"/>
            <w:vMerge w:val="restart"/>
          </w:tcPr>
          <w:p>
            <w:pPr>
              <w:jc w:val="center"/>
              <w:ind w:right="1492"/>
              <w:spacing w:after="0"/>
              <w:rPr>
                <w:sz w:val="20"/>
                <w:szCs w:val="20"/>
                <w:color w:val="auto"/>
              </w:rPr>
            </w:pPr>
            <w:r>
              <w:rPr>
                <w:rFonts w:ascii="Courier New" w:cs="Courier New" w:eastAsia="Courier New" w:hAnsi="Courier New"/>
                <w:sz w:val="18"/>
                <w:szCs w:val="18"/>
                <w:color w:val="auto"/>
                <w:w w:val="97"/>
              </w:rPr>
              <w:t>34,491 10,249 Other current</w:t>
            </w:r>
          </w:p>
        </w:tc>
        <w:tc>
          <w:tcPr>
            <w:tcW w:w="0" w:type="dxa"/>
            <w:vAlign w:val="bottom"/>
          </w:tcPr>
          <w:p>
            <w:pPr>
              <w:spacing w:after="0"/>
              <w:rPr>
                <w:sz w:val="1"/>
                <w:szCs w:val="1"/>
                <w:color w:val="auto"/>
              </w:rPr>
            </w:pPr>
          </w:p>
        </w:tc>
      </w:tr>
      <w:tr>
        <w:trPr>
          <w:trHeight w:val="109"/>
        </w:trPr>
        <w:tc>
          <w:tcPr>
            <w:tcW w:w="1580" w:type="dxa"/>
            <w:vAlign w:val="bottom"/>
            <w:vMerge w:val="restart"/>
          </w:tcPr>
          <w:p>
            <w:pPr>
              <w:jc w:val="right"/>
              <w:ind w:right="352"/>
              <w:spacing w:after="0"/>
              <w:rPr>
                <w:sz w:val="20"/>
                <w:szCs w:val="20"/>
                <w:color w:val="auto"/>
              </w:rPr>
            </w:pPr>
            <w:r>
              <w:rPr>
                <w:rFonts w:ascii="Courier New" w:cs="Courier New" w:eastAsia="Courier New" w:hAnsi="Courier New"/>
                <w:sz w:val="18"/>
                <w:szCs w:val="18"/>
                <w:color w:val="auto"/>
                <w:w w:val="95"/>
              </w:rPr>
              <w:t>liabilities</w:t>
            </w:r>
          </w:p>
        </w:tc>
        <w:tc>
          <w:tcPr>
            <w:tcW w:w="4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5"/>
        </w:trPr>
        <w:tc>
          <w:tcPr>
            <w:tcW w:w="1580" w:type="dxa"/>
            <w:vAlign w:val="bottom"/>
            <w:vMerge w:val="continue"/>
          </w:tcPr>
          <w:p>
            <w:pPr>
              <w:jc w:val="right"/>
              <w:spacing w:after="0" w:line="178" w:lineRule="exact"/>
              <w:rPr>
                <w:sz w:val="20"/>
                <w:szCs w:val="20"/>
                <w:color w:val="auto"/>
              </w:rPr>
            </w:pPr>
            <w:r>
              <w:rPr>
                <w:rFonts w:ascii="Courier New" w:cs="Courier New" w:eastAsia="Courier New" w:hAnsi="Courier New"/>
                <w:sz w:val="18"/>
                <w:szCs w:val="18"/>
                <w:color w:val="auto"/>
              </w:rPr>
              <w:t>.................................</w:t>
            </w:r>
          </w:p>
        </w:tc>
        <w:tc>
          <w:tcPr>
            <w:tcW w:w="4420" w:type="dxa"/>
            <w:vAlign w:val="bottom"/>
          </w:tcPr>
          <w:p>
            <w:pPr>
              <w:jc w:val="right"/>
              <w:spacing w:after="0"/>
              <w:rPr>
                <w:sz w:val="20"/>
                <w:szCs w:val="20"/>
                <w:color w:val="auto"/>
              </w:rPr>
            </w:pPr>
            <w:r>
              <w:rPr>
                <w:rFonts w:ascii="Courier New" w:cs="Courier New" w:eastAsia="Courier New" w:hAnsi="Courier New"/>
                <w:sz w:val="18"/>
                <w:szCs w:val="18"/>
                <w:color w:val="auto"/>
              </w:rPr>
              <w:t>1,345 26 ---</w:t>
            </w:r>
          </w:p>
        </w:tc>
        <w:tc>
          <w:tcPr>
            <w:tcW w:w="0" w:type="dxa"/>
            <w:vAlign w:val="bottom"/>
          </w:tcPr>
          <w:p>
            <w:pPr>
              <w:spacing w:after="0"/>
              <w:rPr>
                <w:sz w:val="1"/>
                <w:szCs w:val="1"/>
                <w:color w:val="auto"/>
              </w:rPr>
            </w:pPr>
          </w:p>
        </w:tc>
      </w:tr>
    </w:tbl>
    <w:p>
      <w:pPr>
        <w:ind w:left="160"/>
        <w:spacing w:after="0" w:line="238" w:lineRule="auto"/>
        <w:rPr>
          <w:sz w:val="20"/>
          <w:szCs w:val="20"/>
          <w:color w:val="auto"/>
        </w:rPr>
      </w:pPr>
      <w:r>
        <w:rPr>
          <w:rFonts w:ascii="Courier New" w:cs="Courier New" w:eastAsia="Courier New" w:hAnsi="Courier New"/>
          <w:sz w:val="18"/>
          <w:szCs w:val="18"/>
          <w:color w:val="auto"/>
        </w:rPr>
        <w:t>---- ------- 165,228 192,078 Convertible debentures due</w:t>
      </w:r>
    </w:p>
    <w:p>
      <w:pPr>
        <w:jc w:val="center"/>
        <w:ind w:right="4099"/>
        <w:spacing w:after="0" w:line="268" w:lineRule="auto"/>
        <w:rPr>
          <w:sz w:val="20"/>
          <w:szCs w:val="20"/>
          <w:color w:val="auto"/>
        </w:rPr>
      </w:pPr>
      <w:r>
        <w:rPr>
          <w:rFonts w:ascii="Courier New" w:cs="Courier New" w:eastAsia="Courier New" w:hAnsi="Courier New"/>
          <w:sz w:val="16"/>
          <w:szCs w:val="16"/>
          <w:color w:val="auto"/>
        </w:rPr>
        <w:t>to related party (Note 9)........ 33,227 13,212 Obligation under capital leases (Note 8).................... 31,910 36,231 Future income taxes......................................... 30,138 15,115 Accrued benefit liability (Note 6).......................... 9,705 10,900 Other long-term liabilities................................. 2,855 98 --- ---- ------- 273,063 267,634 ------- ------- Commitments</w:t>
      </w:r>
    </w:p>
    <w:tbl>
      <w:tblPr>
        <w:tblLayout w:type="fixed"/>
        <w:tblInd w:w="120" w:type="dxa"/>
        <w:tblCellMar>
          <w:top w:w="0" w:type="dxa"/>
          <w:left w:w="0" w:type="dxa"/>
          <w:bottom w:w="0" w:type="dxa"/>
          <w:right w:w="0" w:type="dxa"/>
        </w:tblCellMar>
      </w:tblPr>
      <w:tr>
        <w:trPr>
          <w:trHeight w:val="172"/>
        </w:trPr>
        <w:tc>
          <w:tcPr>
            <w:tcW w:w="2940" w:type="dxa"/>
            <w:vAlign w:val="bottom"/>
            <w:gridSpan w:val="2"/>
          </w:tcPr>
          <w:p>
            <w:pPr>
              <w:jc w:val="right"/>
              <w:spacing w:after="0" w:line="172" w:lineRule="exact"/>
              <w:rPr>
                <w:sz w:val="20"/>
                <w:szCs w:val="20"/>
                <w:color w:val="auto"/>
              </w:rPr>
            </w:pPr>
            <w:r>
              <w:rPr>
                <w:rFonts w:ascii="Courier New" w:cs="Courier New" w:eastAsia="Courier New" w:hAnsi="Courier New"/>
                <w:sz w:val="18"/>
                <w:szCs w:val="18"/>
                <w:color w:val="auto"/>
                <w:w w:val="98"/>
              </w:rPr>
              <w:t>and contingencies (Note 15)</w:t>
            </w:r>
          </w:p>
        </w:tc>
        <w:tc>
          <w:tcPr>
            <w:tcW w:w="2960" w:type="dxa"/>
            <w:vAlign w:val="bottom"/>
            <w:gridSpan w:val="2"/>
          </w:tcPr>
          <w:p>
            <w:pPr>
              <w:ind w:left="60"/>
              <w:spacing w:after="0" w:line="172" w:lineRule="exact"/>
              <w:rPr>
                <w:sz w:val="20"/>
                <w:szCs w:val="20"/>
                <w:color w:val="auto"/>
              </w:rPr>
            </w:pPr>
            <w:r>
              <w:rPr>
                <w:rFonts w:ascii="Courier New" w:cs="Courier New" w:eastAsia="Courier New" w:hAnsi="Courier New"/>
                <w:sz w:val="18"/>
                <w:szCs w:val="18"/>
                <w:color w:val="auto"/>
                <w:w w:val="98"/>
              </w:rPr>
              <w:t>SHAREHOLDERS' EQUITY Option</w:t>
            </w:r>
          </w:p>
        </w:tc>
        <w:tc>
          <w:tcPr>
            <w:tcW w:w="0" w:type="dxa"/>
            <w:vAlign w:val="bottom"/>
          </w:tcPr>
          <w:p>
            <w:pPr>
              <w:spacing w:after="0"/>
              <w:rPr>
                <w:sz w:val="1"/>
                <w:szCs w:val="1"/>
                <w:color w:val="auto"/>
              </w:rPr>
            </w:pPr>
          </w:p>
        </w:tc>
      </w:tr>
      <w:tr>
        <w:trPr>
          <w:trHeight w:val="203"/>
        </w:trPr>
        <w:tc>
          <w:tcPr>
            <w:tcW w:w="2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on convertible debentures</w:t>
            </w:r>
          </w:p>
        </w:tc>
        <w:tc>
          <w:tcPr>
            <w:tcW w:w="29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due to related party.....</w:t>
            </w:r>
          </w:p>
        </w:tc>
        <w:tc>
          <w:tcPr>
            <w:tcW w:w="0" w:type="dxa"/>
            <w:vAlign w:val="bottom"/>
          </w:tcPr>
          <w:p>
            <w:pPr>
              <w:spacing w:after="0"/>
              <w:rPr>
                <w:sz w:val="1"/>
                <w:szCs w:val="1"/>
                <w:color w:val="auto"/>
              </w:rPr>
            </w:pPr>
          </w:p>
        </w:tc>
      </w:tr>
      <w:tr>
        <w:trPr>
          <w:trHeight w:val="203"/>
        </w:trPr>
        <w:tc>
          <w:tcPr>
            <w:tcW w:w="1200" w:type="dxa"/>
            <w:vAlign w:val="bottom"/>
            <w:vMerge w:val="restart"/>
          </w:tcPr>
          <w:p>
            <w:pPr>
              <w:jc w:val="right"/>
              <w:spacing w:after="0"/>
              <w:rPr>
                <w:sz w:val="20"/>
                <w:szCs w:val="20"/>
                <w:color w:val="auto"/>
              </w:rPr>
            </w:pPr>
            <w:r>
              <w:rPr>
                <w:rFonts w:ascii="Courier New" w:cs="Courier New" w:eastAsia="Courier New" w:hAnsi="Courier New"/>
                <w:sz w:val="7"/>
                <w:szCs w:val="7"/>
                <w:color w:val="auto"/>
                <w:w w:val="73"/>
              </w:rPr>
              <w:t>11)...................................</w:t>
            </w:r>
          </w:p>
        </w:tc>
        <w:tc>
          <w:tcPr>
            <w:tcW w:w="3820" w:type="dxa"/>
            <w:vAlign w:val="bottom"/>
            <w:gridSpan w:val="2"/>
          </w:tcPr>
          <w:p>
            <w:pPr>
              <w:jc w:val="center"/>
              <w:ind w:right="252"/>
              <w:spacing w:after="0" w:line="203" w:lineRule="exact"/>
              <w:rPr>
                <w:sz w:val="20"/>
                <w:szCs w:val="20"/>
                <w:color w:val="auto"/>
              </w:rPr>
            </w:pPr>
            <w:r>
              <w:rPr>
                <w:rFonts w:ascii="Courier New" w:cs="Courier New" w:eastAsia="Courier New" w:hAnsi="Courier New"/>
                <w:sz w:val="18"/>
                <w:szCs w:val="18"/>
                <w:color w:val="auto"/>
                <w:w w:val="97"/>
              </w:rPr>
              <w:t>37,960 18,659 Common shares (Note</w:t>
            </w:r>
          </w:p>
        </w:tc>
        <w:tc>
          <w:tcPr>
            <w:tcW w:w="88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48,795</w:t>
            </w:r>
          </w:p>
        </w:tc>
        <w:tc>
          <w:tcPr>
            <w:tcW w:w="0" w:type="dxa"/>
            <w:vAlign w:val="bottom"/>
          </w:tcPr>
          <w:p>
            <w:pPr>
              <w:spacing w:after="0"/>
              <w:rPr>
                <w:sz w:val="1"/>
                <w:szCs w:val="1"/>
                <w:color w:val="auto"/>
              </w:rPr>
            </w:pPr>
          </w:p>
        </w:tc>
      </w:tr>
      <w:tr>
        <w:trPr>
          <w:trHeight w:val="203"/>
        </w:trPr>
        <w:tc>
          <w:tcPr>
            <w:tcW w:w="1200" w:type="dxa"/>
            <w:vAlign w:val="bottom"/>
            <w:vMerge w:val="continue"/>
          </w:tcPr>
          <w:p>
            <w:pPr>
              <w:spacing w:after="0"/>
              <w:rPr>
                <w:sz w:val="17"/>
                <w:szCs w:val="17"/>
                <w:color w:val="auto"/>
              </w:rPr>
            </w:pPr>
          </w:p>
        </w:tc>
        <w:tc>
          <w:tcPr>
            <w:tcW w:w="1740" w:type="dxa"/>
            <w:vAlign w:val="bottom"/>
          </w:tcPr>
          <w:p>
            <w:pPr>
              <w:spacing w:after="0"/>
              <w:rPr>
                <w:sz w:val="17"/>
                <w:szCs w:val="17"/>
                <w:color w:val="auto"/>
              </w:rPr>
            </w:pPr>
          </w:p>
        </w:tc>
        <w:tc>
          <w:tcPr>
            <w:tcW w:w="20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102,169</w:t>
            </w:r>
          </w:p>
        </w:tc>
        <w:tc>
          <w:tcPr>
            <w:tcW w:w="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200" w:type="dxa"/>
            <w:vAlign w:val="bottom"/>
            <w:vMerge w:val="restart"/>
          </w:tcPr>
          <w:p>
            <w:pPr>
              <w:jc w:val="right"/>
              <w:spacing w:after="0"/>
              <w:rPr>
                <w:sz w:val="20"/>
                <w:szCs w:val="20"/>
                <w:color w:val="auto"/>
              </w:rPr>
            </w:pPr>
            <w:r>
              <w:rPr>
                <w:rFonts w:ascii="Courier New" w:cs="Courier New" w:eastAsia="Courier New" w:hAnsi="Courier New"/>
                <w:sz w:val="5"/>
                <w:szCs w:val="5"/>
                <w:color w:val="auto"/>
                <w:w w:val="80"/>
              </w:rPr>
              <w:t>earnings.........................................</w:t>
            </w:r>
          </w:p>
        </w:tc>
        <w:tc>
          <w:tcPr>
            <w:tcW w:w="3820" w:type="dxa"/>
            <w:vAlign w:val="bottom"/>
            <w:gridSpan w:val="2"/>
          </w:tcPr>
          <w:p>
            <w:pPr>
              <w:jc w:val="center"/>
              <w:ind w:right="252"/>
              <w:spacing w:after="0"/>
              <w:rPr>
                <w:sz w:val="20"/>
                <w:szCs w:val="20"/>
                <w:color w:val="auto"/>
              </w:rPr>
            </w:pPr>
            <w:r>
              <w:rPr>
                <w:rFonts w:ascii="Courier New" w:cs="Courier New" w:eastAsia="Courier New" w:hAnsi="Courier New"/>
                <w:sz w:val="18"/>
                <w:szCs w:val="18"/>
                <w:color w:val="auto"/>
                <w:w w:val="97"/>
              </w:rPr>
              <w:t>Retained</w:t>
            </w:r>
          </w:p>
        </w:tc>
        <w:tc>
          <w:tcPr>
            <w:tcW w:w="8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51,068</w:t>
            </w:r>
          </w:p>
        </w:tc>
        <w:tc>
          <w:tcPr>
            <w:tcW w:w="0" w:type="dxa"/>
            <w:vAlign w:val="bottom"/>
          </w:tcPr>
          <w:p>
            <w:pPr>
              <w:spacing w:after="0"/>
              <w:rPr>
                <w:sz w:val="1"/>
                <w:szCs w:val="1"/>
                <w:color w:val="auto"/>
              </w:rPr>
            </w:pPr>
          </w:p>
        </w:tc>
      </w:tr>
      <w:tr>
        <w:trPr>
          <w:trHeight w:val="109"/>
        </w:trPr>
        <w:tc>
          <w:tcPr>
            <w:tcW w:w="1200" w:type="dxa"/>
            <w:vAlign w:val="bottom"/>
            <w:vMerge w:val="continue"/>
          </w:tcPr>
          <w:p>
            <w:pPr>
              <w:jc w:val="right"/>
              <w:spacing w:after="0" w:line="109" w:lineRule="exact"/>
              <w:rPr>
                <w:sz w:val="20"/>
                <w:szCs w:val="20"/>
                <w:color w:val="auto"/>
              </w:rPr>
            </w:pPr>
            <w:r>
              <w:rPr>
                <w:rFonts w:ascii="Courier New" w:cs="Courier New" w:eastAsia="Courier New" w:hAnsi="Courier New"/>
                <w:sz w:val="12"/>
                <w:szCs w:val="12"/>
                <w:color w:val="auto"/>
              </w:rPr>
              <w:t>-------</w:t>
            </w:r>
          </w:p>
        </w:tc>
        <w:tc>
          <w:tcPr>
            <w:tcW w:w="3820" w:type="dxa"/>
            <w:vAlign w:val="bottom"/>
            <w:gridSpan w:val="2"/>
            <w:vMerge w:val="restart"/>
          </w:tcPr>
          <w:p>
            <w:pPr>
              <w:jc w:val="right"/>
              <w:ind w:right="832"/>
              <w:spacing w:after="0"/>
              <w:rPr>
                <w:sz w:val="20"/>
                <w:szCs w:val="20"/>
                <w:color w:val="auto"/>
              </w:rPr>
            </w:pPr>
            <w:r>
              <w:rPr>
                <w:rFonts w:ascii="Courier New" w:cs="Courier New" w:eastAsia="Courier New" w:hAnsi="Courier New"/>
                <w:sz w:val="18"/>
                <w:szCs w:val="18"/>
                <w:color w:val="auto"/>
              </w:rPr>
              <w:t>------- 191,197 103,228</w:t>
            </w: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1200" w:type="dxa"/>
            <w:vAlign w:val="bottom"/>
          </w:tcPr>
          <w:p>
            <w:pPr>
              <w:jc w:val="right"/>
              <w:ind w:right="416"/>
              <w:spacing w:after="0" w:line="203" w:lineRule="exact"/>
              <w:rPr>
                <w:sz w:val="20"/>
                <w:szCs w:val="20"/>
                <w:color w:val="auto"/>
              </w:rPr>
            </w:pPr>
            <w:r>
              <w:rPr>
                <w:rFonts w:ascii="Courier New" w:cs="Courier New" w:eastAsia="Courier New" w:hAnsi="Courier New"/>
                <w:sz w:val="18"/>
                <w:szCs w:val="18"/>
                <w:color w:val="auto"/>
              </w:rPr>
              <w:t>35,774</w:t>
            </w:r>
          </w:p>
        </w:tc>
        <w:tc>
          <w:tcPr>
            <w:tcW w:w="3820" w:type="dxa"/>
            <w:vAlign w:val="bottom"/>
            <w:gridSpan w:val="2"/>
            <w:vMerge w:val="continue"/>
          </w:tcPr>
          <w:p>
            <w:pPr>
              <w:jc w:val="right"/>
              <w:spacing w:after="0" w:line="178"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96"/>
        </w:trPr>
        <w:tc>
          <w:tcPr>
            <w:tcW w:w="120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Courier New" w:cs="Courier New" w:eastAsia="Courier New" w:hAnsi="Courier New"/>
                <w:sz w:val="18"/>
                <w:szCs w:val="18"/>
                <w:color w:val="auto"/>
              </w:rPr>
              <w:t>464,260 370,862</w:t>
            </w:r>
          </w:p>
        </w:tc>
        <w:tc>
          <w:tcPr>
            <w:tcW w:w="2080" w:type="dxa"/>
            <w:vAlign w:val="bottom"/>
          </w:tcPr>
          <w:p>
            <w:pPr>
              <w:ind w:left="60"/>
              <w:spacing w:after="0"/>
              <w:rPr>
                <w:sz w:val="20"/>
                <w:szCs w:val="20"/>
                <w:color w:val="auto"/>
              </w:rPr>
            </w:pPr>
            <w:r>
              <w:rPr>
                <w:rFonts w:ascii="Courier New" w:cs="Courier New" w:eastAsia="Courier New" w:hAnsi="Courier New"/>
                <w:sz w:val="18"/>
                <w:szCs w:val="18"/>
                <w:color w:val="auto"/>
              </w:rPr>
              <w:t>======= =======</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The accompanying notes are an integral part of the financial statements.</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ON BEHALF OF THE BOARD OF DIRECTORS:</w:t>
      </w:r>
    </w:p>
    <w:p>
      <w:pPr>
        <w:spacing w:after="0" w:line="201" w:lineRule="exact"/>
        <w:rPr>
          <w:sz w:val="20"/>
          <w:szCs w:val="20"/>
          <w:color w:val="auto"/>
        </w:rPr>
      </w:pPr>
    </w:p>
    <w:p>
      <w:pPr>
        <w:ind w:left="220" w:hanging="212"/>
        <w:spacing w:after="0"/>
        <w:tabs>
          <w:tab w:leader="none" w:pos="220"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Director</w:t>
      </w:r>
    </w:p>
    <w:p>
      <w:pPr>
        <w:spacing w:after="0" w:line="201" w:lineRule="exact"/>
        <w:rPr>
          <w:rFonts w:ascii="Courier New" w:cs="Courier New" w:eastAsia="Courier New" w:hAnsi="Courier New"/>
          <w:sz w:val="18"/>
          <w:szCs w:val="18"/>
          <w:color w:val="auto"/>
        </w:rPr>
      </w:pPr>
    </w:p>
    <w:p>
      <w:pPr>
        <w:ind w:left="4120" w:right="3359" w:hanging="4112"/>
        <w:spacing w:after="0" w:line="585" w:lineRule="auto"/>
        <w:tabs>
          <w:tab w:leader="none" w:pos="222"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Director F-42</w:t>
      </w:r>
    </w:p>
    <w:p>
      <w:pPr>
        <w:sectPr>
          <w:pgSz w:w="11900" w:h="16838" w:orient="portrait"/>
          <w:cols w:equalWidth="0" w:num="1">
            <w:col w:w="10219"/>
          </w:cols>
          <w:pgMar w:left="240" w:top="691" w:right="1440" w:bottom="1440" w:gutter="0" w:footer="0" w:header="0"/>
        </w:sectPr>
      </w:pPr>
    </w:p>
    <w:bookmarkStart w:id="127" w:name="page128"/>
    <w:bookmarkEnd w:id="127"/>
    <w:tbl>
      <w:tblPr>
        <w:tblLayout w:type="fixed"/>
        <w:tblInd w:w="280" w:type="dxa"/>
        <w:tblCellMar>
          <w:top w:w="0" w:type="dxa"/>
          <w:left w:w="0" w:type="dxa"/>
          <w:bottom w:w="0" w:type="dxa"/>
          <w:right w:w="0" w:type="dxa"/>
        </w:tblCellMar>
      </w:tblPr>
      <w:tr>
        <w:trPr>
          <w:trHeight w:val="296"/>
        </w:trPr>
        <w:tc>
          <w:tcPr>
            <w:tcW w:w="1000" w:type="dxa"/>
            <w:vAlign w:val="bottom"/>
          </w:tcPr>
          <w:p>
            <w:pPr>
              <w:spacing w:after="0"/>
              <w:rPr>
                <w:sz w:val="24"/>
                <w:szCs w:val="24"/>
                <w:color w:val="auto"/>
              </w:rPr>
            </w:pPr>
          </w:p>
        </w:tc>
        <w:tc>
          <w:tcPr>
            <w:tcW w:w="3000" w:type="dxa"/>
            <w:vAlign w:val="bottom"/>
          </w:tcPr>
          <w:p>
            <w:pPr>
              <w:jc w:val="right"/>
              <w:spacing w:after="0"/>
              <w:rPr>
                <w:sz w:val="20"/>
                <w:szCs w:val="20"/>
                <w:color w:val="auto"/>
              </w:rPr>
            </w:pPr>
            <w:r>
              <w:rPr>
                <w:rFonts w:ascii="Courier New" w:cs="Courier New" w:eastAsia="Courier New" w:hAnsi="Courier New"/>
                <w:sz w:val="18"/>
                <w:szCs w:val="18"/>
                <w:color w:val="auto"/>
              </w:rPr>
              <w:t>CERTEN</w:t>
            </w:r>
          </w:p>
        </w:tc>
        <w:tc>
          <w:tcPr>
            <w:tcW w:w="2680" w:type="dxa"/>
            <w:vAlign w:val="bottom"/>
          </w:tcPr>
          <w:p>
            <w:pPr>
              <w:ind w:left="40"/>
              <w:spacing w:after="0"/>
              <w:rPr>
                <w:sz w:val="20"/>
                <w:szCs w:val="20"/>
                <w:color w:val="auto"/>
              </w:rPr>
            </w:pPr>
            <w:r>
              <w:rPr>
                <w:rFonts w:ascii="Courier New" w:cs="Courier New" w:eastAsia="Courier New" w:hAnsi="Courier New"/>
                <w:sz w:val="18"/>
                <w:szCs w:val="18"/>
                <w:color w:val="auto"/>
              </w:rPr>
              <w:t>INC.</w:t>
            </w:r>
          </w:p>
        </w:tc>
      </w:tr>
      <w:tr>
        <w:trPr>
          <w:trHeight w:val="311"/>
        </w:trPr>
        <w:tc>
          <w:tcPr>
            <w:tcW w:w="1000" w:type="dxa"/>
            <w:vAlign w:val="bottom"/>
          </w:tcPr>
          <w:p>
            <w:pPr>
              <w:spacing w:after="0"/>
              <w:rPr>
                <w:sz w:val="24"/>
                <w:szCs w:val="24"/>
                <w:color w:val="auto"/>
              </w:rPr>
            </w:pPr>
          </w:p>
        </w:tc>
        <w:tc>
          <w:tcPr>
            <w:tcW w:w="5680" w:type="dxa"/>
            <w:vAlign w:val="bottom"/>
            <w:gridSpan w:val="2"/>
          </w:tcPr>
          <w:p>
            <w:pPr>
              <w:ind w:left="200"/>
              <w:spacing w:after="0"/>
              <w:rPr>
                <w:sz w:val="20"/>
                <w:szCs w:val="20"/>
                <w:color w:val="auto"/>
              </w:rPr>
            </w:pPr>
            <w:r>
              <w:rPr>
                <w:rFonts w:ascii="Courier New" w:cs="Courier New" w:eastAsia="Courier New" w:hAnsi="Courier New"/>
                <w:sz w:val="18"/>
                <w:szCs w:val="18"/>
                <w:color w:val="auto"/>
                <w:w w:val="97"/>
              </w:rPr>
              <w:t>STATEMENT OF CASH FLOWS YEAR ENDED DECEMBER 31, 2002</w:t>
            </w:r>
          </w:p>
        </w:tc>
      </w:tr>
      <w:tr>
        <w:trPr>
          <w:trHeight w:val="296"/>
        </w:trPr>
        <w:tc>
          <w:tcPr>
            <w:tcW w:w="1000" w:type="dxa"/>
            <w:vAlign w:val="bottom"/>
          </w:tcPr>
          <w:p>
            <w:pPr>
              <w:spacing w:after="0"/>
              <w:rPr>
                <w:sz w:val="24"/>
                <w:szCs w:val="24"/>
                <w:color w:val="auto"/>
              </w:rPr>
            </w:pPr>
          </w:p>
        </w:tc>
        <w:tc>
          <w:tcPr>
            <w:tcW w:w="3000" w:type="dxa"/>
            <w:vAlign w:val="bottom"/>
          </w:tcPr>
          <w:p>
            <w:pPr>
              <w:jc w:val="right"/>
              <w:spacing w:after="0"/>
              <w:rPr>
                <w:sz w:val="20"/>
                <w:szCs w:val="20"/>
                <w:color w:val="auto"/>
              </w:rPr>
            </w:pPr>
            <w:r>
              <w:rPr>
                <w:rFonts w:ascii="Courier New" w:cs="Courier New" w:eastAsia="Courier New" w:hAnsi="Courier New"/>
                <w:sz w:val="18"/>
                <w:szCs w:val="18"/>
                <w:color w:val="auto"/>
              </w:rPr>
              <w:t>(IN THOUSANDS</w:t>
            </w:r>
          </w:p>
        </w:tc>
        <w:tc>
          <w:tcPr>
            <w:tcW w:w="2680" w:type="dxa"/>
            <w:vAlign w:val="bottom"/>
          </w:tcPr>
          <w:p>
            <w:pPr>
              <w:ind w:left="40"/>
              <w:spacing w:after="0"/>
              <w:rPr>
                <w:sz w:val="20"/>
                <w:szCs w:val="20"/>
                <w:color w:val="auto"/>
              </w:rPr>
            </w:pPr>
            <w:r>
              <w:rPr>
                <w:rFonts w:ascii="Courier New" w:cs="Courier New" w:eastAsia="Courier New" w:hAnsi="Courier New"/>
                <w:sz w:val="18"/>
                <w:szCs w:val="18"/>
                <w:color w:val="auto"/>
              </w:rPr>
              <w:t>OF DOLLARS)</w:t>
            </w:r>
          </w:p>
        </w:tc>
      </w:tr>
      <w:tr>
        <w:trPr>
          <w:trHeight w:val="343"/>
        </w:trPr>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w w:val="94"/>
              </w:rPr>
              <w:t>2002 2001</w:t>
            </w:r>
          </w:p>
        </w:tc>
        <w:tc>
          <w:tcPr>
            <w:tcW w:w="56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 ----------- (12 MONTHS) (11</w:t>
            </w:r>
          </w:p>
        </w:tc>
      </w:tr>
    </w:tbl>
    <w:p>
      <w:pPr>
        <w:jc w:val="center"/>
        <w:ind w:right="4519"/>
        <w:spacing w:after="0" w:line="238" w:lineRule="auto"/>
        <w:rPr>
          <w:sz w:val="20"/>
          <w:szCs w:val="20"/>
          <w:color w:val="auto"/>
        </w:rPr>
      </w:pPr>
      <w:r>
        <w:rPr>
          <w:rFonts w:ascii="Courier New" w:cs="Courier New" w:eastAsia="Courier New" w:hAnsi="Courier New"/>
          <w:sz w:val="18"/>
          <w:szCs w:val="18"/>
          <w:color w:val="auto"/>
        </w:rPr>
        <w:t>MONTHS) $ $ OPERATING ACTIVITIES Net</w:t>
      </w:r>
    </w:p>
    <w:p>
      <w:pPr>
        <w:spacing w:after="0"/>
        <w:rPr>
          <w:sz w:val="20"/>
          <w:szCs w:val="20"/>
          <w:color w:val="auto"/>
        </w:rPr>
      </w:pPr>
      <w:r>
        <w:rPr>
          <w:rFonts w:ascii="Courier New" w:cs="Courier New" w:eastAsia="Courier New" w:hAnsi="Courier New"/>
          <w:sz w:val="18"/>
          <w:szCs w:val="18"/>
          <w:color w:val="auto"/>
        </w:rPr>
        <w:t>earnings..............................................</w:t>
      </w:r>
    </w:p>
    <w:p>
      <w:pPr>
        <w:ind w:left="120"/>
        <w:spacing w:after="0" w:line="238" w:lineRule="auto"/>
        <w:rPr>
          <w:sz w:val="20"/>
          <w:szCs w:val="20"/>
          <w:color w:val="auto"/>
        </w:rPr>
      </w:pPr>
      <w:r>
        <w:rPr>
          <w:rFonts w:ascii="Courier New" w:cs="Courier New" w:eastAsia="Courier New" w:hAnsi="Courier New"/>
          <w:sz w:val="18"/>
          <w:szCs w:val="18"/>
          <w:color w:val="auto"/>
        </w:rPr>
        <w:t>15,294 36,774 Adjustments for: Amortization (Notes 4</w:t>
      </w:r>
    </w:p>
    <w:tbl>
      <w:tblPr>
        <w:tblLayout w:type="fixed"/>
        <w:tblInd w:w="60" w:type="dxa"/>
        <w:tblCellMar>
          <w:top w:w="0" w:type="dxa"/>
          <w:left w:w="0" w:type="dxa"/>
          <w:bottom w:w="0" w:type="dxa"/>
          <w:right w:w="0" w:type="dxa"/>
        </w:tblCellMar>
      </w:tblPr>
      <w:tr>
        <w:trPr>
          <w:trHeight w:val="171"/>
        </w:trPr>
        <w:tc>
          <w:tcPr>
            <w:tcW w:w="2360" w:type="dxa"/>
            <w:vAlign w:val="bottom"/>
            <w:gridSpan w:val="2"/>
          </w:tcPr>
          <w:p>
            <w:pPr>
              <w:ind w:left="320"/>
              <w:spacing w:after="0"/>
              <w:rPr>
                <w:sz w:val="20"/>
                <w:szCs w:val="20"/>
                <w:color w:val="auto"/>
              </w:rPr>
            </w:pPr>
            <w:r>
              <w:rPr>
                <w:rFonts w:ascii="Courier New" w:cs="Courier New" w:eastAsia="Courier New" w:hAnsi="Courier New"/>
                <w:sz w:val="14"/>
                <w:szCs w:val="14"/>
                <w:color w:val="auto"/>
                <w:w w:val="72"/>
              </w:rPr>
              <w:t>and 5)...........................</w:t>
            </w:r>
          </w:p>
        </w:tc>
        <w:tc>
          <w:tcPr>
            <w:tcW w:w="3220" w:type="dxa"/>
            <w:vAlign w:val="bottom"/>
            <w:gridSpan w:val="2"/>
          </w:tcPr>
          <w:p>
            <w:pPr>
              <w:jc w:val="right"/>
              <w:ind w:right="232"/>
              <w:spacing w:after="0" w:line="171" w:lineRule="exact"/>
              <w:rPr>
                <w:sz w:val="20"/>
                <w:szCs w:val="20"/>
                <w:color w:val="auto"/>
              </w:rPr>
            </w:pPr>
            <w:r>
              <w:rPr>
                <w:rFonts w:ascii="Courier New" w:cs="Courier New" w:eastAsia="Courier New" w:hAnsi="Courier New"/>
                <w:sz w:val="18"/>
                <w:szCs w:val="18"/>
                <w:color w:val="auto"/>
              </w:rPr>
              <w:t>60,518 18,234</w:t>
            </w:r>
          </w:p>
        </w:tc>
        <w:tc>
          <w:tcPr>
            <w:tcW w:w="0" w:type="dxa"/>
            <w:vAlign w:val="bottom"/>
          </w:tcPr>
          <w:p>
            <w:pPr>
              <w:spacing w:after="0"/>
              <w:rPr>
                <w:sz w:val="1"/>
                <w:szCs w:val="1"/>
                <w:color w:val="auto"/>
              </w:rPr>
            </w:pPr>
          </w:p>
        </w:tc>
      </w:tr>
      <w:tr>
        <w:trPr>
          <w:trHeight w:val="203"/>
        </w:trPr>
        <w:tc>
          <w:tcPr>
            <w:tcW w:w="558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Accretion on convertible debentures due to related</w:t>
            </w:r>
          </w:p>
        </w:tc>
        <w:tc>
          <w:tcPr>
            <w:tcW w:w="0" w:type="dxa"/>
            <w:vAlign w:val="bottom"/>
          </w:tcPr>
          <w:p>
            <w:pPr>
              <w:spacing w:after="0"/>
              <w:rPr>
                <w:sz w:val="1"/>
                <w:szCs w:val="1"/>
                <w:color w:val="auto"/>
              </w:rPr>
            </w:pPr>
          </w:p>
        </w:tc>
      </w:tr>
      <w:tr>
        <w:trPr>
          <w:trHeight w:val="296"/>
        </w:trPr>
        <w:tc>
          <w:tcPr>
            <w:tcW w:w="1680" w:type="dxa"/>
            <w:vAlign w:val="bottom"/>
            <w:vMerge w:val="restart"/>
          </w:tcPr>
          <w:p>
            <w:pPr>
              <w:jc w:val="right"/>
              <w:spacing w:after="0"/>
              <w:rPr>
                <w:sz w:val="20"/>
                <w:szCs w:val="20"/>
                <w:color w:val="auto"/>
              </w:rPr>
            </w:pPr>
            <w:r>
              <w:rPr>
                <w:rFonts w:ascii="Courier New" w:cs="Courier New" w:eastAsia="Courier New" w:hAnsi="Courier New"/>
                <w:sz w:val="4"/>
                <w:szCs w:val="4"/>
                <w:color w:val="auto"/>
                <w:w w:val="76"/>
              </w:rPr>
              <w:t>9)........................................</w:t>
            </w:r>
            <w:r>
              <w:rPr>
                <w:rFonts w:ascii="Courier New" w:cs="Courier New" w:eastAsia="Courier New" w:hAnsi="Courier New"/>
                <w:sz w:val="8"/>
                <w:szCs w:val="8"/>
                <w:color w:val="auto"/>
                <w:w w:val="76"/>
                <w:vertAlign w:val="subscript"/>
              </w:rPr>
              <w:t>....................................</w:t>
            </w:r>
          </w:p>
        </w:tc>
        <w:tc>
          <w:tcPr>
            <w:tcW w:w="2900" w:type="dxa"/>
            <w:vAlign w:val="bottom"/>
            <w:gridSpan w:val="2"/>
          </w:tcPr>
          <w:p>
            <w:pPr>
              <w:jc w:val="center"/>
              <w:ind w:right="572"/>
              <w:spacing w:after="0"/>
              <w:rPr>
                <w:sz w:val="20"/>
                <w:szCs w:val="20"/>
                <w:color w:val="auto"/>
              </w:rPr>
            </w:pPr>
            <w:r>
              <w:rPr>
                <w:rFonts w:ascii="Courier New" w:cs="Courier New" w:eastAsia="Courier New" w:hAnsi="Courier New"/>
                <w:sz w:val="18"/>
                <w:szCs w:val="18"/>
                <w:color w:val="auto"/>
                <w:w w:val="97"/>
              </w:rPr>
              <w:t>party (Note</w:t>
            </w:r>
          </w:p>
        </w:tc>
        <w:tc>
          <w:tcPr>
            <w:tcW w:w="10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6"/>
              </w:rPr>
              <w:t>5,457 908</w:t>
            </w:r>
          </w:p>
        </w:tc>
        <w:tc>
          <w:tcPr>
            <w:tcW w:w="0" w:type="dxa"/>
            <w:vAlign w:val="bottom"/>
          </w:tcPr>
          <w:p>
            <w:pPr>
              <w:spacing w:after="0"/>
              <w:rPr>
                <w:sz w:val="1"/>
                <w:szCs w:val="1"/>
                <w:color w:val="auto"/>
              </w:rPr>
            </w:pPr>
          </w:p>
        </w:tc>
      </w:tr>
      <w:tr>
        <w:trPr>
          <w:trHeight w:val="287"/>
        </w:trPr>
        <w:tc>
          <w:tcPr>
            <w:tcW w:w="1680" w:type="dxa"/>
            <w:vAlign w:val="bottom"/>
            <w:vMerge w:val="continue"/>
          </w:tcPr>
          <w:p>
            <w:pPr>
              <w:spacing w:after="0"/>
              <w:rPr>
                <w:sz w:val="24"/>
                <w:szCs w:val="24"/>
                <w:color w:val="auto"/>
              </w:rPr>
            </w:pPr>
          </w:p>
        </w:tc>
        <w:tc>
          <w:tcPr>
            <w:tcW w:w="2900" w:type="dxa"/>
            <w:vAlign w:val="bottom"/>
            <w:gridSpan w:val="2"/>
            <w:vMerge w:val="restart"/>
          </w:tcPr>
          <w:p>
            <w:pPr>
              <w:jc w:val="center"/>
              <w:ind w:right="592"/>
              <w:spacing w:after="0"/>
              <w:rPr>
                <w:sz w:val="20"/>
                <w:szCs w:val="20"/>
                <w:color w:val="auto"/>
              </w:rPr>
            </w:pPr>
            <w:r>
              <w:rPr>
                <w:rFonts w:ascii="Courier New" w:cs="Courier New" w:eastAsia="Courier New" w:hAnsi="Courier New"/>
                <w:sz w:val="18"/>
                <w:szCs w:val="18"/>
                <w:color w:val="auto"/>
                <w:w w:val="98"/>
              </w:rPr>
              <w:t>Future income</w:t>
            </w:r>
          </w:p>
        </w:tc>
        <w:tc>
          <w:tcPr>
            <w:tcW w:w="10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68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taxes</w:t>
            </w:r>
          </w:p>
        </w:tc>
        <w:tc>
          <w:tcPr>
            <w:tcW w:w="2900" w:type="dxa"/>
            <w:vAlign w:val="bottom"/>
            <w:gridSpan w:val="2"/>
            <w:vMerge w:val="continue"/>
          </w:tcPr>
          <w:p>
            <w:pPr>
              <w:spacing w:after="0"/>
              <w:rPr>
                <w:sz w:val="10"/>
                <w:szCs w:val="10"/>
                <w:color w:val="auto"/>
              </w:rPr>
            </w:pPr>
          </w:p>
        </w:tc>
        <w:tc>
          <w:tcPr>
            <w:tcW w:w="100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14,247</w:t>
            </w:r>
          </w:p>
        </w:tc>
        <w:tc>
          <w:tcPr>
            <w:tcW w:w="0" w:type="dxa"/>
            <w:vAlign w:val="bottom"/>
          </w:tcPr>
          <w:p>
            <w:pPr>
              <w:spacing w:after="0"/>
              <w:rPr>
                <w:sz w:val="1"/>
                <w:szCs w:val="1"/>
                <w:color w:val="auto"/>
              </w:rPr>
            </w:pPr>
          </w:p>
        </w:tc>
      </w:tr>
      <w:tr>
        <w:trPr>
          <w:trHeight w:val="109"/>
        </w:trPr>
        <w:tc>
          <w:tcPr>
            <w:tcW w:w="1680" w:type="dxa"/>
            <w:vAlign w:val="bottom"/>
            <w:vMerge w:val="continue"/>
          </w:tcPr>
          <w:p>
            <w:pPr>
              <w:spacing w:after="0"/>
              <w:rPr>
                <w:sz w:val="9"/>
                <w:szCs w:val="9"/>
                <w:color w:val="auto"/>
              </w:rPr>
            </w:pPr>
          </w:p>
        </w:tc>
        <w:tc>
          <w:tcPr>
            <w:tcW w:w="680" w:type="dxa"/>
            <w:vAlign w:val="bottom"/>
          </w:tcPr>
          <w:p>
            <w:pPr>
              <w:spacing w:after="0"/>
              <w:rPr>
                <w:sz w:val="9"/>
                <w:szCs w:val="9"/>
                <w:color w:val="auto"/>
              </w:rPr>
            </w:pPr>
          </w:p>
        </w:tc>
        <w:tc>
          <w:tcPr>
            <w:tcW w:w="222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558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14,473 Net benefit plans expense (Note</w:t>
            </w:r>
          </w:p>
        </w:tc>
        <w:tc>
          <w:tcPr>
            <w:tcW w:w="0" w:type="dxa"/>
            <w:vAlign w:val="bottom"/>
          </w:tcPr>
          <w:p>
            <w:pPr>
              <w:spacing w:after="0"/>
              <w:rPr>
                <w:sz w:val="1"/>
                <w:szCs w:val="1"/>
                <w:color w:val="auto"/>
              </w:rPr>
            </w:pPr>
          </w:p>
        </w:tc>
      </w:tr>
      <w:tr>
        <w:trPr>
          <w:trHeight w:val="203"/>
        </w:trPr>
        <w:tc>
          <w:tcPr>
            <w:tcW w:w="23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85"/>
              </w:rPr>
              <w:t>6).....................</w:t>
            </w:r>
          </w:p>
        </w:tc>
        <w:tc>
          <w:tcPr>
            <w:tcW w:w="32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2,233 1,900 Net change in</w:t>
            </w:r>
          </w:p>
        </w:tc>
        <w:tc>
          <w:tcPr>
            <w:tcW w:w="0" w:type="dxa"/>
            <w:vAlign w:val="bottom"/>
          </w:tcPr>
          <w:p>
            <w:pPr>
              <w:spacing w:after="0"/>
              <w:rPr>
                <w:sz w:val="1"/>
                <w:szCs w:val="1"/>
                <w:color w:val="auto"/>
              </w:rPr>
            </w:pPr>
          </w:p>
        </w:tc>
      </w:tr>
      <w:tr>
        <w:trPr>
          <w:trHeight w:val="203"/>
        </w:trPr>
        <w:tc>
          <w:tcPr>
            <w:tcW w:w="45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5"/>
              </w:rPr>
              <w:t>non-cash working capital items (Note 12)....</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15,556</w:t>
            </w:r>
          </w:p>
        </w:tc>
        <w:tc>
          <w:tcPr>
            <w:tcW w:w="0" w:type="dxa"/>
            <w:vAlign w:val="bottom"/>
          </w:tcPr>
          <w:p>
            <w:pPr>
              <w:spacing w:after="0"/>
              <w:rPr>
                <w:sz w:val="1"/>
                <w:szCs w:val="1"/>
                <w:color w:val="auto"/>
              </w:rPr>
            </w:pPr>
          </w:p>
        </w:tc>
      </w:tr>
      <w:tr>
        <w:trPr>
          <w:trHeight w:val="203"/>
        </w:trPr>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104,433 --------</w:t>
            </w:r>
          </w:p>
        </w:tc>
        <w:tc>
          <w:tcPr>
            <w:tcW w:w="2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0"/>
              </w:rPr>
              <w:t>-------- 113,305 176,722 --------</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1680" w:type="dxa"/>
            <w:vAlign w:val="bottom"/>
            <w:vMerge w:val="restart"/>
          </w:tcPr>
          <w:p>
            <w:pPr>
              <w:ind w:left="160"/>
              <w:spacing w:after="0"/>
              <w:rPr>
                <w:sz w:val="20"/>
                <w:szCs w:val="20"/>
                <w:color w:val="auto"/>
              </w:rPr>
            </w:pPr>
            <w:r>
              <w:rPr>
                <w:rFonts w:ascii="Courier New" w:cs="Courier New" w:eastAsia="Courier New" w:hAnsi="Courier New"/>
                <w:sz w:val="18"/>
                <w:szCs w:val="18"/>
                <w:color w:val="auto"/>
                <w:w w:val="70"/>
              </w:rPr>
              <w:t>expenditures</w:t>
            </w:r>
            <w:r>
              <w:rPr>
                <w:rFonts w:ascii="Courier New" w:cs="Courier New" w:eastAsia="Courier New" w:hAnsi="Courier New"/>
                <w:sz w:val="35"/>
                <w:szCs w:val="35"/>
                <w:color w:val="auto"/>
                <w:w w:val="70"/>
                <w:vertAlign w:val="superscript"/>
              </w:rPr>
              <w:t>------</w:t>
            </w:r>
          </w:p>
        </w:tc>
        <w:tc>
          <w:tcPr>
            <w:tcW w:w="3900" w:type="dxa"/>
            <w:vAlign w:val="bottom"/>
            <w:gridSpan w:val="3"/>
          </w:tcPr>
          <w:p>
            <w:pPr>
              <w:jc w:val="right"/>
              <w:ind w:right="852"/>
              <w:spacing w:after="0"/>
              <w:rPr>
                <w:sz w:val="20"/>
                <w:szCs w:val="20"/>
                <w:color w:val="auto"/>
              </w:rPr>
            </w:pPr>
            <w:r>
              <w:rPr>
                <w:rFonts w:ascii="Courier New" w:cs="Courier New" w:eastAsia="Courier New" w:hAnsi="Courier New"/>
                <w:sz w:val="18"/>
                <w:szCs w:val="18"/>
                <w:color w:val="auto"/>
                <w:w w:val="97"/>
              </w:rPr>
              <w:t>INVESTING ACTIVITIES Capital</w:t>
            </w:r>
          </w:p>
        </w:tc>
        <w:tc>
          <w:tcPr>
            <w:tcW w:w="0" w:type="dxa"/>
            <w:vAlign w:val="bottom"/>
          </w:tcPr>
          <w:p>
            <w:pPr>
              <w:spacing w:after="0"/>
              <w:rPr>
                <w:sz w:val="1"/>
                <w:szCs w:val="1"/>
                <w:color w:val="auto"/>
              </w:rPr>
            </w:pPr>
          </w:p>
        </w:tc>
      </w:tr>
      <w:tr>
        <w:trPr>
          <w:trHeight w:val="109"/>
        </w:trPr>
        <w:tc>
          <w:tcPr>
            <w:tcW w:w="2360" w:type="dxa"/>
            <w:vAlign w:val="bottom"/>
            <w:gridSpan w:val="2"/>
            <w:vMerge w:val="continue"/>
          </w:tcPr>
          <w:p>
            <w:pPr>
              <w:ind w:left="1420"/>
              <w:spacing w:after="0"/>
              <w:rPr>
                <w:sz w:val="20"/>
                <w:szCs w:val="20"/>
                <w:color w:val="auto"/>
              </w:rPr>
            </w:pPr>
            <w:r>
              <w:rPr>
                <w:rFonts w:ascii="Courier New" w:cs="Courier New" w:eastAsia="Courier New" w:hAnsi="Courier New"/>
                <w:sz w:val="5"/>
                <w:szCs w:val="5"/>
                <w:color w:val="auto"/>
                <w:w w:val="80"/>
              </w:rPr>
              <w:t>......................................</w:t>
            </w:r>
          </w:p>
        </w:tc>
        <w:tc>
          <w:tcPr>
            <w:tcW w:w="3220" w:type="dxa"/>
            <w:vAlign w:val="bottom"/>
            <w:gridSpan w:val="2"/>
            <w:vMerge w:val="restart"/>
          </w:tcPr>
          <w:p>
            <w:pPr>
              <w:jc w:val="right"/>
              <w:ind w:right="232"/>
              <w:spacing w:after="0"/>
              <w:rPr>
                <w:sz w:val="20"/>
                <w:szCs w:val="20"/>
                <w:color w:val="auto"/>
              </w:rPr>
            </w:pPr>
            <w:r>
              <w:rPr>
                <w:rFonts w:ascii="Courier New" w:cs="Courier New" w:eastAsia="Courier New" w:hAnsi="Courier New"/>
                <w:sz w:val="18"/>
                <w:szCs w:val="18"/>
                <w:color w:val="auto"/>
                <w:w w:val="98"/>
              </w:rPr>
              <w:t>-------- -------- FINANCING</w:t>
            </w:r>
          </w:p>
        </w:tc>
        <w:tc>
          <w:tcPr>
            <w:tcW w:w="0" w:type="dxa"/>
            <w:vAlign w:val="bottom"/>
          </w:tcPr>
          <w:p>
            <w:pPr>
              <w:spacing w:after="0"/>
              <w:rPr>
                <w:sz w:val="1"/>
                <w:szCs w:val="1"/>
                <w:color w:val="auto"/>
              </w:rPr>
            </w:pPr>
          </w:p>
        </w:tc>
      </w:tr>
      <w:tr>
        <w:trPr>
          <w:trHeight w:val="296"/>
        </w:trPr>
        <w:tc>
          <w:tcPr>
            <w:tcW w:w="2360" w:type="dxa"/>
            <w:vAlign w:val="bottom"/>
            <w:gridSpan w:val="2"/>
          </w:tcPr>
          <w:p>
            <w:pPr>
              <w:ind w:left="320"/>
              <w:spacing w:after="0"/>
              <w:rPr>
                <w:sz w:val="20"/>
                <w:szCs w:val="20"/>
                <w:color w:val="auto"/>
              </w:rPr>
            </w:pPr>
            <w:r>
              <w:rPr>
                <w:rFonts w:ascii="Courier New" w:cs="Courier New" w:eastAsia="Courier New" w:hAnsi="Courier New"/>
                <w:sz w:val="18"/>
                <w:szCs w:val="18"/>
                <w:color w:val="auto"/>
                <w:w w:val="98"/>
              </w:rPr>
              <w:t>(208,259) (154,920)</w:t>
            </w:r>
          </w:p>
        </w:tc>
        <w:tc>
          <w:tcPr>
            <w:tcW w:w="322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08" w:lineRule="exact"/>
        <w:rPr>
          <w:sz w:val="20"/>
          <w:szCs w:val="20"/>
          <w:color w:val="auto"/>
        </w:rPr>
      </w:pPr>
    </w:p>
    <w:tbl>
      <w:tblPr>
        <w:tblLayout w:type="fixed"/>
        <w:tblInd w:w="60" w:type="dxa"/>
        <w:tblCellMar>
          <w:top w:w="0" w:type="dxa"/>
          <w:left w:w="0" w:type="dxa"/>
          <w:bottom w:w="0" w:type="dxa"/>
          <w:right w:w="0" w:type="dxa"/>
        </w:tblCellMar>
      </w:tblPr>
      <w:tr>
        <w:trPr>
          <w:trHeight w:val="204"/>
        </w:trPr>
        <w:tc>
          <w:tcPr>
            <w:tcW w:w="1840" w:type="dxa"/>
            <w:vAlign w:val="bottom"/>
          </w:tcPr>
          <w:p>
            <w:pPr>
              <w:jc w:val="right"/>
              <w:spacing w:after="0"/>
              <w:rPr>
                <w:sz w:val="20"/>
                <w:szCs w:val="20"/>
                <w:color w:val="auto"/>
              </w:rPr>
            </w:pPr>
            <w:r>
              <w:rPr>
                <w:rFonts w:ascii="Courier New" w:cs="Courier New" w:eastAsia="Courier New" w:hAnsi="Courier New"/>
                <w:sz w:val="18"/>
                <w:szCs w:val="18"/>
                <w:color w:val="auto"/>
              </w:rPr>
              <w:t>related party...</w:t>
            </w:r>
          </w:p>
        </w:tc>
        <w:tc>
          <w:tcPr>
            <w:tcW w:w="374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33,859 30,963 Issuance of common</w:t>
            </w:r>
          </w:p>
        </w:tc>
        <w:tc>
          <w:tcPr>
            <w:tcW w:w="0" w:type="dxa"/>
            <w:vAlign w:val="bottom"/>
          </w:tcPr>
          <w:p>
            <w:pPr>
              <w:spacing w:after="0"/>
              <w:rPr>
                <w:sz w:val="1"/>
                <w:szCs w:val="1"/>
                <w:color w:val="auto"/>
              </w:rPr>
            </w:pPr>
          </w:p>
        </w:tc>
      </w:tr>
      <w:tr>
        <w:trPr>
          <w:trHeight w:val="203"/>
        </w:trPr>
        <w:tc>
          <w:tcPr>
            <w:tcW w:w="3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5"/>
              </w:rPr>
              <w:t>shares (Note 11).......................</w:t>
            </w:r>
          </w:p>
        </w:tc>
        <w:tc>
          <w:tcPr>
            <w:tcW w:w="2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47,241 4,928</w:t>
            </w:r>
          </w:p>
        </w:tc>
        <w:tc>
          <w:tcPr>
            <w:tcW w:w="0" w:type="dxa"/>
            <w:vAlign w:val="bottom"/>
          </w:tcPr>
          <w:p>
            <w:pPr>
              <w:spacing w:after="0"/>
              <w:rPr>
                <w:sz w:val="1"/>
                <w:szCs w:val="1"/>
                <w:color w:val="auto"/>
              </w:rPr>
            </w:pPr>
          </w:p>
        </w:tc>
      </w:tr>
      <w:tr>
        <w:trPr>
          <w:trHeight w:val="203"/>
        </w:trPr>
        <w:tc>
          <w:tcPr>
            <w:tcW w:w="1840" w:type="dxa"/>
            <w:vAlign w:val="bottom"/>
            <w:vMerge w:val="restart"/>
          </w:tcPr>
          <w:p>
            <w:pPr>
              <w:jc w:val="right"/>
              <w:spacing w:after="0"/>
              <w:rPr>
                <w:sz w:val="20"/>
                <w:szCs w:val="20"/>
                <w:color w:val="auto"/>
              </w:rPr>
            </w:pPr>
            <w:r>
              <w:rPr>
                <w:rFonts w:ascii="Courier New" w:cs="Courier New" w:eastAsia="Courier New" w:hAnsi="Courier New"/>
                <w:sz w:val="11"/>
                <w:szCs w:val="11"/>
                <w:color w:val="auto"/>
                <w:w w:val="70"/>
              </w:rPr>
              <w:t>leases.................................</w:t>
            </w:r>
          </w:p>
        </w:tc>
        <w:tc>
          <w:tcPr>
            <w:tcW w:w="3740" w:type="dxa"/>
            <w:vAlign w:val="bottom"/>
            <w:gridSpan w:val="2"/>
          </w:tcPr>
          <w:p>
            <w:pPr>
              <w:jc w:val="center"/>
              <w:ind w:right="1752"/>
              <w:spacing w:after="0" w:line="203" w:lineRule="exact"/>
              <w:rPr>
                <w:sz w:val="20"/>
                <w:szCs w:val="20"/>
                <w:color w:val="auto"/>
              </w:rPr>
            </w:pPr>
            <w:r>
              <w:rPr>
                <w:rFonts w:ascii="Courier New" w:cs="Courier New" w:eastAsia="Courier New" w:hAnsi="Courier New"/>
                <w:sz w:val="18"/>
                <w:szCs w:val="18"/>
                <w:color w:val="auto"/>
                <w:w w:val="97"/>
              </w:rPr>
              <w:t>Payment of capital</w:t>
            </w:r>
          </w:p>
        </w:tc>
        <w:tc>
          <w:tcPr>
            <w:tcW w:w="0" w:type="dxa"/>
            <w:vAlign w:val="bottom"/>
          </w:tcPr>
          <w:p>
            <w:pPr>
              <w:spacing w:after="0"/>
              <w:rPr>
                <w:sz w:val="1"/>
                <w:szCs w:val="1"/>
                <w:color w:val="auto"/>
              </w:rPr>
            </w:pPr>
          </w:p>
        </w:tc>
      </w:tr>
      <w:tr>
        <w:trPr>
          <w:trHeight w:val="203"/>
        </w:trPr>
        <w:tc>
          <w:tcPr>
            <w:tcW w:w="1840" w:type="dxa"/>
            <w:vAlign w:val="bottom"/>
            <w:vMerge w:val="continue"/>
          </w:tcPr>
          <w:p>
            <w:pPr>
              <w:spacing w:after="0"/>
              <w:rPr>
                <w:sz w:val="17"/>
                <w:szCs w:val="17"/>
                <w:color w:val="auto"/>
              </w:rPr>
            </w:pPr>
          </w:p>
        </w:tc>
        <w:tc>
          <w:tcPr>
            <w:tcW w:w="1380" w:type="dxa"/>
            <w:vAlign w:val="bottom"/>
          </w:tcPr>
          <w:p>
            <w:pPr>
              <w:spacing w:after="0"/>
              <w:rPr>
                <w:sz w:val="17"/>
                <w:szCs w:val="17"/>
                <w:color w:val="auto"/>
              </w:rPr>
            </w:pPr>
          </w:p>
        </w:tc>
        <w:tc>
          <w:tcPr>
            <w:tcW w:w="2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(10,249) -- -</w:t>
            </w:r>
          </w:p>
        </w:tc>
        <w:tc>
          <w:tcPr>
            <w:tcW w:w="0" w:type="dxa"/>
            <w:vAlign w:val="bottom"/>
          </w:tcPr>
          <w:p>
            <w:pPr>
              <w:spacing w:after="0"/>
              <w:rPr>
                <w:sz w:val="1"/>
                <w:szCs w:val="1"/>
                <w:color w:val="auto"/>
              </w:rPr>
            </w:pPr>
          </w:p>
        </w:tc>
      </w:tr>
      <w:tr>
        <w:trPr>
          <w:trHeight w:val="203"/>
        </w:trPr>
        <w:tc>
          <w:tcPr>
            <w:tcW w:w="3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 -------- 70,851 35,891</w:t>
            </w:r>
          </w:p>
        </w:tc>
        <w:tc>
          <w:tcPr>
            <w:tcW w:w="2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 Net</w:t>
            </w:r>
          </w:p>
        </w:tc>
        <w:tc>
          <w:tcPr>
            <w:tcW w:w="0" w:type="dxa"/>
            <w:vAlign w:val="bottom"/>
          </w:tcPr>
          <w:p>
            <w:pPr>
              <w:spacing w:after="0"/>
              <w:rPr>
                <w:sz w:val="1"/>
                <w:szCs w:val="1"/>
                <w:color w:val="auto"/>
              </w:rPr>
            </w:pPr>
          </w:p>
        </w:tc>
      </w:tr>
      <w:tr>
        <w:trPr>
          <w:trHeight w:val="203"/>
        </w:trPr>
        <w:tc>
          <w:tcPr>
            <w:tcW w:w="55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(decrease) increase in cash and cash</w:t>
            </w:r>
          </w:p>
        </w:tc>
        <w:tc>
          <w:tcPr>
            <w:tcW w:w="0" w:type="dxa"/>
            <w:vAlign w:val="bottom"/>
          </w:tcPr>
          <w:p>
            <w:pPr>
              <w:spacing w:after="0"/>
              <w:rPr>
                <w:sz w:val="1"/>
                <w:szCs w:val="1"/>
                <w:color w:val="auto"/>
              </w:rPr>
            </w:pPr>
          </w:p>
        </w:tc>
      </w:tr>
      <w:tr>
        <w:trPr>
          <w:trHeight w:val="203"/>
        </w:trPr>
        <w:tc>
          <w:tcPr>
            <w:tcW w:w="1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8"/>
              </w:rPr>
              <w:t>equivalents........</w:t>
            </w:r>
          </w:p>
        </w:tc>
        <w:tc>
          <w:tcPr>
            <w:tcW w:w="37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(24,103) 57,693 Cash and cash</w:t>
            </w:r>
          </w:p>
        </w:tc>
        <w:tc>
          <w:tcPr>
            <w:tcW w:w="0" w:type="dxa"/>
            <w:vAlign w:val="bottom"/>
          </w:tcPr>
          <w:p>
            <w:pPr>
              <w:spacing w:after="0"/>
              <w:rPr>
                <w:sz w:val="1"/>
                <w:szCs w:val="1"/>
                <w:color w:val="auto"/>
              </w:rPr>
            </w:pPr>
          </w:p>
        </w:tc>
      </w:tr>
      <w:tr>
        <w:trPr>
          <w:trHeight w:val="203"/>
        </w:trPr>
        <w:tc>
          <w:tcPr>
            <w:tcW w:w="32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2"/>
              </w:rPr>
              <w:t>equivalents, beginning of year................</w:t>
            </w:r>
          </w:p>
        </w:tc>
        <w:tc>
          <w:tcPr>
            <w:tcW w:w="2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57,693</w:t>
            </w:r>
          </w:p>
        </w:tc>
        <w:tc>
          <w:tcPr>
            <w:tcW w:w="0" w:type="dxa"/>
            <w:vAlign w:val="bottom"/>
          </w:tcPr>
          <w:p>
            <w:pPr>
              <w:spacing w:after="0"/>
              <w:rPr>
                <w:sz w:val="1"/>
                <w:szCs w:val="1"/>
                <w:color w:val="auto"/>
              </w:rPr>
            </w:pPr>
          </w:p>
        </w:tc>
      </w:tr>
      <w:tr>
        <w:trPr>
          <w:trHeight w:val="203"/>
        </w:trPr>
        <w:tc>
          <w:tcPr>
            <w:tcW w:w="55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 -------- -------- CASH AND CASH EQUIVALENTS, END</w:t>
            </w:r>
          </w:p>
        </w:tc>
        <w:tc>
          <w:tcPr>
            <w:tcW w:w="0" w:type="dxa"/>
            <w:vAlign w:val="bottom"/>
          </w:tcPr>
          <w:p>
            <w:pPr>
              <w:spacing w:after="0"/>
              <w:rPr>
                <w:sz w:val="1"/>
                <w:szCs w:val="1"/>
                <w:color w:val="auto"/>
              </w:rPr>
            </w:pPr>
          </w:p>
        </w:tc>
      </w:tr>
      <w:tr>
        <w:trPr>
          <w:trHeight w:val="296"/>
        </w:trPr>
        <w:tc>
          <w:tcPr>
            <w:tcW w:w="1840" w:type="dxa"/>
            <w:vAlign w:val="bottom"/>
          </w:tcPr>
          <w:p>
            <w:pPr>
              <w:jc w:val="right"/>
              <w:spacing w:after="0"/>
              <w:rPr>
                <w:sz w:val="20"/>
                <w:szCs w:val="20"/>
                <w:color w:val="auto"/>
              </w:rPr>
            </w:pPr>
            <w:r>
              <w:rPr>
                <w:rFonts w:ascii="Courier New" w:cs="Courier New" w:eastAsia="Courier New" w:hAnsi="Courier New"/>
                <w:sz w:val="18"/>
                <w:szCs w:val="18"/>
                <w:color w:val="auto"/>
                <w:w w:val="99"/>
              </w:rPr>
              <w:t>OF YEAR (Note 12)</w:t>
            </w:r>
          </w:p>
        </w:tc>
        <w:tc>
          <w:tcPr>
            <w:tcW w:w="13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73"/>
              </w:rPr>
              <w:t>............</w:t>
            </w:r>
            <w:r>
              <w:rPr>
                <w:rFonts w:ascii="Courier New" w:cs="Courier New" w:eastAsia="Courier New" w:hAnsi="Courier New"/>
                <w:sz w:val="26"/>
                <w:szCs w:val="26"/>
                <w:color w:val="auto"/>
                <w:w w:val="73"/>
                <w:vertAlign w:val="subscript"/>
              </w:rPr>
              <w:t>========</w:t>
            </w:r>
          </w:p>
        </w:tc>
        <w:tc>
          <w:tcPr>
            <w:tcW w:w="2360" w:type="dxa"/>
            <w:vAlign w:val="bottom"/>
          </w:tcPr>
          <w:p>
            <w:pPr>
              <w:jc w:val="right"/>
              <w:spacing w:after="0"/>
              <w:rPr>
                <w:sz w:val="20"/>
                <w:szCs w:val="20"/>
                <w:color w:val="auto"/>
              </w:rPr>
            </w:pPr>
            <w:r>
              <w:rPr>
                <w:rFonts w:ascii="Courier New" w:cs="Courier New" w:eastAsia="Courier New" w:hAnsi="Courier New"/>
                <w:sz w:val="18"/>
                <w:szCs w:val="18"/>
                <w:color w:val="auto"/>
                <w:w w:val="95"/>
              </w:rPr>
              <w:t>33,590 57,693 ========</w:t>
            </w:r>
          </w:p>
        </w:tc>
        <w:tc>
          <w:tcPr>
            <w:tcW w:w="0" w:type="dxa"/>
            <w:vAlign w:val="bottom"/>
          </w:tcPr>
          <w:p>
            <w:pPr>
              <w:spacing w:after="0"/>
              <w:rPr>
                <w:sz w:val="1"/>
                <w:szCs w:val="1"/>
                <w:color w:val="auto"/>
              </w:rPr>
            </w:pPr>
          </w:p>
        </w:tc>
      </w:tr>
      <w:tr>
        <w:trPr>
          <w:trHeight w:val="219"/>
        </w:trPr>
        <w:tc>
          <w:tcPr>
            <w:tcW w:w="1840" w:type="dxa"/>
            <w:vAlign w:val="bottom"/>
          </w:tcPr>
          <w:p>
            <w:pPr>
              <w:spacing w:after="0"/>
              <w:rPr>
                <w:sz w:val="19"/>
                <w:szCs w:val="19"/>
                <w:color w:val="auto"/>
              </w:rPr>
            </w:pPr>
          </w:p>
        </w:tc>
        <w:tc>
          <w:tcPr>
            <w:tcW w:w="1380" w:type="dxa"/>
            <w:vAlign w:val="bottom"/>
            <w:vMerge w:val="continue"/>
          </w:tcPr>
          <w:p>
            <w:pPr>
              <w:spacing w:after="0"/>
              <w:rPr>
                <w:sz w:val="19"/>
                <w:szCs w:val="19"/>
                <w:color w:val="auto"/>
              </w:rPr>
            </w:pPr>
          </w:p>
        </w:tc>
        <w:tc>
          <w:tcPr>
            <w:tcW w:w="23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5"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The accompanying notes are an integral part of the financial statements.</w:t>
      </w:r>
    </w:p>
    <w:p>
      <w:pPr>
        <w:spacing w:after="0" w:line="224" w:lineRule="exact"/>
        <w:rPr>
          <w:sz w:val="20"/>
          <w:szCs w:val="20"/>
          <w:color w:val="auto"/>
        </w:rPr>
      </w:pPr>
    </w:p>
    <w:p>
      <w:pPr>
        <w:jc w:val="center"/>
        <w:ind w:right="1559"/>
        <w:spacing w:after="0"/>
        <w:rPr>
          <w:sz w:val="20"/>
          <w:szCs w:val="20"/>
          <w:color w:val="auto"/>
        </w:rPr>
      </w:pPr>
      <w:r>
        <w:rPr>
          <w:rFonts w:ascii="Courier New" w:cs="Courier New" w:eastAsia="Courier New" w:hAnsi="Courier New"/>
          <w:sz w:val="18"/>
          <w:szCs w:val="18"/>
          <w:color w:val="auto"/>
        </w:rPr>
        <w:t>F-43</w:t>
      </w:r>
    </w:p>
    <w:p>
      <w:pPr>
        <w:sectPr>
          <w:pgSz w:w="11900" w:h="16838" w:orient="portrait"/>
          <w:cols w:equalWidth="0" w:num="1">
            <w:col w:w="10219"/>
          </w:cols>
          <w:pgMar w:left="240" w:top="691" w:right="1440" w:bottom="1440" w:gutter="0" w:footer="0" w:header="0"/>
        </w:sectPr>
      </w:pPr>
    </w:p>
    <w:bookmarkStart w:id="128" w:name="page129"/>
    <w:bookmarkEnd w:id="128"/>
    <w:p>
      <w:pPr>
        <w:jc w:val="center"/>
        <w:ind w:right="1879"/>
        <w:spacing w:after="0"/>
        <w:rPr>
          <w:sz w:val="20"/>
          <w:szCs w:val="20"/>
          <w:color w:val="auto"/>
        </w:rPr>
      </w:pPr>
      <w:r>
        <w:rPr>
          <w:rFonts w:ascii="Courier New" w:cs="Courier New" w:eastAsia="Courier New" w:hAnsi="Courier New"/>
          <w:sz w:val="18"/>
          <w:szCs w:val="18"/>
          <w:color w:val="auto"/>
        </w:rPr>
        <w:t>CERTEN INC.</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NOTES TO THE FINANCIAL STATEMENTS YEAR ENDED DECEMBER 31, 2002</w:t>
      </w:r>
    </w:p>
    <w:p>
      <w:pPr>
        <w:spacing w:after="0" w:line="3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(ALL TABULAR AMOUNTS ARE IN THOUSANDS OF DOLLARS EXCEPT WHERE OTHERWISE NOTED)</w:t>
      </w:r>
    </w:p>
    <w:p>
      <w:pPr>
        <w:spacing w:after="0" w:line="169" w:lineRule="exact"/>
        <w:rPr>
          <w:sz w:val="20"/>
          <w:szCs w:val="20"/>
          <w:color w:val="auto"/>
        </w:rPr>
      </w:pPr>
    </w:p>
    <w:p>
      <w:pPr>
        <w:ind w:left="420" w:hanging="412"/>
        <w:spacing w:after="0"/>
        <w:tabs>
          <w:tab w:leader="none" w:pos="420"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DESCRIPTION OF THE BUSINESS</w:t>
      </w:r>
    </w:p>
    <w:p>
      <w:pPr>
        <w:spacing w:after="0" w:line="201" w:lineRule="exact"/>
        <w:rPr>
          <w:sz w:val="20"/>
          <w:szCs w:val="20"/>
          <w:color w:val="auto"/>
        </w:rPr>
      </w:pPr>
    </w:p>
    <w:p>
      <w:pPr>
        <w:ind w:right="2199" w:firstLine="527"/>
        <w:spacing w:after="0" w:line="306" w:lineRule="auto"/>
        <w:rPr>
          <w:sz w:val="20"/>
          <w:szCs w:val="20"/>
          <w:color w:val="auto"/>
        </w:rPr>
      </w:pPr>
      <w:r>
        <w:rPr>
          <w:rFonts w:ascii="Courier New" w:cs="Courier New" w:eastAsia="Courier New" w:hAnsi="Courier New"/>
          <w:sz w:val="16"/>
          <w:szCs w:val="16"/>
          <w:color w:val="auto"/>
        </w:rPr>
        <w:t>On September 28, 2000, 3814840 Canada Inc. was incorporated under the Canada Business Corporations Act and was renamed on January 22, 2001, Certen Inc. ("Certen" or the "Company"). On January 26, 2001, Certen commenced its operations. The Company's shareholders consist of Bell Canada and Solect Technology Group Inc. (subsequently renamed Amdocs Canada Inc. ("Amdocs").</w:t>
      </w:r>
    </w:p>
    <w:p>
      <w:pPr>
        <w:spacing w:after="0" w:line="60" w:lineRule="exact"/>
        <w:rPr>
          <w:sz w:val="20"/>
          <w:szCs w:val="20"/>
          <w:color w:val="auto"/>
        </w:rPr>
      </w:pPr>
    </w:p>
    <w:p>
      <w:pPr>
        <w:ind w:right="1879" w:firstLine="527"/>
        <w:spacing w:after="0" w:line="253" w:lineRule="auto"/>
        <w:rPr>
          <w:sz w:val="20"/>
          <w:szCs w:val="20"/>
          <w:color w:val="auto"/>
        </w:rPr>
      </w:pPr>
      <w:r>
        <w:rPr>
          <w:rFonts w:ascii="Courier New" w:cs="Courier New" w:eastAsia="Courier New" w:hAnsi="Courier New"/>
          <w:sz w:val="18"/>
          <w:szCs w:val="18"/>
          <w:color w:val="auto"/>
        </w:rPr>
        <w:t>Effective January 26, 2001, Bell Canada transferred to Certen, at book value, which approximates fair value of $50 million of capital assets in return for a $45 million promissory note due to related party and 50,000 common shares of the Company for a total value of $5 million. Additionally, on the same date, Certen issued to Amdocs a $3.5 million, 6% convertible debenture, maturing on January 26, 2008 and 5,617 common shares for a total value of $561,735. At December 31, 2002, Bell Canada and Amdocs hold an 89.9% and 10.1% interest, respectively in Certen.</w:t>
      </w:r>
    </w:p>
    <w:p>
      <w:pPr>
        <w:spacing w:after="0" w:line="104" w:lineRule="exact"/>
        <w:rPr>
          <w:sz w:val="20"/>
          <w:szCs w:val="20"/>
          <w:color w:val="auto"/>
        </w:rPr>
      </w:pPr>
    </w:p>
    <w:p>
      <w:pPr>
        <w:ind w:right="1999" w:firstLine="527"/>
        <w:spacing w:after="0" w:line="347" w:lineRule="auto"/>
        <w:rPr>
          <w:sz w:val="20"/>
          <w:szCs w:val="20"/>
          <w:color w:val="auto"/>
        </w:rPr>
      </w:pPr>
      <w:r>
        <w:rPr>
          <w:rFonts w:ascii="Courier New" w:cs="Courier New" w:eastAsia="Courier New" w:hAnsi="Courier New"/>
          <w:sz w:val="18"/>
          <w:szCs w:val="18"/>
          <w:color w:val="auto"/>
        </w:rPr>
        <w:t>Certen provides billing solutions to its primary customer and controlling shareholder, Bell Canada.</w:t>
      </w:r>
    </w:p>
    <w:p>
      <w:pPr>
        <w:spacing w:after="0" w:line="18" w:lineRule="exact"/>
        <w:rPr>
          <w:sz w:val="20"/>
          <w:szCs w:val="20"/>
          <w:color w:val="auto"/>
        </w:rPr>
      </w:pPr>
    </w:p>
    <w:p>
      <w:pPr>
        <w:ind w:left="420" w:hanging="412"/>
        <w:spacing w:after="0"/>
        <w:tabs>
          <w:tab w:leader="none" w:pos="420"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SIGNIFICANT ACCOUNTING POLICIES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BASIS OF PRESENTATION</w:t>
      </w:r>
    </w:p>
    <w:p>
      <w:pPr>
        <w:spacing w:after="0" w:line="201" w:lineRule="exact"/>
        <w:rPr>
          <w:sz w:val="20"/>
          <w:szCs w:val="20"/>
          <w:color w:val="auto"/>
        </w:rPr>
      </w:pPr>
    </w:p>
    <w:p>
      <w:pPr>
        <w:ind w:right="1779" w:firstLine="527"/>
        <w:spacing w:after="0" w:line="260" w:lineRule="auto"/>
        <w:rPr>
          <w:sz w:val="20"/>
          <w:szCs w:val="20"/>
          <w:color w:val="auto"/>
        </w:rPr>
      </w:pPr>
      <w:r>
        <w:rPr>
          <w:rFonts w:ascii="Courier New" w:cs="Courier New" w:eastAsia="Courier New" w:hAnsi="Courier New"/>
          <w:sz w:val="18"/>
          <w:szCs w:val="18"/>
          <w:color w:val="auto"/>
        </w:rPr>
        <w:t>The financial statements have been prepared in accordance with Canadian generally accepted accounting principles (GAAP). Certain comparative figures have been reclassified to conform to the current year presentation. The significant differences relevant to the Company between Canadian and United States GAAP are described and reconciled in Note 16. All amounts are in Canadian dollars unless otherwise indicated.</w:t>
      </w:r>
    </w:p>
    <w:p>
      <w:pPr>
        <w:spacing w:after="0" w:line="93" w:lineRule="exact"/>
        <w:rPr>
          <w:sz w:val="20"/>
          <w:szCs w:val="20"/>
          <w:color w:val="auto"/>
        </w:rPr>
      </w:pPr>
    </w:p>
    <w:p>
      <w:pPr>
        <w:ind w:right="2099" w:firstLine="527"/>
        <w:spacing w:after="0" w:line="292" w:lineRule="auto"/>
        <w:rPr>
          <w:sz w:val="20"/>
          <w:szCs w:val="20"/>
          <w:color w:val="auto"/>
        </w:rPr>
      </w:pPr>
      <w:r>
        <w:rPr>
          <w:rFonts w:ascii="Courier New" w:cs="Courier New" w:eastAsia="Courier New" w:hAnsi="Courier New"/>
          <w:sz w:val="18"/>
          <w:szCs w:val="18"/>
          <w:color w:val="auto"/>
        </w:rPr>
        <w:t>For the period ended December 31, 2001, the statements of operations and retained earnings and cash flows cover the period of January 26, 2001 to December 31, 2001.</w:t>
      </w:r>
    </w:p>
    <w:p>
      <w:pPr>
        <w:spacing w:after="0" w:line="6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USE OF ESTIMATES</w:t>
      </w:r>
    </w:p>
    <w:p>
      <w:pPr>
        <w:spacing w:after="0" w:line="201" w:lineRule="exact"/>
        <w:rPr>
          <w:sz w:val="20"/>
          <w:szCs w:val="20"/>
          <w:color w:val="auto"/>
        </w:rPr>
      </w:pPr>
    </w:p>
    <w:p>
      <w:pPr>
        <w:ind w:right="1779" w:firstLine="527"/>
        <w:spacing w:after="0" w:line="256" w:lineRule="auto"/>
        <w:rPr>
          <w:sz w:val="20"/>
          <w:szCs w:val="20"/>
          <w:color w:val="auto"/>
        </w:rPr>
      </w:pPr>
      <w:r>
        <w:rPr>
          <w:rFonts w:ascii="Courier New" w:cs="Courier New" w:eastAsia="Courier New" w:hAnsi="Courier New"/>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As a result of the use of estimates inherent in the financial reporting process, actual results could differ from those estimates.</w:t>
      </w:r>
    </w:p>
    <w:p>
      <w:pPr>
        <w:spacing w:after="0" w:line="9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REVENUE RECOGNITION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The Company recognizes revenues as services are rendered to its customers.</w:t>
      </w:r>
    </w:p>
    <w:p>
      <w:pPr>
        <w:spacing w:after="0" w:line="22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CASH AND CASH EQUIVALENTS</w:t>
      </w:r>
    </w:p>
    <w:p>
      <w:pPr>
        <w:spacing w:after="0" w:line="201" w:lineRule="exact"/>
        <w:rPr>
          <w:sz w:val="20"/>
          <w:szCs w:val="20"/>
          <w:color w:val="auto"/>
        </w:rPr>
      </w:pPr>
    </w:p>
    <w:p>
      <w:pPr>
        <w:ind w:right="2739" w:firstLine="527"/>
        <w:spacing w:after="0" w:line="402" w:lineRule="auto"/>
        <w:rPr>
          <w:sz w:val="20"/>
          <w:szCs w:val="20"/>
          <w:color w:val="auto"/>
        </w:rPr>
      </w:pPr>
      <w:r>
        <w:rPr>
          <w:rFonts w:ascii="Courier New" w:cs="Courier New" w:eastAsia="Courier New" w:hAnsi="Courier New"/>
          <w:sz w:val="16"/>
          <w:szCs w:val="16"/>
          <w:color w:val="auto"/>
        </w:rPr>
        <w:t>Cash and cash equivalents consists primarily of cash and temporary investments having an initial maturity of three months or less.</w:t>
      </w:r>
    </w:p>
    <w:p>
      <w:pPr>
        <w:spacing w:after="0" w:line="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PROPERTY, PLANT AND EQUIPMENT</w:t>
      </w:r>
    </w:p>
    <w:p>
      <w:pPr>
        <w:spacing w:after="0" w:line="201" w:lineRule="exact"/>
        <w:rPr>
          <w:sz w:val="20"/>
          <w:szCs w:val="20"/>
          <w:color w:val="auto"/>
        </w:rPr>
      </w:pPr>
    </w:p>
    <w:p>
      <w:pPr>
        <w:ind w:right="1879" w:firstLine="527"/>
        <w:spacing w:after="0" w:line="292" w:lineRule="auto"/>
        <w:rPr>
          <w:sz w:val="20"/>
          <w:szCs w:val="20"/>
          <w:color w:val="auto"/>
        </w:rPr>
      </w:pPr>
      <w:r>
        <w:rPr>
          <w:rFonts w:ascii="Courier New" w:cs="Courier New" w:eastAsia="Courier New" w:hAnsi="Courier New"/>
          <w:sz w:val="18"/>
          <w:szCs w:val="18"/>
          <w:color w:val="auto"/>
        </w:rPr>
        <w:t>Property, plant and equipment are carried at cost less accumulated amortization where applicable. Assets under development are not amortized until put into service. Amortization of property, plant and</w:t>
      </w:r>
    </w:p>
    <w:p>
      <w:pPr>
        <w:spacing w:after="0" w:line="6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F-44</w:t>
      </w:r>
    </w:p>
    <w:p>
      <w:pPr>
        <w:sectPr>
          <w:pgSz w:w="11900" w:h="16838" w:orient="portrait"/>
          <w:cols w:equalWidth="0" w:num="1">
            <w:col w:w="10219"/>
          </w:cols>
          <w:pgMar w:left="240" w:top="691" w:right="1440" w:bottom="1440" w:gutter="0" w:footer="0" w:header="0"/>
        </w:sectPr>
      </w:pPr>
    </w:p>
    <w:bookmarkStart w:id="129" w:name="page130"/>
    <w:bookmarkEnd w:id="129"/>
    <w:p>
      <w:pPr>
        <w:jc w:val="center"/>
        <w:ind w:right="1879"/>
        <w:spacing w:after="0"/>
        <w:rPr>
          <w:sz w:val="20"/>
          <w:szCs w:val="20"/>
          <w:color w:val="auto"/>
        </w:rPr>
      </w:pPr>
      <w:r>
        <w:rPr>
          <w:rFonts w:ascii="Courier New" w:cs="Courier New" w:eastAsia="Courier New" w:hAnsi="Courier New"/>
          <w:sz w:val="18"/>
          <w:szCs w:val="18"/>
          <w:color w:val="auto"/>
        </w:rPr>
        <w:t>CERTEN INC.</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NOTES TO THE FINANCIAL STATEMENTS -- (CONTINUED)</w:t>
      </w:r>
    </w:p>
    <w:p>
      <w:pPr>
        <w:spacing w:after="0" w:line="201" w:lineRule="exact"/>
        <w:rPr>
          <w:sz w:val="20"/>
          <w:szCs w:val="20"/>
          <w:color w:val="auto"/>
        </w:rPr>
      </w:pPr>
    </w:p>
    <w:p>
      <w:pPr>
        <w:ind w:right="2099"/>
        <w:spacing w:after="0" w:line="347" w:lineRule="auto"/>
        <w:rPr>
          <w:sz w:val="20"/>
          <w:szCs w:val="20"/>
          <w:color w:val="auto"/>
        </w:rPr>
      </w:pPr>
      <w:r>
        <w:rPr>
          <w:rFonts w:ascii="Courier New" w:cs="Courier New" w:eastAsia="Courier New" w:hAnsi="Courier New"/>
          <w:sz w:val="18"/>
          <w:szCs w:val="18"/>
          <w:color w:val="auto"/>
        </w:rPr>
        <w:t>equipment is computed using the straight-line method, with rates based on the estimated useful lives of the assets as follows:</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80" w:type="dxa"/>
            <w:vAlign w:val="bottom"/>
          </w:tcPr>
          <w:p>
            <w:pPr>
              <w:spacing w:after="0"/>
              <w:rPr>
                <w:sz w:val="20"/>
                <w:szCs w:val="20"/>
                <w:color w:val="auto"/>
              </w:rPr>
            </w:pPr>
            <w:r>
              <w:rPr>
                <w:rFonts w:ascii="Courier New" w:cs="Courier New" w:eastAsia="Courier New" w:hAnsi="Courier New"/>
                <w:sz w:val="18"/>
                <w:szCs w:val="18"/>
                <w:color w:val="auto"/>
                <w:w w:val="99"/>
              </w:rPr>
              <w:t>Computer hardware...........................................</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5</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years</w:t>
            </w:r>
          </w:p>
        </w:tc>
      </w:tr>
      <w:tr>
        <w:trPr>
          <w:trHeight w:val="203"/>
        </w:trPr>
        <w:tc>
          <w:tcPr>
            <w:tcW w:w="6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Furniture and fixtures......................................</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years</w:t>
            </w:r>
          </w:p>
        </w:tc>
      </w:tr>
      <w:tr>
        <w:trPr>
          <w:trHeight w:val="296"/>
        </w:trPr>
        <w:tc>
          <w:tcPr>
            <w:tcW w:w="6480" w:type="dxa"/>
            <w:vAlign w:val="bottom"/>
          </w:tcPr>
          <w:p>
            <w:pPr>
              <w:spacing w:after="0"/>
              <w:rPr>
                <w:sz w:val="20"/>
                <w:szCs w:val="20"/>
                <w:color w:val="auto"/>
              </w:rPr>
            </w:pPr>
            <w:r>
              <w:rPr>
                <w:rFonts w:ascii="Courier New" w:cs="Courier New" w:eastAsia="Courier New" w:hAnsi="Courier New"/>
                <w:sz w:val="18"/>
                <w:szCs w:val="18"/>
                <w:color w:val="auto"/>
                <w:w w:val="99"/>
              </w:rPr>
              <w:t>Leasehold improvements......................................</w:t>
            </w:r>
          </w:p>
        </w:tc>
        <w:tc>
          <w:tcPr>
            <w:tcW w:w="15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Term of lease</w:t>
            </w:r>
          </w:p>
        </w:tc>
      </w:tr>
    </w:tbl>
    <w:p>
      <w:pPr>
        <w:spacing w:after="0" w:line="31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INTANGIBLE ASSETS</w:t>
      </w:r>
    </w:p>
    <w:p>
      <w:pPr>
        <w:spacing w:after="0" w:line="201" w:lineRule="exact"/>
        <w:rPr>
          <w:sz w:val="20"/>
          <w:szCs w:val="20"/>
          <w:color w:val="auto"/>
        </w:rPr>
      </w:pPr>
    </w:p>
    <w:p>
      <w:pPr>
        <w:ind w:right="1999" w:firstLine="527"/>
        <w:spacing w:after="0" w:line="260" w:lineRule="auto"/>
        <w:rPr>
          <w:sz w:val="20"/>
          <w:szCs w:val="20"/>
          <w:color w:val="auto"/>
        </w:rPr>
      </w:pPr>
      <w:r>
        <w:rPr>
          <w:rFonts w:ascii="Courier New" w:cs="Courier New" w:eastAsia="Courier New" w:hAnsi="Courier New"/>
          <w:sz w:val="18"/>
          <w:szCs w:val="18"/>
          <w:color w:val="auto"/>
        </w:rPr>
        <w:t>Finite life intangible assets consisting of software and licenses are carried at cost less accumulated amortization where applicable. Internal use software and related licenses under development are not amortized until placed into production. Amortization of software and licenses is computed using the straight line method over the estimated useful life of the assets of three to five years.</w:t>
      </w:r>
    </w:p>
    <w:p>
      <w:pPr>
        <w:spacing w:after="0" w:line="9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LEASES</w:t>
      </w:r>
    </w:p>
    <w:p>
      <w:pPr>
        <w:spacing w:after="0" w:line="201" w:lineRule="exact"/>
        <w:rPr>
          <w:sz w:val="20"/>
          <w:szCs w:val="20"/>
          <w:color w:val="auto"/>
        </w:rPr>
      </w:pPr>
    </w:p>
    <w:p>
      <w:pPr>
        <w:ind w:right="1779" w:firstLine="527"/>
        <w:spacing w:after="0" w:line="274" w:lineRule="auto"/>
        <w:rPr>
          <w:sz w:val="20"/>
          <w:szCs w:val="20"/>
          <w:color w:val="auto"/>
        </w:rPr>
      </w:pPr>
      <w:r>
        <w:rPr>
          <w:rFonts w:ascii="Courier New" w:cs="Courier New" w:eastAsia="Courier New" w:hAnsi="Courier New"/>
          <w:sz w:val="18"/>
          <w:szCs w:val="18"/>
          <w:color w:val="auto"/>
        </w:rPr>
        <w:t>Assets recorded under capital leases are amortized on a straight-line basis over the economic life of the asset or based on the lease term, as appropriate. Obligations recorded under capital leases are reduced by rental payments net of imputed interest.</w:t>
      </w:r>
    </w:p>
    <w:p>
      <w:pPr>
        <w:spacing w:after="0" w:line="8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TRANSLATION OF FOREIGN CURRENCIES</w:t>
      </w:r>
    </w:p>
    <w:p>
      <w:pPr>
        <w:spacing w:after="0" w:line="201" w:lineRule="exact"/>
        <w:rPr>
          <w:sz w:val="20"/>
          <w:szCs w:val="20"/>
          <w:color w:val="auto"/>
        </w:rPr>
      </w:pPr>
    </w:p>
    <w:p>
      <w:pPr>
        <w:jc w:val="both"/>
        <w:ind w:right="2099" w:firstLine="527"/>
        <w:spacing w:after="0" w:line="274" w:lineRule="auto"/>
        <w:rPr>
          <w:sz w:val="20"/>
          <w:szCs w:val="20"/>
          <w:color w:val="auto"/>
        </w:rPr>
      </w:pPr>
      <w:r>
        <w:rPr>
          <w:rFonts w:ascii="Courier New" w:cs="Courier New" w:eastAsia="Courier New" w:hAnsi="Courier New"/>
          <w:sz w:val="18"/>
          <w:szCs w:val="18"/>
          <w:color w:val="auto"/>
        </w:rPr>
        <w:t>Monetary assets and liabilities are translated at the rates in effect at the balance sheet date. Revenues and expenses are translated at average rates prevailing during the year. Translation exchange gains and losses on monetary assets and liabilities are reflected in net earnings for the year.</w:t>
      </w:r>
    </w:p>
    <w:p>
      <w:pPr>
        <w:spacing w:after="0" w:line="8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EMPLOYEE BENEFIT PLANS</w:t>
      </w:r>
    </w:p>
    <w:p>
      <w:pPr>
        <w:spacing w:after="0" w:line="201" w:lineRule="exact"/>
        <w:rPr>
          <w:sz w:val="20"/>
          <w:szCs w:val="20"/>
          <w:color w:val="auto"/>
        </w:rPr>
      </w:pPr>
    </w:p>
    <w:p>
      <w:pPr>
        <w:ind w:right="1779" w:firstLine="527"/>
        <w:spacing w:after="0" w:line="256" w:lineRule="auto"/>
        <w:rPr>
          <w:sz w:val="20"/>
          <w:szCs w:val="20"/>
          <w:color w:val="auto"/>
        </w:rPr>
      </w:pPr>
      <w:r>
        <w:rPr>
          <w:rFonts w:ascii="Courier New" w:cs="Courier New" w:eastAsia="Courier New" w:hAnsi="Courier New"/>
          <w:sz w:val="18"/>
          <w:szCs w:val="18"/>
          <w:color w:val="auto"/>
        </w:rPr>
        <w:t>Certen maintains non-contributory defined benefit plans that provide for pensions for substantially all its employees based on length of service and rate of pay. Additionally, the Company provides other retirement benefits such as certain health care and life insurance benefits on retirement and various disability plans, workers' compensation and medical benefits to former or inactive employees, their beneficiaries and covered dependants, after employment but before retirement, under specified circumstances.</w:t>
      </w:r>
    </w:p>
    <w:p>
      <w:pPr>
        <w:spacing w:after="0" w:line="98" w:lineRule="exact"/>
        <w:rPr>
          <w:sz w:val="20"/>
          <w:szCs w:val="20"/>
          <w:color w:val="auto"/>
        </w:rPr>
      </w:pPr>
    </w:p>
    <w:p>
      <w:pPr>
        <w:ind w:right="1779" w:firstLine="527"/>
        <w:spacing w:after="0" w:line="260" w:lineRule="auto"/>
        <w:rPr>
          <w:sz w:val="20"/>
          <w:szCs w:val="20"/>
          <w:color w:val="auto"/>
        </w:rPr>
      </w:pPr>
      <w:r>
        <w:rPr>
          <w:rFonts w:ascii="Courier New" w:cs="Courier New" w:eastAsia="Courier New" w:hAnsi="Courier New"/>
          <w:sz w:val="18"/>
          <w:szCs w:val="18"/>
          <w:color w:val="auto"/>
        </w:rPr>
        <w:t>Certen accrues its obligations under employee benefit plans and the related costs net of plan assets. Pension expense and other retirement benefits earned by employees are actuarially determined using the projected benefit method pro-rated on service and based on management's best estimate of expected plan investments performance, salary escalation, retirement ages of employees and expected health care costs.</w:t>
      </w:r>
    </w:p>
    <w:p>
      <w:pPr>
        <w:spacing w:after="0" w:line="93" w:lineRule="exact"/>
        <w:rPr>
          <w:sz w:val="20"/>
          <w:szCs w:val="20"/>
          <w:color w:val="auto"/>
        </w:rPr>
      </w:pPr>
    </w:p>
    <w:p>
      <w:pPr>
        <w:ind w:right="1779" w:firstLine="527"/>
        <w:spacing w:after="0" w:line="248" w:lineRule="auto"/>
        <w:rPr>
          <w:sz w:val="20"/>
          <w:szCs w:val="20"/>
          <w:color w:val="auto"/>
        </w:rPr>
      </w:pPr>
      <w:r>
        <w:rPr>
          <w:rFonts w:ascii="Courier New" w:cs="Courier New" w:eastAsia="Courier New" w:hAnsi="Courier New"/>
          <w:sz w:val="18"/>
          <w:szCs w:val="18"/>
          <w:color w:val="auto"/>
        </w:rPr>
        <w:t>The fair value of employee benefit plans assets is based on market values. The plan assets are valued at market-related value for the purpose of calculating the expected return on plan assets. Past service costs, which may arise from plan amendments, are amortized on a straight-line basis over the average remaining service period of the employees active at the date of amendment. The excess of the net actuarial gain (loss) over 10% of the greater of the benefit obligation and the market value of plan assets is amortized over the average remaining service period of active employees. When the restructuring of a benefit plan gives rise to both a curtailment and a settlement of obligations, the curtailment is accounted for prior to the settlement. A valuation will be performed every three years to determine the actuarial present value of the accrued pension and other retirement benefits.</w:t>
      </w:r>
    </w:p>
    <w:p>
      <w:pPr>
        <w:spacing w:after="0" w:line="1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F-45</w:t>
      </w:r>
    </w:p>
    <w:p>
      <w:pPr>
        <w:sectPr>
          <w:pgSz w:w="11900" w:h="16838" w:orient="portrait"/>
          <w:cols w:equalWidth="0" w:num="1">
            <w:col w:w="10219"/>
          </w:cols>
          <w:pgMar w:left="240" w:top="488" w:right="1440" w:bottom="1440" w:gutter="0" w:footer="0" w:header="0"/>
        </w:sectPr>
      </w:pPr>
    </w:p>
    <w:bookmarkStart w:id="130" w:name="page131"/>
    <w:bookmarkEnd w:id="130"/>
    <w:p>
      <w:pPr>
        <w:jc w:val="center"/>
        <w:ind w:right="1879"/>
        <w:spacing w:after="0"/>
        <w:rPr>
          <w:sz w:val="20"/>
          <w:szCs w:val="20"/>
          <w:color w:val="auto"/>
        </w:rPr>
      </w:pPr>
      <w:r>
        <w:rPr>
          <w:rFonts w:ascii="Courier New" w:cs="Courier New" w:eastAsia="Courier New" w:hAnsi="Courier New"/>
          <w:sz w:val="18"/>
          <w:szCs w:val="18"/>
          <w:color w:val="auto"/>
        </w:rPr>
        <w:t>CERTEN INC.</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NOTES TO THE FINANCIAL STATEMENTS -- (CONTINUED)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INCOME TAXES</w:t>
      </w:r>
    </w:p>
    <w:p>
      <w:pPr>
        <w:spacing w:after="0" w:line="201" w:lineRule="exact"/>
        <w:rPr>
          <w:sz w:val="20"/>
          <w:szCs w:val="20"/>
          <w:color w:val="auto"/>
        </w:rPr>
      </w:pPr>
    </w:p>
    <w:p>
      <w:pPr>
        <w:ind w:right="1779" w:firstLine="527"/>
        <w:spacing w:after="0" w:line="253" w:lineRule="auto"/>
        <w:rPr>
          <w:sz w:val="20"/>
          <w:szCs w:val="20"/>
          <w:color w:val="auto"/>
        </w:rPr>
      </w:pPr>
      <w:r>
        <w:rPr>
          <w:rFonts w:ascii="Courier New" w:cs="Courier New" w:eastAsia="Courier New" w:hAnsi="Courier New"/>
          <w:sz w:val="18"/>
          <w:szCs w:val="18"/>
          <w:color w:val="auto"/>
        </w:rPr>
        <w:t>Certen uses the liability method of accounting for income taxes. Future income taxes relate to the expected future tax consequences of differences between the carrying amounts of assets and liabilities for financial reporting purposes and the amounts used for tax purposes. Future tax assets are recognized only to the extent that, it is more likely than not that the future tax asset will be realized. Future income tax assets and liabilities are adjusted for the effects of changes in tax laws and rates on the date of enactment or substantive enactment.</w:t>
      </w:r>
    </w:p>
    <w:p>
      <w:pPr>
        <w:spacing w:after="0" w:line="104" w:lineRule="exact"/>
        <w:rPr>
          <w:sz w:val="20"/>
          <w:szCs w:val="20"/>
          <w:color w:val="auto"/>
        </w:rPr>
      </w:pPr>
    </w:p>
    <w:p>
      <w:pPr>
        <w:ind w:left="420" w:hanging="412"/>
        <w:spacing w:after="0"/>
        <w:tabs>
          <w:tab w:leader="none" w:pos="420"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RESTRUCTURING CHARGE</w:t>
      </w:r>
    </w:p>
    <w:p>
      <w:pPr>
        <w:spacing w:after="0" w:line="201" w:lineRule="exact"/>
        <w:rPr>
          <w:sz w:val="20"/>
          <w:szCs w:val="20"/>
          <w:color w:val="auto"/>
        </w:rPr>
      </w:pPr>
    </w:p>
    <w:p>
      <w:pPr>
        <w:ind w:right="1779" w:firstLine="527"/>
        <w:spacing w:after="0" w:line="256" w:lineRule="auto"/>
        <w:rPr>
          <w:sz w:val="20"/>
          <w:szCs w:val="20"/>
          <w:color w:val="auto"/>
        </w:rPr>
      </w:pPr>
      <w:r>
        <w:rPr>
          <w:rFonts w:ascii="Courier New" w:cs="Courier New" w:eastAsia="Courier New" w:hAnsi="Courier New"/>
          <w:sz w:val="18"/>
          <w:szCs w:val="18"/>
          <w:color w:val="auto"/>
        </w:rPr>
        <w:t>During 2002, Certen recorded a pre-tax restructuring charge of $721,000, as a result of a decision to streamline management, clerical and other support functions. The restructuring charge related mainly to employee severance and other directly related employee costs for approximately 20 employees. This restructuring program was substantially completed by December 31, 2002. The remaining unpaid balance of this restructuring provision as at December 31, 2002 amounted to approximately $459,000.</w:t>
      </w:r>
    </w:p>
    <w:p>
      <w:pPr>
        <w:spacing w:after="0" w:line="98" w:lineRule="exact"/>
        <w:rPr>
          <w:sz w:val="20"/>
          <w:szCs w:val="20"/>
          <w:color w:val="auto"/>
        </w:rPr>
      </w:pPr>
    </w:p>
    <w:p>
      <w:pPr>
        <w:ind w:right="1779" w:firstLine="527"/>
        <w:spacing w:after="0" w:line="265" w:lineRule="auto"/>
        <w:rPr>
          <w:sz w:val="20"/>
          <w:szCs w:val="20"/>
          <w:color w:val="auto"/>
        </w:rPr>
      </w:pPr>
      <w:r>
        <w:rPr>
          <w:rFonts w:ascii="Courier New" w:cs="Courier New" w:eastAsia="Courier New" w:hAnsi="Courier New"/>
          <w:sz w:val="18"/>
          <w:szCs w:val="18"/>
          <w:color w:val="auto"/>
        </w:rPr>
        <w:t>As a result of this restructuring, Certen recognized a gain on the settlement of the Company's retirement benefit plans obligation of $2,769,000 as well as previously unrecognized net actuarial losses of $1,670,000 on the transfer of approximately 110 employees to Bell Canada. These amounts have been reflected in the net benefit plans expense (Note 6).</w:t>
      </w:r>
    </w:p>
    <w:p>
      <w:pPr>
        <w:spacing w:after="0" w:line="90" w:lineRule="exact"/>
        <w:rPr>
          <w:sz w:val="20"/>
          <w:szCs w:val="20"/>
          <w:color w:val="auto"/>
        </w:rPr>
      </w:pPr>
    </w:p>
    <w:p>
      <w:pPr>
        <w:ind w:left="420" w:hanging="412"/>
        <w:spacing w:after="0"/>
        <w:tabs>
          <w:tab w:leader="none" w:pos="420"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PROPERTY, PLANT AND EQUIPMENT</w:t>
      </w:r>
    </w:p>
    <w:p>
      <w:pPr>
        <w:spacing w:after="0" w:line="201"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2002 2001 ----------------------</w:t>
      </w:r>
    </w:p>
    <w:p>
      <w:pPr>
        <w:spacing w:after="0" w:line="29"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 -----------------------</w:t>
      </w:r>
    </w:p>
    <w:p>
      <w:pPr>
        <w:ind w:left="60"/>
        <w:spacing w:after="0" w:line="238" w:lineRule="auto"/>
        <w:rPr>
          <w:sz w:val="20"/>
          <w:szCs w:val="20"/>
          <w:color w:val="auto"/>
        </w:rPr>
      </w:pPr>
      <w:r>
        <w:rPr>
          <w:rFonts w:ascii="Courier New" w:cs="Courier New" w:eastAsia="Courier New" w:hAnsi="Courier New"/>
          <w:sz w:val="18"/>
          <w:szCs w:val="18"/>
          <w:color w:val="auto"/>
        </w:rPr>
        <w:t>------- NET NET ACCUMULATED BOOK</w:t>
      </w:r>
    </w:p>
    <w:p>
      <w:pPr>
        <w:jc w:val="center"/>
        <w:ind w:right="6739"/>
        <w:spacing w:after="0"/>
        <w:rPr>
          <w:sz w:val="20"/>
          <w:szCs w:val="20"/>
          <w:color w:val="auto"/>
        </w:rPr>
      </w:pPr>
      <w:r>
        <w:rPr>
          <w:rFonts w:ascii="Courier New" w:cs="Courier New" w:eastAsia="Courier New" w:hAnsi="Courier New"/>
          <w:sz w:val="18"/>
          <w:szCs w:val="18"/>
          <w:color w:val="auto"/>
        </w:rPr>
        <w:t>ACCUMULATED BOOK COST</w:t>
      </w:r>
    </w:p>
    <w:p>
      <w:pPr>
        <w:jc w:val="center"/>
        <w:ind w:right="6739"/>
        <w:spacing w:after="0" w:line="238" w:lineRule="auto"/>
        <w:rPr>
          <w:sz w:val="20"/>
          <w:szCs w:val="20"/>
          <w:color w:val="auto"/>
        </w:rPr>
      </w:pPr>
      <w:r>
        <w:rPr>
          <w:rFonts w:ascii="Courier New" w:cs="Courier New" w:eastAsia="Courier New" w:hAnsi="Courier New"/>
          <w:sz w:val="18"/>
          <w:szCs w:val="18"/>
          <w:color w:val="auto"/>
        </w:rPr>
        <w:t>AMORTIZATION VALUE COST</w:t>
      </w:r>
    </w:p>
    <w:p>
      <w:pPr>
        <w:ind w:left="60"/>
        <w:spacing w:after="0"/>
        <w:rPr>
          <w:sz w:val="20"/>
          <w:szCs w:val="20"/>
          <w:color w:val="auto"/>
        </w:rPr>
      </w:pPr>
      <w:r>
        <w:rPr>
          <w:rFonts w:ascii="Courier New" w:cs="Courier New" w:eastAsia="Courier New" w:hAnsi="Courier New"/>
          <w:sz w:val="18"/>
          <w:szCs w:val="18"/>
          <w:color w:val="auto"/>
        </w:rPr>
        <w:t>AMORTIZATION VALUE ------ ------</w:t>
      </w:r>
    </w:p>
    <w:p>
      <w:pPr>
        <w:ind w:left="60"/>
        <w:spacing w:after="0" w:line="238" w:lineRule="auto"/>
        <w:rPr>
          <w:sz w:val="20"/>
          <w:szCs w:val="20"/>
          <w:color w:val="auto"/>
        </w:rPr>
      </w:pPr>
      <w:r>
        <w:rPr>
          <w:rFonts w:ascii="Courier New" w:cs="Courier New" w:eastAsia="Courier New" w:hAnsi="Courier New"/>
          <w:sz w:val="18"/>
          <w:szCs w:val="18"/>
          <w:color w:val="auto"/>
        </w:rPr>
        <w:t>------ ------ ------ -----------</w:t>
      </w:r>
    </w:p>
    <w:p>
      <w:pPr>
        <w:ind w:left="380" w:right="6939" w:hanging="164"/>
        <w:spacing w:after="0" w:line="268" w:lineRule="auto"/>
        <w:tabs>
          <w:tab w:leader="none" w:pos="433"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 $ $ $ Computer hardware..................</w:t>
      </w:r>
    </w:p>
    <w:tbl>
      <w:tblPr>
        <w:tblLayout w:type="fixed"/>
        <w:tblInd w:w="0" w:type="dxa"/>
        <w:tblCellMar>
          <w:top w:w="0" w:type="dxa"/>
          <w:left w:w="0" w:type="dxa"/>
          <w:bottom w:w="0" w:type="dxa"/>
          <w:right w:w="0" w:type="dxa"/>
        </w:tblCellMar>
      </w:tblPr>
      <w:tr>
        <w:trPr>
          <w:trHeight w:val="171"/>
        </w:trPr>
        <w:tc>
          <w:tcPr>
            <w:tcW w:w="740" w:type="dxa"/>
            <w:vAlign w:val="bottom"/>
          </w:tcPr>
          <w:p>
            <w:pPr>
              <w:ind w:left="120"/>
              <w:spacing w:after="0" w:line="171" w:lineRule="exact"/>
              <w:rPr>
                <w:sz w:val="20"/>
                <w:szCs w:val="20"/>
                <w:color w:val="auto"/>
              </w:rPr>
            </w:pPr>
            <w:r>
              <w:rPr>
                <w:rFonts w:ascii="Courier New" w:cs="Courier New" w:eastAsia="Courier New" w:hAnsi="Courier New"/>
                <w:sz w:val="18"/>
                <w:szCs w:val="18"/>
                <w:color w:val="auto"/>
                <w:w w:val="92"/>
              </w:rPr>
              <w:t>11,810</w:t>
            </w:r>
          </w:p>
        </w:tc>
        <w:tc>
          <w:tcPr>
            <w:tcW w:w="640" w:type="dxa"/>
            <w:vAlign w:val="bottom"/>
          </w:tcPr>
          <w:p>
            <w:pPr>
              <w:jc w:val="right"/>
              <w:spacing w:after="0" w:line="171" w:lineRule="exact"/>
              <w:rPr>
                <w:sz w:val="20"/>
                <w:szCs w:val="20"/>
                <w:color w:val="auto"/>
              </w:rPr>
            </w:pPr>
            <w:r>
              <w:rPr>
                <w:rFonts w:ascii="Courier New" w:cs="Courier New" w:eastAsia="Courier New" w:hAnsi="Courier New"/>
                <w:sz w:val="18"/>
                <w:szCs w:val="18"/>
                <w:color w:val="auto"/>
              </w:rPr>
              <w:t>7,348</w:t>
            </w:r>
          </w:p>
        </w:tc>
        <w:tc>
          <w:tcPr>
            <w:tcW w:w="100" w:type="dxa"/>
            <w:vAlign w:val="bottom"/>
          </w:tcPr>
          <w:p>
            <w:pPr>
              <w:spacing w:after="0"/>
              <w:rPr>
                <w:sz w:val="14"/>
                <w:szCs w:val="14"/>
                <w:color w:val="auto"/>
              </w:rPr>
            </w:pPr>
          </w:p>
        </w:tc>
        <w:tc>
          <w:tcPr>
            <w:tcW w:w="580" w:type="dxa"/>
            <w:vAlign w:val="bottom"/>
          </w:tcPr>
          <w:p>
            <w:pPr>
              <w:jc w:val="right"/>
              <w:spacing w:after="0" w:line="171" w:lineRule="exact"/>
              <w:rPr>
                <w:sz w:val="20"/>
                <w:szCs w:val="20"/>
                <w:color w:val="auto"/>
              </w:rPr>
            </w:pPr>
            <w:r>
              <w:rPr>
                <w:rFonts w:ascii="Courier New" w:cs="Courier New" w:eastAsia="Courier New" w:hAnsi="Courier New"/>
                <w:sz w:val="18"/>
                <w:szCs w:val="18"/>
                <w:color w:val="auto"/>
                <w:w w:val="92"/>
              </w:rPr>
              <w:t>4,462</w:t>
            </w:r>
          </w:p>
        </w:tc>
        <w:tc>
          <w:tcPr>
            <w:tcW w:w="740" w:type="dxa"/>
            <w:vAlign w:val="bottom"/>
            <w:gridSpan w:val="2"/>
          </w:tcPr>
          <w:p>
            <w:pPr>
              <w:jc w:val="right"/>
              <w:spacing w:after="0" w:line="171" w:lineRule="exact"/>
              <w:rPr>
                <w:sz w:val="20"/>
                <w:szCs w:val="20"/>
                <w:color w:val="auto"/>
              </w:rPr>
            </w:pPr>
            <w:r>
              <w:rPr>
                <w:rFonts w:ascii="Courier New" w:cs="Courier New" w:eastAsia="Courier New" w:hAnsi="Courier New"/>
                <w:sz w:val="18"/>
                <w:szCs w:val="18"/>
                <w:color w:val="auto"/>
              </w:rPr>
              <w:t>11,389</w:t>
            </w:r>
          </w:p>
        </w:tc>
        <w:tc>
          <w:tcPr>
            <w:tcW w:w="580" w:type="dxa"/>
            <w:vAlign w:val="bottom"/>
          </w:tcPr>
          <w:p>
            <w:pPr>
              <w:jc w:val="right"/>
              <w:spacing w:after="0" w:line="171" w:lineRule="exact"/>
              <w:rPr>
                <w:sz w:val="20"/>
                <w:szCs w:val="20"/>
                <w:color w:val="auto"/>
              </w:rPr>
            </w:pPr>
            <w:r>
              <w:rPr>
                <w:rFonts w:ascii="Courier New" w:cs="Courier New" w:eastAsia="Courier New" w:hAnsi="Courier New"/>
                <w:sz w:val="18"/>
                <w:szCs w:val="18"/>
                <w:color w:val="auto"/>
              </w:rPr>
              <w:t>3,480</w:t>
            </w:r>
          </w:p>
        </w:tc>
        <w:tc>
          <w:tcPr>
            <w:tcW w:w="0" w:type="dxa"/>
            <w:vAlign w:val="bottom"/>
          </w:tcPr>
          <w:p>
            <w:pPr>
              <w:spacing w:after="0"/>
              <w:rPr>
                <w:sz w:val="1"/>
                <w:szCs w:val="1"/>
                <w:color w:val="auto"/>
              </w:rPr>
            </w:pPr>
          </w:p>
        </w:tc>
      </w:tr>
      <w:tr>
        <w:trPr>
          <w:trHeight w:val="203"/>
        </w:trPr>
        <w:tc>
          <w:tcPr>
            <w:tcW w:w="740" w:type="dxa"/>
            <w:vAlign w:val="bottom"/>
          </w:tcPr>
          <w:p>
            <w:pPr>
              <w:spacing w:after="0"/>
              <w:rPr>
                <w:sz w:val="17"/>
                <w:szCs w:val="17"/>
                <w:color w:val="auto"/>
              </w:rPr>
            </w:pPr>
          </w:p>
        </w:tc>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7,909</w:t>
            </w:r>
          </w:p>
        </w:tc>
        <w:tc>
          <w:tcPr>
            <w:tcW w:w="142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5"/>
              </w:rPr>
              <w:t>Furniture and</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gridSpan w:val="3"/>
          </w:tcPr>
          <w:p>
            <w:pPr>
              <w:ind w:left="120"/>
              <w:spacing w:after="0"/>
              <w:rPr>
                <w:sz w:val="20"/>
                <w:szCs w:val="20"/>
                <w:color w:val="auto"/>
              </w:rPr>
            </w:pPr>
            <w:r>
              <w:rPr>
                <w:rFonts w:ascii="Courier New" w:cs="Courier New" w:eastAsia="Courier New" w:hAnsi="Courier New"/>
                <w:sz w:val="15"/>
                <w:szCs w:val="15"/>
                <w:color w:val="auto"/>
                <w:w w:val="70"/>
              </w:rPr>
              <w:t>fixtures.............</w:t>
            </w: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2,301 337</w:t>
            </w:r>
          </w:p>
        </w:tc>
        <w:tc>
          <w:tcPr>
            <w:tcW w:w="0" w:type="dxa"/>
            <w:vAlign w:val="bottom"/>
          </w:tcPr>
          <w:p>
            <w:pPr>
              <w:spacing w:after="0"/>
              <w:rPr>
                <w:sz w:val="1"/>
                <w:szCs w:val="1"/>
                <w:color w:val="auto"/>
              </w:rPr>
            </w:pPr>
          </w:p>
        </w:tc>
      </w:tr>
      <w:tr>
        <w:trPr>
          <w:trHeight w:val="203"/>
        </w:trPr>
        <w:tc>
          <w:tcPr>
            <w:tcW w:w="740" w:type="dxa"/>
            <w:vAlign w:val="bottom"/>
          </w:tcPr>
          <w:p>
            <w:pPr>
              <w:jc w:val="right"/>
              <w:ind w:right="21"/>
              <w:spacing w:after="0" w:line="203" w:lineRule="exact"/>
              <w:rPr>
                <w:sz w:val="20"/>
                <w:szCs w:val="20"/>
                <w:color w:val="auto"/>
              </w:rPr>
            </w:pPr>
            <w:r>
              <w:rPr>
                <w:rFonts w:ascii="Courier New" w:cs="Courier New" w:eastAsia="Courier New" w:hAnsi="Courier New"/>
                <w:sz w:val="18"/>
                <w:szCs w:val="18"/>
                <w:color w:val="auto"/>
              </w:rPr>
              <w:t>1,964</w:t>
            </w:r>
          </w:p>
        </w:tc>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2,031</w:t>
            </w:r>
          </w:p>
        </w:tc>
        <w:tc>
          <w:tcPr>
            <w:tcW w:w="200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6"/>
              </w:rPr>
              <w:t>147 1,884 Leasehold</w:t>
            </w:r>
          </w:p>
        </w:tc>
        <w:tc>
          <w:tcPr>
            <w:tcW w:w="0" w:type="dxa"/>
            <w:vAlign w:val="bottom"/>
          </w:tcPr>
          <w:p>
            <w:pPr>
              <w:spacing w:after="0"/>
              <w:rPr>
                <w:sz w:val="1"/>
                <w:szCs w:val="1"/>
                <w:color w:val="auto"/>
              </w:rPr>
            </w:pPr>
          </w:p>
        </w:tc>
      </w:tr>
      <w:tr>
        <w:trPr>
          <w:trHeight w:val="203"/>
        </w:trPr>
        <w:tc>
          <w:tcPr>
            <w:tcW w:w="2060" w:type="dxa"/>
            <w:vAlign w:val="bottom"/>
            <w:gridSpan w:val="4"/>
          </w:tcPr>
          <w:p>
            <w:pPr>
              <w:ind w:left="220"/>
              <w:spacing w:after="0"/>
              <w:rPr>
                <w:sz w:val="20"/>
                <w:szCs w:val="20"/>
                <w:color w:val="auto"/>
              </w:rPr>
            </w:pPr>
            <w:r>
              <w:rPr>
                <w:rFonts w:ascii="Courier New" w:cs="Courier New" w:eastAsia="Courier New" w:hAnsi="Courier New"/>
                <w:sz w:val="16"/>
                <w:szCs w:val="16"/>
                <w:color w:val="auto"/>
                <w:w w:val="75"/>
              </w:rPr>
              <w:t>improvements.............</w:t>
            </w: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990</w:t>
            </w:r>
          </w:p>
        </w:tc>
        <w:tc>
          <w:tcPr>
            <w:tcW w:w="0" w:type="dxa"/>
            <w:vAlign w:val="bottom"/>
          </w:tcPr>
          <w:p>
            <w:pPr>
              <w:spacing w:after="0"/>
              <w:rPr>
                <w:sz w:val="1"/>
                <w:szCs w:val="1"/>
                <w:color w:val="auto"/>
              </w:rPr>
            </w:pPr>
          </w:p>
        </w:tc>
      </w:tr>
      <w:tr>
        <w:trPr>
          <w:trHeight w:val="203"/>
        </w:trPr>
        <w:tc>
          <w:tcPr>
            <w:tcW w:w="740" w:type="dxa"/>
            <w:vAlign w:val="bottom"/>
          </w:tcPr>
          <w:p>
            <w:pPr>
              <w:jc w:val="right"/>
              <w:ind w:right="21"/>
              <w:spacing w:after="0" w:line="203" w:lineRule="exact"/>
              <w:rPr>
                <w:sz w:val="20"/>
                <w:szCs w:val="20"/>
                <w:color w:val="auto"/>
              </w:rPr>
            </w:pPr>
            <w:r>
              <w:rPr>
                <w:rFonts w:ascii="Courier New" w:cs="Courier New" w:eastAsia="Courier New" w:hAnsi="Courier New"/>
                <w:sz w:val="18"/>
                <w:szCs w:val="18"/>
                <w:color w:val="auto"/>
              </w:rPr>
              <w:t>523</w:t>
            </w:r>
          </w:p>
        </w:tc>
        <w:tc>
          <w:tcPr>
            <w:tcW w:w="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5"/>
              </w:rPr>
              <w:t>467 535</w:t>
            </w:r>
          </w:p>
        </w:tc>
        <w:tc>
          <w:tcPr>
            <w:tcW w:w="190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rPr>
              <w:t>38 497 Computer</w:t>
            </w:r>
          </w:p>
        </w:tc>
        <w:tc>
          <w:tcPr>
            <w:tcW w:w="0" w:type="dxa"/>
            <w:vAlign w:val="bottom"/>
          </w:tcPr>
          <w:p>
            <w:pPr>
              <w:spacing w:after="0"/>
              <w:rPr>
                <w:sz w:val="1"/>
                <w:szCs w:val="1"/>
                <w:color w:val="auto"/>
              </w:rPr>
            </w:pPr>
          </w:p>
        </w:tc>
      </w:tr>
      <w:tr>
        <w:trPr>
          <w:trHeight w:val="203"/>
        </w:trPr>
        <w:tc>
          <w:tcPr>
            <w:tcW w:w="3380" w:type="dxa"/>
            <w:vAlign w:val="bottom"/>
            <w:gridSpan w:val="7"/>
          </w:tcPr>
          <w:p>
            <w:pPr>
              <w:jc w:val="center"/>
              <w:ind w:left="21"/>
              <w:spacing w:after="0" w:line="203" w:lineRule="exact"/>
              <w:rPr>
                <w:sz w:val="20"/>
                <w:szCs w:val="20"/>
                <w:color w:val="auto"/>
              </w:rPr>
            </w:pPr>
            <w:r>
              <w:rPr>
                <w:rFonts w:ascii="Courier New" w:cs="Courier New" w:eastAsia="Courier New" w:hAnsi="Courier New"/>
                <w:sz w:val="18"/>
                <w:szCs w:val="18"/>
                <w:color w:val="auto"/>
                <w:w w:val="97"/>
              </w:rPr>
              <w:t>hardware under capital</w:t>
            </w:r>
          </w:p>
        </w:tc>
        <w:tc>
          <w:tcPr>
            <w:tcW w:w="0" w:type="dxa"/>
            <w:vAlign w:val="bottom"/>
          </w:tcPr>
          <w:p>
            <w:pPr>
              <w:spacing w:after="0"/>
              <w:rPr>
                <w:sz w:val="1"/>
                <w:szCs w:val="1"/>
                <w:color w:val="auto"/>
              </w:rPr>
            </w:pPr>
          </w:p>
        </w:tc>
      </w:tr>
      <w:tr>
        <w:trPr>
          <w:trHeight w:val="203"/>
        </w:trPr>
        <w:tc>
          <w:tcPr>
            <w:tcW w:w="138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6"/>
              </w:rPr>
              <w:t>leases...........................</w:t>
            </w:r>
          </w:p>
        </w:tc>
        <w:tc>
          <w:tcPr>
            <w:tcW w:w="100" w:type="dxa"/>
            <w:vAlign w:val="bottom"/>
          </w:tcPr>
          <w:p>
            <w:pPr>
              <w:spacing w:after="0"/>
              <w:rPr>
                <w:sz w:val="17"/>
                <w:szCs w:val="17"/>
                <w:color w:val="auto"/>
              </w:rPr>
            </w:pPr>
          </w:p>
        </w:tc>
        <w:tc>
          <w:tcPr>
            <w:tcW w:w="800" w:type="dxa"/>
            <w:vAlign w:val="bottom"/>
            <w:gridSpan w:val="2"/>
            <w:vMerge w:val="restart"/>
          </w:tcPr>
          <w:p>
            <w:pPr>
              <w:ind w:left="100"/>
              <w:spacing w:after="0"/>
              <w:rPr>
                <w:sz w:val="20"/>
                <w:szCs w:val="20"/>
                <w:color w:val="auto"/>
              </w:rPr>
            </w:pPr>
            <w:r>
              <w:rPr>
                <w:rFonts w:ascii="Courier New" w:cs="Courier New" w:eastAsia="Courier New" w:hAnsi="Courier New"/>
                <w:sz w:val="18"/>
                <w:szCs w:val="18"/>
                <w:color w:val="auto"/>
              </w:rPr>
              <w:t>41,575</w:t>
            </w:r>
          </w:p>
        </w:tc>
        <w:tc>
          <w:tcPr>
            <w:tcW w:w="1100" w:type="dxa"/>
            <w:vAlign w:val="bottom"/>
            <w:gridSpan w:val="2"/>
            <w:vMerge w:val="restart"/>
          </w:tcPr>
          <w:p>
            <w:pPr>
              <w:jc w:val="right"/>
              <w:ind w:right="12"/>
              <w:spacing w:after="0"/>
              <w:rPr>
                <w:sz w:val="20"/>
                <w:szCs w:val="20"/>
                <w:color w:val="auto"/>
              </w:rPr>
            </w:pPr>
            <w:r>
              <w:rPr>
                <w:rFonts w:ascii="Courier New" w:cs="Courier New" w:eastAsia="Courier New" w:hAnsi="Courier New"/>
                <w:sz w:val="18"/>
                <w:szCs w:val="18"/>
                <w:color w:val="auto"/>
              </w:rPr>
              <w:t>26,579 47</w:t>
            </w:r>
          </w:p>
        </w:tc>
        <w:tc>
          <w:tcPr>
            <w:tcW w:w="0" w:type="dxa"/>
            <w:vAlign w:val="bottom"/>
          </w:tcPr>
          <w:p>
            <w:pPr>
              <w:spacing w:after="0"/>
              <w:rPr>
                <w:sz w:val="1"/>
                <w:szCs w:val="1"/>
                <w:color w:val="auto"/>
              </w:rPr>
            </w:pPr>
          </w:p>
        </w:tc>
      </w:tr>
      <w:tr>
        <w:trPr>
          <w:trHeight w:val="203"/>
        </w:trPr>
        <w:tc>
          <w:tcPr>
            <w:tcW w:w="148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w w:val="95"/>
              </w:rPr>
              <w:t>47,399 5,824</w:t>
            </w:r>
          </w:p>
        </w:tc>
        <w:tc>
          <w:tcPr>
            <w:tcW w:w="800" w:type="dxa"/>
            <w:vAlign w:val="bottom"/>
            <w:gridSpan w:val="2"/>
            <w:vMerge w:val="continue"/>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 w:type="dxa"/>
            <w:vAlign w:val="bottom"/>
          </w:tcPr>
          <w:p>
            <w:pPr>
              <w:spacing w:after="0"/>
              <w:rPr>
                <w:sz w:val="17"/>
                <w:szCs w:val="17"/>
                <w:color w:val="auto"/>
              </w:rPr>
            </w:pPr>
          </w:p>
        </w:tc>
        <w:tc>
          <w:tcPr>
            <w:tcW w:w="206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6"/>
              </w:rPr>
              <w:t>26,532 Assets under</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1480" w:type="dxa"/>
            <w:vAlign w:val="bottom"/>
            <w:gridSpan w:val="3"/>
          </w:tcPr>
          <w:p>
            <w:pPr>
              <w:ind w:left="120"/>
              <w:spacing w:after="0"/>
              <w:rPr>
                <w:sz w:val="20"/>
                <w:szCs w:val="20"/>
                <w:color w:val="auto"/>
              </w:rPr>
            </w:pPr>
            <w:r>
              <w:rPr>
                <w:rFonts w:ascii="Courier New" w:cs="Courier New" w:eastAsia="Courier New" w:hAnsi="Courier New"/>
                <w:sz w:val="14"/>
                <w:szCs w:val="14"/>
                <w:color w:val="auto"/>
                <w:w w:val="72"/>
              </w:rPr>
              <w:t>development...........</w:t>
            </w: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1,026 --</w:t>
            </w:r>
          </w:p>
        </w:tc>
        <w:tc>
          <w:tcPr>
            <w:tcW w:w="0" w:type="dxa"/>
            <w:vAlign w:val="bottom"/>
          </w:tcPr>
          <w:p>
            <w:pPr>
              <w:spacing w:after="0"/>
              <w:rPr>
                <w:sz w:val="1"/>
                <w:szCs w:val="1"/>
                <w:color w:val="auto"/>
              </w:rPr>
            </w:pPr>
          </w:p>
        </w:tc>
      </w:tr>
    </w:tbl>
    <w:p>
      <w:pPr>
        <w:ind w:left="60"/>
        <w:spacing w:after="0" w:line="238" w:lineRule="auto"/>
        <w:rPr>
          <w:sz w:val="20"/>
          <w:szCs w:val="20"/>
          <w:color w:val="auto"/>
        </w:rPr>
      </w:pPr>
      <w:r>
        <w:rPr>
          <w:rFonts w:ascii="Courier New" w:cs="Courier New" w:eastAsia="Courier New" w:hAnsi="Courier New"/>
          <w:sz w:val="18"/>
          <w:szCs w:val="18"/>
          <w:color w:val="auto"/>
        </w:rPr>
        <w:t>1,026 -- -- -- ------ ------ ---</w:t>
      </w:r>
    </w:p>
    <w:p>
      <w:pPr>
        <w:ind w:left="380" w:right="6899" w:hanging="217"/>
        <w:spacing w:after="0" w:line="268" w:lineRule="auto"/>
        <w:tabs>
          <w:tab w:leader="none" w:pos="591"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------ 63,526 14,032 49,494 40,534 3,712</w:t>
      </w:r>
    </w:p>
    <w:p>
      <w:pPr>
        <w:jc w:val="center"/>
        <w:ind w:right="6739"/>
        <w:spacing w:after="0"/>
        <w:rPr>
          <w:sz w:val="20"/>
          <w:szCs w:val="20"/>
          <w:color w:val="auto"/>
        </w:rPr>
      </w:pPr>
      <w:r>
        <w:rPr>
          <w:rFonts w:ascii="Courier New" w:cs="Courier New" w:eastAsia="Courier New" w:hAnsi="Courier New"/>
          <w:sz w:val="18"/>
          <w:szCs w:val="18"/>
          <w:color w:val="auto"/>
        </w:rPr>
        <w:t>36,822 ====== ====== ======</w:t>
      </w:r>
    </w:p>
    <w:p>
      <w:pPr>
        <w:jc w:val="center"/>
        <w:ind w:right="6739"/>
        <w:spacing w:after="0"/>
        <w:rPr>
          <w:sz w:val="20"/>
          <w:szCs w:val="20"/>
          <w:color w:val="auto"/>
        </w:rPr>
      </w:pPr>
      <w:r>
        <w:rPr>
          <w:rFonts w:ascii="Courier New" w:cs="Courier New" w:eastAsia="Courier New" w:hAnsi="Courier New"/>
          <w:sz w:val="18"/>
          <w:szCs w:val="18"/>
          <w:color w:val="auto"/>
        </w:rPr>
        <w:t>====== ===== ======</w:t>
      </w:r>
    </w:p>
    <w:p>
      <w:pPr>
        <w:spacing w:after="0" w:line="372" w:lineRule="exact"/>
        <w:rPr>
          <w:sz w:val="20"/>
          <w:szCs w:val="20"/>
          <w:color w:val="auto"/>
        </w:rPr>
      </w:pPr>
    </w:p>
    <w:p>
      <w:pPr>
        <w:ind w:right="1779" w:firstLine="527"/>
        <w:spacing w:after="0" w:line="292" w:lineRule="auto"/>
        <w:rPr>
          <w:sz w:val="20"/>
          <w:szCs w:val="20"/>
          <w:color w:val="auto"/>
        </w:rPr>
      </w:pPr>
      <w:r>
        <w:rPr>
          <w:rFonts w:ascii="Courier New" w:cs="Courier New" w:eastAsia="Courier New" w:hAnsi="Courier New"/>
          <w:sz w:val="18"/>
          <w:szCs w:val="18"/>
          <w:color w:val="auto"/>
        </w:rPr>
        <w:t>The amortization expense for property, plant and equipment for 2002 amounts to $12,394,000 ($3,712,000 in 2001) of which $5,777,000 ($47,000 in 2001) relates to computer hardware under capital leases.</w:t>
      </w:r>
    </w:p>
    <w:p>
      <w:pPr>
        <w:spacing w:after="0" w:line="66" w:lineRule="exact"/>
        <w:rPr>
          <w:sz w:val="20"/>
          <w:szCs w:val="20"/>
          <w:color w:val="auto"/>
        </w:rPr>
      </w:pPr>
    </w:p>
    <w:p>
      <w:pPr>
        <w:ind w:left="420" w:hanging="412"/>
        <w:spacing w:after="0"/>
        <w:tabs>
          <w:tab w:leader="none" w:pos="420"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INTANGIBLE ASSETS</w:t>
      </w:r>
    </w:p>
    <w:p>
      <w:pPr>
        <w:spacing w:after="0" w:line="201"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2002 2001 ----------</w:t>
      </w:r>
    </w:p>
    <w:p>
      <w:pPr>
        <w:spacing w:after="0" w:line="29"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w:t>
      </w:r>
    </w:p>
    <w:p>
      <w:pPr>
        <w:ind w:left="480" w:hanging="425"/>
        <w:spacing w:after="0" w:line="238" w:lineRule="auto"/>
        <w:tabs>
          <w:tab w:leader="none" w:pos="480"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jc w:val="center"/>
        <w:ind w:right="7999"/>
        <w:spacing w:after="0"/>
        <w:rPr>
          <w:sz w:val="20"/>
          <w:szCs w:val="20"/>
          <w:color w:val="auto"/>
        </w:rPr>
      </w:pPr>
      <w:r>
        <w:rPr>
          <w:rFonts w:ascii="Courier New" w:cs="Courier New" w:eastAsia="Courier New" w:hAnsi="Courier New"/>
          <w:sz w:val="18"/>
          <w:szCs w:val="18"/>
          <w:color w:val="auto"/>
        </w:rPr>
        <w:t>ACCUMULATED NET BOOK</w:t>
      </w:r>
    </w:p>
    <w:p>
      <w:pPr>
        <w:jc w:val="center"/>
        <w:ind w:right="7999"/>
        <w:spacing w:after="0" w:line="238" w:lineRule="auto"/>
        <w:rPr>
          <w:sz w:val="20"/>
          <w:szCs w:val="20"/>
          <w:color w:val="auto"/>
        </w:rPr>
      </w:pPr>
      <w:r>
        <w:rPr>
          <w:rFonts w:ascii="Courier New" w:cs="Courier New" w:eastAsia="Courier New" w:hAnsi="Courier New"/>
          <w:sz w:val="18"/>
          <w:szCs w:val="18"/>
          <w:color w:val="auto"/>
        </w:rPr>
        <w:t>ACCUMULATED NET BOOK</w:t>
      </w:r>
    </w:p>
    <w:p>
      <w:pPr>
        <w:jc w:val="center"/>
        <w:ind w:right="7999"/>
        <w:spacing w:after="0"/>
        <w:rPr>
          <w:sz w:val="20"/>
          <w:szCs w:val="20"/>
          <w:color w:val="auto"/>
        </w:rPr>
      </w:pPr>
      <w:r>
        <w:rPr>
          <w:rFonts w:ascii="Courier New" w:cs="Courier New" w:eastAsia="Courier New" w:hAnsi="Courier New"/>
          <w:sz w:val="18"/>
          <w:szCs w:val="18"/>
          <w:color w:val="auto"/>
        </w:rPr>
        <w:t>COST AMORTIZATION</w:t>
      </w:r>
    </w:p>
    <w:p>
      <w:pPr>
        <w:jc w:val="center"/>
        <w:ind w:right="7999"/>
        <w:spacing w:after="0" w:line="238" w:lineRule="auto"/>
        <w:rPr>
          <w:sz w:val="20"/>
          <w:szCs w:val="20"/>
          <w:color w:val="auto"/>
        </w:rPr>
      </w:pPr>
      <w:r>
        <w:rPr>
          <w:rFonts w:ascii="Courier New" w:cs="Courier New" w:eastAsia="Courier New" w:hAnsi="Courier New"/>
          <w:sz w:val="18"/>
          <w:szCs w:val="18"/>
          <w:color w:val="auto"/>
        </w:rPr>
        <w:t>VALUE COST</w:t>
      </w:r>
    </w:p>
    <w:p>
      <w:pPr>
        <w:jc w:val="center"/>
        <w:ind w:right="7999"/>
        <w:spacing w:after="0"/>
        <w:rPr>
          <w:sz w:val="20"/>
          <w:szCs w:val="20"/>
          <w:color w:val="auto"/>
        </w:rPr>
      </w:pPr>
      <w:r>
        <w:rPr>
          <w:rFonts w:ascii="Courier New" w:cs="Courier New" w:eastAsia="Courier New" w:hAnsi="Courier New"/>
          <w:sz w:val="18"/>
          <w:szCs w:val="18"/>
          <w:color w:val="auto"/>
        </w:rPr>
        <w:t>AMORTIZATION VALUE -</w:t>
      </w:r>
    </w:p>
    <w:p>
      <w:pPr>
        <w:ind w:left="100"/>
        <w:spacing w:after="0" w:line="238" w:lineRule="auto"/>
        <w:rPr>
          <w:sz w:val="20"/>
          <w:szCs w:val="20"/>
          <w:color w:val="auto"/>
        </w:rPr>
      </w:pPr>
      <w:r>
        <w:rPr>
          <w:rFonts w:ascii="Courier New" w:cs="Courier New" w:eastAsia="Courier New" w:hAnsi="Courier New"/>
          <w:sz w:val="18"/>
          <w:szCs w:val="18"/>
          <w:color w:val="auto"/>
        </w:rPr>
        <w:t>------ ------------</w:t>
      </w:r>
    </w:p>
    <w:p>
      <w:pPr>
        <w:ind w:left="60"/>
        <w:spacing w:after="0"/>
        <w:rPr>
          <w:sz w:val="20"/>
          <w:szCs w:val="20"/>
          <w:color w:val="auto"/>
        </w:rPr>
      </w:pPr>
      <w:r>
        <w:rPr>
          <w:rFonts w:ascii="Courier New" w:cs="Courier New" w:eastAsia="Courier New" w:hAnsi="Courier New"/>
          <w:sz w:val="18"/>
          <w:szCs w:val="18"/>
          <w:color w:val="auto"/>
        </w:rPr>
        <w:t>-------- ------- ---</w:t>
      </w:r>
    </w:p>
    <w:p>
      <w:pPr>
        <w:ind w:left="60"/>
        <w:spacing w:after="0" w:line="238" w:lineRule="auto"/>
        <w:rPr>
          <w:sz w:val="20"/>
          <w:szCs w:val="20"/>
          <w:color w:val="auto"/>
        </w:rPr>
      </w:pPr>
      <w:r>
        <w:rPr>
          <w:rFonts w:ascii="Courier New" w:cs="Courier New" w:eastAsia="Courier New" w:hAnsi="Courier New"/>
          <w:sz w:val="18"/>
          <w:szCs w:val="18"/>
          <w:color w:val="auto"/>
        </w:rPr>
        <w:t>--------- -------- $</w:t>
      </w:r>
    </w:p>
    <w:p>
      <w:pPr>
        <w:ind w:left="160"/>
        <w:spacing w:after="0"/>
        <w:rPr>
          <w:sz w:val="20"/>
          <w:szCs w:val="20"/>
          <w:color w:val="auto"/>
        </w:rPr>
      </w:pPr>
      <w:r>
        <w:rPr>
          <w:rFonts w:ascii="Courier New" w:cs="Courier New" w:eastAsia="Courier New" w:hAnsi="Courier New"/>
          <w:sz w:val="18"/>
          <w:szCs w:val="18"/>
          <w:color w:val="auto"/>
        </w:rPr>
        <w:t>$ $ $ $ $ Software</w:t>
      </w:r>
    </w:p>
    <w:p>
      <w:pPr>
        <w:sectPr>
          <w:pgSz w:w="11900" w:h="16838" w:orient="portrait"/>
          <w:cols w:equalWidth="0" w:num="1">
            <w:col w:w="10219"/>
          </w:cols>
          <w:pgMar w:left="240" w:top="488" w:right="1440" w:bottom="0" w:gutter="0" w:footer="0" w:header="0"/>
        </w:sectPr>
      </w:pPr>
    </w:p>
    <w:bookmarkStart w:id="131" w:name="page132"/>
    <w:bookmarkEnd w:id="131"/>
    <w:p>
      <w:pPr>
        <w:jc w:val="center"/>
        <w:ind w:right="8019"/>
        <w:spacing w:after="0"/>
        <w:rPr>
          <w:sz w:val="20"/>
          <w:szCs w:val="20"/>
          <w:color w:val="auto"/>
        </w:rPr>
      </w:pPr>
      <w:r>
        <w:rPr>
          <w:rFonts w:ascii="Courier New" w:cs="Courier New" w:eastAsia="Courier New" w:hAnsi="Courier New"/>
          <w:sz w:val="18"/>
          <w:szCs w:val="18"/>
          <w:color w:val="auto"/>
        </w:rPr>
        <w:t>and</w:t>
      </w:r>
    </w:p>
    <w:p>
      <w:pPr>
        <w:spacing w:after="0" w:line="29"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licenses..........</w:t>
      </w:r>
    </w:p>
    <w:tbl>
      <w:tblPr>
        <w:tblLayout w:type="fixed"/>
        <w:tblInd w:w="320" w:type="dxa"/>
        <w:tblCellMar>
          <w:top w:w="0" w:type="dxa"/>
          <w:left w:w="0" w:type="dxa"/>
          <w:bottom w:w="0" w:type="dxa"/>
          <w:right w:w="0" w:type="dxa"/>
        </w:tblCellMar>
      </w:tblPr>
      <w:tr>
        <w:trPr>
          <w:trHeight w:val="171"/>
        </w:trPr>
        <w:tc>
          <w:tcPr>
            <w:tcW w:w="820" w:type="dxa"/>
            <w:vAlign w:val="bottom"/>
          </w:tcPr>
          <w:p>
            <w:pPr>
              <w:jc w:val="right"/>
              <w:spacing w:after="0" w:line="170" w:lineRule="exact"/>
              <w:rPr>
                <w:sz w:val="20"/>
                <w:szCs w:val="20"/>
                <w:color w:val="auto"/>
              </w:rPr>
            </w:pPr>
            <w:r>
              <w:rPr>
                <w:rFonts w:ascii="Courier New" w:cs="Courier New" w:eastAsia="Courier New" w:hAnsi="Courier New"/>
                <w:sz w:val="18"/>
                <w:szCs w:val="18"/>
                <w:color w:val="auto"/>
              </w:rPr>
              <w:t>159,696</w:t>
            </w:r>
          </w:p>
        </w:tc>
        <w:tc>
          <w:tcPr>
            <w:tcW w:w="760" w:type="dxa"/>
            <w:vAlign w:val="bottom"/>
          </w:tcPr>
          <w:p>
            <w:pPr>
              <w:jc w:val="right"/>
              <w:spacing w:after="0" w:line="170" w:lineRule="exact"/>
              <w:rPr>
                <w:sz w:val="20"/>
                <w:szCs w:val="20"/>
                <w:color w:val="auto"/>
              </w:rPr>
            </w:pPr>
            <w:r>
              <w:rPr>
                <w:rFonts w:ascii="Courier New" w:cs="Courier New" w:eastAsia="Courier New" w:hAnsi="Courier New"/>
                <w:sz w:val="18"/>
                <w:szCs w:val="18"/>
                <w:color w:val="auto"/>
              </w:rPr>
              <w:t>53,854</w:t>
            </w:r>
          </w:p>
        </w:tc>
      </w:tr>
      <w:tr>
        <w:trPr>
          <w:trHeight w:val="203"/>
        </w:trPr>
        <w:tc>
          <w:tcPr>
            <w:tcW w:w="8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105,842</w:t>
            </w:r>
          </w:p>
        </w:tc>
        <w:tc>
          <w:tcPr>
            <w:tcW w:w="760" w:type="dxa"/>
            <w:vAlign w:val="bottom"/>
          </w:tcPr>
          <w:p>
            <w:pPr>
              <w:ind w:left="20"/>
              <w:spacing w:after="0" w:line="203" w:lineRule="exact"/>
              <w:rPr>
                <w:sz w:val="20"/>
                <w:szCs w:val="20"/>
                <w:color w:val="auto"/>
              </w:rPr>
            </w:pPr>
            <w:r>
              <w:rPr>
                <w:rFonts w:ascii="Courier New" w:cs="Courier New" w:eastAsia="Courier New" w:hAnsi="Courier New"/>
                <w:sz w:val="18"/>
                <w:szCs w:val="18"/>
                <w:color w:val="auto"/>
                <w:w w:val="95"/>
              </w:rPr>
              <w:t>101,930</w:t>
            </w:r>
          </w:p>
        </w:tc>
      </w:tr>
      <w:tr>
        <w:trPr>
          <w:trHeight w:val="235"/>
        </w:trPr>
        <w:tc>
          <w:tcPr>
            <w:tcW w:w="820" w:type="dxa"/>
            <w:vAlign w:val="bottom"/>
          </w:tcPr>
          <w:p>
            <w:pPr>
              <w:jc w:val="right"/>
              <w:spacing w:after="0"/>
              <w:rPr>
                <w:sz w:val="20"/>
                <w:szCs w:val="20"/>
                <w:color w:val="auto"/>
              </w:rPr>
            </w:pPr>
            <w:r>
              <w:rPr>
                <w:rFonts w:ascii="Courier New" w:cs="Courier New" w:eastAsia="Courier New" w:hAnsi="Courier New"/>
                <w:sz w:val="18"/>
                <w:szCs w:val="18"/>
                <w:color w:val="auto"/>
              </w:rPr>
              <w:t>14,522</w:t>
            </w:r>
          </w:p>
        </w:tc>
        <w:tc>
          <w:tcPr>
            <w:tcW w:w="760" w:type="dxa"/>
            <w:vAlign w:val="bottom"/>
          </w:tcPr>
          <w:p>
            <w:pPr>
              <w:ind w:left="20"/>
              <w:spacing w:after="0"/>
              <w:rPr>
                <w:sz w:val="20"/>
                <w:szCs w:val="20"/>
                <w:color w:val="auto"/>
              </w:rPr>
            </w:pPr>
            <w:r>
              <w:rPr>
                <w:rFonts w:ascii="Courier New" w:cs="Courier New" w:eastAsia="Courier New" w:hAnsi="Courier New"/>
                <w:sz w:val="18"/>
                <w:szCs w:val="18"/>
                <w:color w:val="auto"/>
              </w:rPr>
              <w:t>87,408</w:t>
            </w:r>
          </w:p>
        </w:tc>
      </w:tr>
    </w:tbl>
    <w:p>
      <w:pPr>
        <w:jc w:val="center"/>
        <w:ind w:right="8019"/>
        <w:spacing w:after="0" w:line="238" w:lineRule="auto"/>
        <w:rPr>
          <w:sz w:val="20"/>
          <w:szCs w:val="20"/>
          <w:color w:val="auto"/>
        </w:rPr>
      </w:pPr>
      <w:r>
        <w:rPr>
          <w:rFonts w:ascii="Courier New" w:cs="Courier New" w:eastAsia="Courier New" w:hAnsi="Courier New"/>
          <w:sz w:val="18"/>
          <w:szCs w:val="18"/>
          <w:color w:val="auto"/>
        </w:rPr>
        <w:t>Software and</w:t>
      </w:r>
    </w:p>
    <w:p>
      <w:pPr>
        <w:jc w:val="center"/>
        <w:ind w:right="8019"/>
        <w:spacing w:after="0"/>
        <w:rPr>
          <w:sz w:val="20"/>
          <w:szCs w:val="20"/>
          <w:color w:val="auto"/>
        </w:rPr>
      </w:pPr>
      <w:r>
        <w:rPr>
          <w:rFonts w:ascii="Courier New" w:cs="Courier New" w:eastAsia="Courier New" w:hAnsi="Courier New"/>
          <w:sz w:val="18"/>
          <w:szCs w:val="18"/>
          <w:color w:val="auto"/>
        </w:rPr>
        <w:t>licenses under</w:t>
      </w:r>
    </w:p>
    <w:p>
      <w:pPr>
        <w:jc w:val="center"/>
        <w:ind w:right="8019"/>
        <w:spacing w:after="0" w:line="238" w:lineRule="auto"/>
        <w:rPr>
          <w:sz w:val="20"/>
          <w:szCs w:val="20"/>
          <w:color w:val="auto"/>
        </w:rPr>
      </w:pPr>
      <w:r>
        <w:rPr>
          <w:rFonts w:ascii="Courier New" w:cs="Courier New" w:eastAsia="Courier New" w:hAnsi="Courier New"/>
          <w:sz w:val="18"/>
          <w:szCs w:val="18"/>
          <w:color w:val="auto"/>
        </w:rPr>
        <w:t>capital</w:t>
      </w:r>
    </w:p>
    <w:p>
      <w:pPr>
        <w:spacing w:after="0"/>
        <w:rPr>
          <w:sz w:val="20"/>
          <w:szCs w:val="20"/>
          <w:color w:val="auto"/>
        </w:rPr>
      </w:pPr>
      <w:r>
        <w:rPr>
          <w:rFonts w:ascii="Courier New" w:cs="Courier New" w:eastAsia="Courier New" w:hAnsi="Courier New"/>
          <w:sz w:val="18"/>
          <w:szCs w:val="18"/>
          <w:color w:val="auto"/>
        </w:rPr>
        <w:t>leases...............</w:t>
      </w:r>
    </w:p>
    <w:tbl>
      <w:tblPr>
        <w:tblLayout w:type="fixed"/>
        <w:tblInd w:w="100" w:type="dxa"/>
        <w:tblCellMar>
          <w:top w:w="0" w:type="dxa"/>
          <w:left w:w="0" w:type="dxa"/>
          <w:bottom w:w="0" w:type="dxa"/>
          <w:right w:w="0" w:type="dxa"/>
        </w:tblCellMar>
      </w:tblPr>
      <w:tr>
        <w:trPr>
          <w:trHeight w:val="171"/>
        </w:trPr>
        <w:tc>
          <w:tcPr>
            <w:tcW w:w="1320" w:type="dxa"/>
            <w:vAlign w:val="bottom"/>
          </w:tcPr>
          <w:p>
            <w:pPr>
              <w:jc w:val="right"/>
              <w:spacing w:after="0" w:line="170" w:lineRule="exact"/>
              <w:rPr>
                <w:sz w:val="20"/>
                <w:szCs w:val="20"/>
                <w:color w:val="auto"/>
              </w:rPr>
            </w:pPr>
            <w:r>
              <w:rPr>
                <w:rFonts w:ascii="Courier New" w:cs="Courier New" w:eastAsia="Courier New" w:hAnsi="Courier New"/>
                <w:sz w:val="18"/>
                <w:szCs w:val="18"/>
                <w:color w:val="auto"/>
                <w:w w:val="97"/>
              </w:rPr>
              <w:t>29,127 7,064</w:t>
            </w:r>
          </w:p>
        </w:tc>
        <w:tc>
          <w:tcPr>
            <w:tcW w:w="680" w:type="dxa"/>
            <w:vAlign w:val="bottom"/>
          </w:tcPr>
          <w:p>
            <w:pPr>
              <w:jc w:val="right"/>
              <w:spacing w:after="0" w:line="170" w:lineRule="exact"/>
              <w:rPr>
                <w:sz w:val="20"/>
                <w:szCs w:val="20"/>
                <w:color w:val="auto"/>
              </w:rPr>
            </w:pPr>
            <w:r>
              <w:rPr>
                <w:rFonts w:ascii="Courier New" w:cs="Courier New" w:eastAsia="Courier New" w:hAnsi="Courier New"/>
                <w:sz w:val="18"/>
                <w:szCs w:val="18"/>
                <w:color w:val="auto"/>
              </w:rPr>
              <w:t>22,063</w:t>
            </w:r>
          </w:p>
        </w:tc>
      </w:tr>
      <w:tr>
        <w:trPr>
          <w:trHeight w:val="203"/>
        </w:trPr>
        <w:tc>
          <w:tcPr>
            <w:tcW w:w="200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19,902 -- 19,902</w:t>
            </w:r>
          </w:p>
        </w:tc>
      </w:tr>
      <w:tr>
        <w:trPr>
          <w:trHeight w:val="235"/>
        </w:trPr>
        <w:tc>
          <w:tcPr>
            <w:tcW w:w="2000" w:type="dxa"/>
            <w:vAlign w:val="bottom"/>
            <w:gridSpan w:val="2"/>
          </w:tcPr>
          <w:p>
            <w:pPr>
              <w:jc w:val="center"/>
              <w:spacing w:after="0"/>
              <w:rPr>
                <w:sz w:val="20"/>
                <w:szCs w:val="20"/>
                <w:color w:val="auto"/>
              </w:rPr>
            </w:pPr>
            <w:r>
              <w:rPr>
                <w:rFonts w:ascii="Courier New" w:cs="Courier New" w:eastAsia="Courier New" w:hAnsi="Courier New"/>
                <w:sz w:val="18"/>
                <w:szCs w:val="18"/>
                <w:color w:val="auto"/>
                <w:w w:val="97"/>
              </w:rPr>
              <w:t>Assets under</w:t>
            </w:r>
          </w:p>
        </w:tc>
      </w:tr>
    </w:tbl>
    <w:p>
      <w:pPr>
        <w:ind w:left="160"/>
        <w:spacing w:after="0" w:line="238" w:lineRule="auto"/>
        <w:rPr>
          <w:sz w:val="20"/>
          <w:szCs w:val="20"/>
          <w:color w:val="auto"/>
        </w:rPr>
      </w:pPr>
      <w:r>
        <w:rPr>
          <w:rFonts w:ascii="Courier New" w:cs="Courier New" w:eastAsia="Courier New" w:hAnsi="Courier New"/>
          <w:sz w:val="18"/>
          <w:szCs w:val="18"/>
          <w:color w:val="auto"/>
        </w:rPr>
        <w:t>development.......</w:t>
      </w:r>
    </w:p>
    <w:p>
      <w:pPr>
        <w:jc w:val="center"/>
        <w:ind w:right="8019"/>
        <w:spacing w:after="0"/>
        <w:rPr>
          <w:sz w:val="20"/>
          <w:szCs w:val="20"/>
          <w:color w:val="auto"/>
        </w:rPr>
      </w:pPr>
      <w:r>
        <w:rPr>
          <w:rFonts w:ascii="Courier New" w:cs="Courier New" w:eastAsia="Courier New" w:hAnsi="Courier New"/>
          <w:sz w:val="18"/>
          <w:szCs w:val="18"/>
          <w:color w:val="auto"/>
        </w:rPr>
        <w:t>237,481 -- 237,481</w:t>
      </w:r>
    </w:p>
    <w:p>
      <w:pPr>
        <w:jc w:val="center"/>
        <w:ind w:right="8019"/>
        <w:spacing w:after="0" w:line="238" w:lineRule="auto"/>
        <w:rPr>
          <w:sz w:val="20"/>
          <w:szCs w:val="20"/>
          <w:color w:val="auto"/>
        </w:rPr>
      </w:pPr>
      <w:r>
        <w:rPr>
          <w:rFonts w:ascii="Courier New" w:cs="Courier New" w:eastAsia="Courier New" w:hAnsi="Courier New"/>
          <w:sz w:val="18"/>
          <w:szCs w:val="18"/>
          <w:color w:val="auto"/>
        </w:rPr>
        <w:t>89,035 -- 89,035 ---</w:t>
      </w:r>
    </w:p>
    <w:p>
      <w:pPr>
        <w:ind w:left="640" w:hanging="532"/>
        <w:spacing w:after="0"/>
        <w:tabs>
          <w:tab w:leader="none" w:pos="640"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-- 426,304 60,918</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365,386 210,867</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14,522 196,345</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3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372" w:lineRule="exact"/>
        <w:rPr>
          <w:sz w:val="20"/>
          <w:szCs w:val="20"/>
          <w:color w:val="auto"/>
        </w:rPr>
      </w:pPr>
    </w:p>
    <w:p>
      <w:pPr>
        <w:jc w:val="right"/>
        <w:ind w:right="5679"/>
        <w:spacing w:after="0"/>
        <w:rPr>
          <w:sz w:val="20"/>
          <w:szCs w:val="20"/>
          <w:color w:val="auto"/>
        </w:rPr>
      </w:pPr>
      <w:r>
        <w:rPr>
          <w:rFonts w:ascii="Courier New" w:cs="Courier New" w:eastAsia="Courier New" w:hAnsi="Courier New"/>
          <w:sz w:val="18"/>
          <w:szCs w:val="18"/>
          <w:color w:val="auto"/>
        </w:rPr>
        <w:t>F-46</w:t>
      </w:r>
    </w:p>
    <w:p>
      <w:pPr>
        <w:sectPr>
          <w:pgSz w:w="11900" w:h="16838" w:orient="portrait"/>
          <w:cols w:equalWidth="0" w:num="1">
            <w:col w:w="10219"/>
          </w:cols>
          <w:pgMar w:left="240" w:top="110" w:right="1440" w:bottom="1440" w:gutter="0" w:footer="0" w:header="0"/>
        </w:sectPr>
      </w:pPr>
    </w:p>
    <w:bookmarkStart w:id="132" w:name="page133"/>
    <w:bookmarkEnd w:id="132"/>
    <w:p>
      <w:pPr>
        <w:jc w:val="center"/>
        <w:ind w:right="1879"/>
        <w:spacing w:after="0"/>
        <w:rPr>
          <w:sz w:val="20"/>
          <w:szCs w:val="20"/>
          <w:color w:val="auto"/>
        </w:rPr>
      </w:pPr>
      <w:r>
        <w:rPr>
          <w:rFonts w:ascii="Courier New" w:cs="Courier New" w:eastAsia="Courier New" w:hAnsi="Courier New"/>
          <w:sz w:val="18"/>
          <w:szCs w:val="18"/>
          <w:color w:val="auto"/>
        </w:rPr>
        <w:t>CERTEN INC.</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NOTES TO THE FINANCIAL STATEMENTS -- (CONTINUED)</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amortization expense for intangible assets for 2002 amounts to</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$48,124,000 ($14,522,000 in 2001) of which $7,064,000 (nil in 2001) relates to</w:t>
      </w:r>
    </w:p>
    <w:p>
      <w:pPr>
        <w:spacing w:after="0" w:line="238" w:lineRule="auto"/>
        <w:rPr>
          <w:sz w:val="20"/>
          <w:szCs w:val="20"/>
          <w:color w:val="auto"/>
        </w:rPr>
      </w:pPr>
      <w:r>
        <w:rPr>
          <w:rFonts w:ascii="Courier New" w:cs="Courier New" w:eastAsia="Courier New" w:hAnsi="Courier New"/>
          <w:sz w:val="18"/>
          <w:szCs w:val="18"/>
          <w:color w:val="auto"/>
        </w:rPr>
        <w:t>software and licenses under capital leases. During 2002, $215,437,000</w:t>
      </w:r>
    </w:p>
    <w:p>
      <w:pPr>
        <w:spacing w:after="0"/>
        <w:rPr>
          <w:sz w:val="20"/>
          <w:szCs w:val="20"/>
          <w:color w:val="auto"/>
        </w:rPr>
      </w:pPr>
      <w:r>
        <w:rPr>
          <w:rFonts w:ascii="Courier New" w:cs="Courier New" w:eastAsia="Courier New" w:hAnsi="Courier New"/>
          <w:sz w:val="18"/>
          <w:szCs w:val="18"/>
          <w:color w:val="auto"/>
        </w:rPr>
        <w:t>($210,867,000 in 2001) intangible assets were acquired.</w:t>
      </w:r>
    </w:p>
    <w:p>
      <w:pPr>
        <w:spacing w:after="0" w:line="169" w:lineRule="exact"/>
        <w:rPr>
          <w:sz w:val="20"/>
          <w:szCs w:val="20"/>
          <w:color w:val="auto"/>
        </w:rPr>
      </w:pPr>
    </w:p>
    <w:p>
      <w:pPr>
        <w:ind w:left="420" w:hanging="412"/>
        <w:spacing w:after="0"/>
        <w:tabs>
          <w:tab w:leader="none" w:pos="420"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EMPLOYEE BENEFIT PLANS</w:t>
      </w:r>
    </w:p>
    <w:p>
      <w:pPr>
        <w:spacing w:after="0" w:line="201" w:lineRule="exact"/>
        <w:rPr>
          <w:sz w:val="20"/>
          <w:szCs w:val="20"/>
          <w:color w:val="auto"/>
        </w:rPr>
      </w:pPr>
    </w:p>
    <w:p>
      <w:pPr>
        <w:ind w:right="1779" w:firstLine="527"/>
        <w:spacing w:after="0" w:line="289" w:lineRule="auto"/>
        <w:rPr>
          <w:sz w:val="20"/>
          <w:szCs w:val="20"/>
          <w:color w:val="auto"/>
        </w:rPr>
      </w:pPr>
      <w:r>
        <w:rPr>
          <w:rFonts w:ascii="Courier New" w:cs="Courier New" w:eastAsia="Courier New" w:hAnsi="Courier New"/>
          <w:sz w:val="16"/>
          <w:szCs w:val="16"/>
          <w:color w:val="auto"/>
        </w:rPr>
        <w:t>Certen maintains non-contributory defined benefit plans that provide for pension, other retirement and post employment benefits for substantially all its employees based on length of service and rate of pay. The Company's funding policy is to make contributions to its pension fund based on actuarial methods permitted by pension regulatory bodies. Contributions reflect actuarial assumptions concerning future investment returns, salary projections and future service benefits. Plan assets are represented primarily by Canadian and foreign equities, government and corporate bonds, debentures and secured mortgages.</w:t>
      </w:r>
    </w:p>
    <w:p>
      <w:pPr>
        <w:spacing w:after="0" w:line="77" w:lineRule="exact"/>
        <w:rPr>
          <w:sz w:val="20"/>
          <w:szCs w:val="20"/>
          <w:color w:val="auto"/>
        </w:rPr>
      </w:pPr>
    </w:p>
    <w:p>
      <w:pPr>
        <w:ind w:right="2319" w:firstLine="527"/>
        <w:spacing w:after="0" w:line="260" w:lineRule="auto"/>
        <w:rPr>
          <w:sz w:val="20"/>
          <w:szCs w:val="20"/>
          <w:color w:val="auto"/>
        </w:rPr>
      </w:pPr>
      <w:r>
        <w:rPr>
          <w:rFonts w:ascii="Courier New" w:cs="Courier New" w:eastAsia="Courier New" w:hAnsi="Courier New"/>
          <w:sz w:val="18"/>
          <w:szCs w:val="18"/>
          <w:color w:val="auto"/>
        </w:rPr>
        <w:t>Effective April 1, 2001, Bell Canada transferred approximately 700 employees to Certen. Accordingly, on April 1, 2001 Certen recorded, at fair value, an accrued benefit asset of $9 million with respect to its pension benefits and an accrued benefit liability of $10 million relating to other employee benefits. The $1 million related party adjustment difference was recorded as reduction of retained earnings.</w:t>
      </w:r>
    </w:p>
    <w:p>
      <w:pPr>
        <w:spacing w:after="0" w:line="93" w:lineRule="exact"/>
        <w:rPr>
          <w:sz w:val="20"/>
          <w:szCs w:val="20"/>
          <w:color w:val="auto"/>
        </w:rPr>
      </w:pPr>
    </w:p>
    <w:p>
      <w:pPr>
        <w:ind w:right="1879" w:firstLine="527"/>
        <w:spacing w:after="0" w:line="347" w:lineRule="auto"/>
        <w:rPr>
          <w:sz w:val="20"/>
          <w:szCs w:val="20"/>
          <w:color w:val="auto"/>
        </w:rPr>
      </w:pPr>
      <w:r>
        <w:rPr>
          <w:rFonts w:ascii="Courier New" w:cs="Courier New" w:eastAsia="Courier New" w:hAnsi="Courier New"/>
          <w:sz w:val="18"/>
          <w:szCs w:val="18"/>
          <w:color w:val="auto"/>
        </w:rPr>
        <w:t>The benefit obligations, the fair value of assets and the funded status of the defined benefit plans at December 31 were as follows:</w:t>
      </w:r>
    </w:p>
    <w:p>
      <w:pPr>
        <w:spacing w:after="0" w:line="18"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PENSION BENEFITS OTHER BENEFITS -------</w:t>
      </w:r>
    </w:p>
    <w:tbl>
      <w:tblPr>
        <w:tblLayout w:type="fixed"/>
        <w:tblInd w:w="0" w:type="dxa"/>
        <w:tblCellMar>
          <w:top w:w="0" w:type="dxa"/>
          <w:left w:w="0" w:type="dxa"/>
          <w:bottom w:w="0" w:type="dxa"/>
          <w:right w:w="0" w:type="dxa"/>
        </w:tblCellMar>
      </w:tblPr>
      <w:tr>
        <w:trPr>
          <w:trHeight w:val="201"/>
        </w:trPr>
        <w:tc>
          <w:tcPr>
            <w:tcW w:w="1060" w:type="dxa"/>
            <w:vAlign w:val="bottom"/>
            <w:vMerge w:val="restart"/>
          </w:tcPr>
          <w:p>
            <w:pPr>
              <w:ind w:left="60"/>
              <w:spacing w:after="0"/>
              <w:rPr>
                <w:sz w:val="20"/>
                <w:szCs w:val="20"/>
                <w:color w:val="auto"/>
              </w:rPr>
            </w:pPr>
            <w:r>
              <w:rPr>
                <w:rFonts w:ascii="Courier New" w:cs="Courier New" w:eastAsia="Courier New" w:hAnsi="Courier New"/>
                <w:sz w:val="21"/>
                <w:szCs w:val="21"/>
                <w:color w:val="auto"/>
                <w:w w:val="71"/>
                <w:vertAlign w:val="subscript"/>
              </w:rPr>
              <w:t>2002</w:t>
            </w:r>
            <w:r>
              <w:rPr>
                <w:rFonts w:ascii="Courier New" w:cs="Courier New" w:eastAsia="Courier New" w:hAnsi="Courier New"/>
                <w:sz w:val="13"/>
                <w:szCs w:val="13"/>
                <w:color w:val="auto"/>
                <w:w w:val="71"/>
              </w:rPr>
              <w:t>---------</w:t>
            </w:r>
            <w:r>
              <w:rPr>
                <w:rFonts w:ascii="Courier New" w:cs="Courier New" w:eastAsia="Courier New" w:hAnsi="Courier New"/>
                <w:sz w:val="21"/>
                <w:szCs w:val="21"/>
                <w:color w:val="auto"/>
                <w:w w:val="71"/>
                <w:vertAlign w:val="subscript"/>
              </w:rPr>
              <w:t>2001</w:t>
            </w:r>
          </w:p>
        </w:tc>
        <w:tc>
          <w:tcPr>
            <w:tcW w:w="3100" w:type="dxa"/>
            <w:vAlign w:val="bottom"/>
            <w:gridSpan w:val="2"/>
          </w:tcPr>
          <w:p>
            <w:pPr>
              <w:jc w:val="right"/>
              <w:ind w:right="12"/>
              <w:spacing w:after="0" w:line="201" w:lineRule="exact"/>
              <w:rPr>
                <w:sz w:val="20"/>
                <w:szCs w:val="20"/>
                <w:color w:val="auto"/>
              </w:rPr>
            </w:pPr>
            <w:r>
              <w:rPr>
                <w:rFonts w:ascii="Courier New" w:cs="Courier New" w:eastAsia="Courier New" w:hAnsi="Courier New"/>
                <w:sz w:val="18"/>
                <w:szCs w:val="18"/>
                <w:color w:val="auto"/>
              </w:rPr>
              <w:t>----------------- 2002 2001</w:t>
            </w:r>
          </w:p>
        </w:tc>
        <w:tc>
          <w:tcPr>
            <w:tcW w:w="0" w:type="dxa"/>
            <w:vAlign w:val="bottom"/>
          </w:tcPr>
          <w:p>
            <w:pPr>
              <w:spacing w:after="0"/>
              <w:rPr>
                <w:sz w:val="1"/>
                <w:szCs w:val="1"/>
                <w:color w:val="auto"/>
              </w:rPr>
            </w:pPr>
          </w:p>
        </w:tc>
      </w:tr>
      <w:tr>
        <w:trPr>
          <w:trHeight w:val="203"/>
        </w:trPr>
        <w:tc>
          <w:tcPr>
            <w:tcW w:w="1060" w:type="dxa"/>
            <w:vAlign w:val="bottom"/>
            <w:vMerge w:val="continue"/>
          </w:tcPr>
          <w:p>
            <w:pPr>
              <w:spacing w:after="0"/>
              <w:rPr>
                <w:sz w:val="17"/>
                <w:szCs w:val="17"/>
                <w:color w:val="auto"/>
              </w:rPr>
            </w:pPr>
          </w:p>
        </w:tc>
        <w:tc>
          <w:tcPr>
            <w:tcW w:w="3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 ------ ------- ------</w:t>
            </w:r>
          </w:p>
        </w:tc>
        <w:tc>
          <w:tcPr>
            <w:tcW w:w="0" w:type="dxa"/>
            <w:vAlign w:val="bottom"/>
          </w:tcPr>
          <w:p>
            <w:pPr>
              <w:spacing w:after="0"/>
              <w:rPr>
                <w:sz w:val="1"/>
                <w:szCs w:val="1"/>
                <w:color w:val="auto"/>
              </w:rPr>
            </w:pPr>
          </w:p>
        </w:tc>
      </w:tr>
      <w:tr>
        <w:trPr>
          <w:trHeight w:val="203"/>
        </w:trPr>
        <w:tc>
          <w:tcPr>
            <w:tcW w:w="4160" w:type="dxa"/>
            <w:vAlign w:val="bottom"/>
            <w:gridSpan w:val="3"/>
          </w:tcPr>
          <w:p>
            <w:pPr>
              <w:jc w:val="right"/>
              <w:ind w:right="492"/>
              <w:spacing w:after="0" w:line="203" w:lineRule="exact"/>
              <w:rPr>
                <w:sz w:val="20"/>
                <w:szCs w:val="20"/>
                <w:color w:val="auto"/>
              </w:rPr>
            </w:pPr>
            <w:r>
              <w:rPr>
                <w:rFonts w:ascii="Courier New" w:cs="Courier New" w:eastAsia="Courier New" w:hAnsi="Courier New"/>
                <w:sz w:val="18"/>
                <w:szCs w:val="18"/>
                <w:color w:val="auto"/>
              </w:rPr>
              <w:t>- $ $ $ $ Fair value of plan</w:t>
            </w:r>
          </w:p>
        </w:tc>
        <w:tc>
          <w:tcPr>
            <w:tcW w:w="0" w:type="dxa"/>
            <w:vAlign w:val="bottom"/>
          </w:tcPr>
          <w:p>
            <w:pPr>
              <w:spacing w:after="0"/>
              <w:rPr>
                <w:sz w:val="1"/>
                <w:szCs w:val="1"/>
                <w:color w:val="auto"/>
              </w:rPr>
            </w:pPr>
          </w:p>
        </w:tc>
      </w:tr>
      <w:tr>
        <w:trPr>
          <w:trHeight w:val="296"/>
        </w:trPr>
        <w:tc>
          <w:tcPr>
            <w:tcW w:w="1060" w:type="dxa"/>
            <w:vAlign w:val="bottom"/>
          </w:tcPr>
          <w:p>
            <w:pPr>
              <w:jc w:val="right"/>
              <w:spacing w:after="0"/>
              <w:rPr>
                <w:sz w:val="20"/>
                <w:szCs w:val="20"/>
                <w:color w:val="auto"/>
              </w:rPr>
            </w:pPr>
            <w:r>
              <w:rPr>
                <w:rFonts w:ascii="Courier New" w:cs="Courier New" w:eastAsia="Courier New" w:hAnsi="Courier New"/>
                <w:sz w:val="8"/>
                <w:szCs w:val="8"/>
                <w:color w:val="auto"/>
                <w:w w:val="74"/>
              </w:rPr>
              <w:t>assets.......................</w:t>
            </w:r>
          </w:p>
        </w:tc>
        <w:tc>
          <w:tcPr>
            <w:tcW w:w="2320" w:type="dxa"/>
            <w:vAlign w:val="bottom"/>
            <w:vMerge w:val="restart"/>
          </w:tcPr>
          <w:p>
            <w:pPr>
              <w:spacing w:after="0"/>
              <w:rPr>
                <w:sz w:val="20"/>
                <w:szCs w:val="20"/>
                <w:color w:val="auto"/>
              </w:rPr>
            </w:pPr>
            <w:r>
              <w:rPr>
                <w:rFonts w:ascii="Courier New" w:cs="Courier New" w:eastAsia="Courier New" w:hAnsi="Courier New"/>
                <w:sz w:val="18"/>
                <w:szCs w:val="18"/>
                <w:color w:val="auto"/>
              </w:rPr>
              <w:t>69,921 -- -- Benefit</w:t>
            </w:r>
          </w:p>
        </w:tc>
        <w:tc>
          <w:tcPr>
            <w:tcW w:w="780" w:type="dxa"/>
            <w:vAlign w:val="bottom"/>
          </w:tcPr>
          <w:p>
            <w:pPr>
              <w:jc w:val="right"/>
              <w:ind w:right="52"/>
              <w:spacing w:after="0"/>
              <w:rPr>
                <w:sz w:val="20"/>
                <w:szCs w:val="20"/>
                <w:color w:val="auto"/>
              </w:rPr>
            </w:pPr>
            <w:r>
              <w:rPr>
                <w:rFonts w:ascii="Courier New" w:cs="Courier New" w:eastAsia="Courier New" w:hAnsi="Courier New"/>
                <w:sz w:val="18"/>
                <w:szCs w:val="18"/>
                <w:color w:val="auto"/>
                <w:w w:val="95"/>
              </w:rPr>
              <w:t>48,700</w:t>
            </w:r>
          </w:p>
        </w:tc>
        <w:tc>
          <w:tcPr>
            <w:tcW w:w="0" w:type="dxa"/>
            <w:vAlign w:val="bottom"/>
          </w:tcPr>
          <w:p>
            <w:pPr>
              <w:spacing w:after="0"/>
              <w:rPr>
                <w:sz w:val="1"/>
                <w:szCs w:val="1"/>
                <w:color w:val="auto"/>
              </w:rPr>
            </w:pPr>
          </w:p>
        </w:tc>
      </w:tr>
      <w:tr>
        <w:trPr>
          <w:trHeight w:val="109"/>
        </w:trPr>
        <w:tc>
          <w:tcPr>
            <w:tcW w:w="10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6"/>
              </w:rPr>
              <w:t>obligation</w:t>
            </w:r>
          </w:p>
        </w:tc>
        <w:tc>
          <w:tcPr>
            <w:tcW w:w="2320" w:type="dxa"/>
            <w:vAlign w:val="bottom"/>
            <w:vMerge w:val="continue"/>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1060" w:type="dxa"/>
            <w:vAlign w:val="bottom"/>
            <w:vMerge w:val="continue"/>
          </w:tcPr>
          <w:p>
            <w:pPr>
              <w:spacing w:after="0"/>
              <w:rPr>
                <w:sz w:val="17"/>
                <w:szCs w:val="17"/>
                <w:color w:val="auto"/>
              </w:rPr>
            </w:pPr>
          </w:p>
        </w:tc>
        <w:tc>
          <w:tcPr>
            <w:tcW w:w="2320" w:type="dxa"/>
            <w:vAlign w:val="bottom"/>
          </w:tcPr>
          <w:p>
            <w:pPr>
              <w:spacing w:after="0" w:line="202" w:lineRule="exact"/>
              <w:rPr>
                <w:sz w:val="20"/>
                <w:szCs w:val="20"/>
                <w:color w:val="auto"/>
              </w:rPr>
            </w:pPr>
            <w:r>
              <w:rPr>
                <w:rFonts w:ascii="Courier New" w:cs="Courier New" w:eastAsia="Courier New" w:hAnsi="Courier New"/>
                <w:sz w:val="13"/>
                <w:szCs w:val="13"/>
                <w:color w:val="auto"/>
                <w:w w:val="77"/>
              </w:rPr>
              <w:t>..............................</w:t>
            </w:r>
            <w:r>
              <w:rPr>
                <w:rFonts w:ascii="Courier New" w:cs="Courier New" w:eastAsia="Courier New" w:hAnsi="Courier New"/>
                <w:sz w:val="23"/>
                <w:szCs w:val="23"/>
                <w:color w:val="auto"/>
                <w:w w:val="77"/>
                <w:vertAlign w:val="subscript"/>
              </w:rPr>
              <w:t>-------</w:t>
            </w:r>
          </w:p>
        </w:tc>
        <w:tc>
          <w:tcPr>
            <w:tcW w:w="7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35"/>
        </w:trPr>
        <w:tc>
          <w:tcPr>
            <w:tcW w:w="33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60,061 67,464 10,413 11,813</w:t>
            </w:r>
          </w:p>
        </w:tc>
        <w:tc>
          <w:tcPr>
            <w:tcW w:w="7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ind w:left="120"/>
        <w:spacing w:after="0" w:line="238" w:lineRule="auto"/>
        <w:rPr>
          <w:sz w:val="20"/>
          <w:szCs w:val="20"/>
          <w:color w:val="auto"/>
        </w:rPr>
      </w:pPr>
      <w:r>
        <w:rPr>
          <w:rFonts w:ascii="Courier New" w:cs="Courier New" w:eastAsia="Courier New" w:hAnsi="Courier New"/>
          <w:sz w:val="18"/>
          <w:szCs w:val="18"/>
          <w:color w:val="auto"/>
        </w:rPr>
        <w:t>--- ------- ------- Funded status-plan</w:t>
      </w:r>
    </w:p>
    <w:tbl>
      <w:tblPr>
        <w:tblLayout w:type="fixed"/>
        <w:tblInd w:w="60" w:type="dxa"/>
        <w:tblCellMar>
          <w:top w:w="0" w:type="dxa"/>
          <w:left w:w="0" w:type="dxa"/>
          <w:bottom w:w="0" w:type="dxa"/>
          <w:right w:w="0" w:type="dxa"/>
        </w:tblCellMar>
      </w:tblPr>
      <w:tr>
        <w:trPr>
          <w:trHeight w:val="171"/>
        </w:trPr>
        <w:tc>
          <w:tcPr>
            <w:tcW w:w="1840" w:type="dxa"/>
            <w:vAlign w:val="bottom"/>
            <w:gridSpan w:val="3"/>
          </w:tcPr>
          <w:p>
            <w:pPr>
              <w:jc w:val="right"/>
              <w:spacing w:after="0" w:line="171" w:lineRule="exact"/>
              <w:rPr>
                <w:sz w:val="20"/>
                <w:szCs w:val="20"/>
                <w:color w:val="auto"/>
              </w:rPr>
            </w:pPr>
            <w:r>
              <w:rPr>
                <w:rFonts w:ascii="Courier New" w:cs="Courier New" w:eastAsia="Courier New" w:hAnsi="Courier New"/>
                <w:sz w:val="18"/>
                <w:szCs w:val="18"/>
                <w:color w:val="auto"/>
                <w:w w:val="99"/>
              </w:rPr>
              <w:t>(deficit) surplus</w:t>
            </w:r>
          </w:p>
        </w:tc>
        <w:tc>
          <w:tcPr>
            <w:tcW w:w="2260" w:type="dxa"/>
            <w:vAlign w:val="bottom"/>
          </w:tcPr>
          <w:p>
            <w:pPr>
              <w:jc w:val="right"/>
              <w:spacing w:after="0" w:line="171" w:lineRule="exact"/>
              <w:rPr>
                <w:sz w:val="20"/>
                <w:szCs w:val="20"/>
                <w:color w:val="auto"/>
              </w:rPr>
            </w:pPr>
            <w:r>
              <w:rPr>
                <w:rFonts w:ascii="Courier New" w:cs="Courier New" w:eastAsia="Courier New" w:hAnsi="Courier New"/>
                <w:sz w:val="18"/>
                <w:szCs w:val="18"/>
                <w:color w:val="auto"/>
                <w:w w:val="96"/>
              </w:rPr>
              <w:t>............ (11,361)</w:t>
            </w:r>
          </w:p>
        </w:tc>
      </w:tr>
      <w:tr>
        <w:trPr>
          <w:trHeight w:val="203"/>
        </w:trPr>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2,457</w:t>
            </w:r>
          </w:p>
        </w:tc>
        <w:tc>
          <w:tcPr>
            <w:tcW w:w="1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(10,413)</w:t>
            </w:r>
          </w:p>
        </w:tc>
        <w:tc>
          <w:tcPr>
            <w:tcW w:w="25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(11,813) Unamortized net</w:t>
            </w:r>
          </w:p>
        </w:tc>
      </w:tr>
      <w:tr>
        <w:trPr>
          <w:trHeight w:val="203"/>
        </w:trPr>
        <w:tc>
          <w:tcPr>
            <w:tcW w:w="1840" w:type="dxa"/>
            <w:vAlign w:val="bottom"/>
            <w:gridSpan w:val="3"/>
          </w:tcPr>
          <w:p>
            <w:pPr>
              <w:jc w:val="right"/>
              <w:spacing w:after="0"/>
              <w:rPr>
                <w:sz w:val="20"/>
                <w:szCs w:val="20"/>
                <w:color w:val="auto"/>
              </w:rPr>
            </w:pPr>
            <w:r>
              <w:rPr>
                <w:rFonts w:ascii="Courier New" w:cs="Courier New" w:eastAsia="Courier New" w:hAnsi="Courier New"/>
                <w:sz w:val="13"/>
                <w:szCs w:val="13"/>
                <w:color w:val="auto"/>
                <w:w w:val="72"/>
              </w:rPr>
              <w:t>actuarial loss..................</w:t>
            </w:r>
          </w:p>
        </w:tc>
        <w:tc>
          <w:tcPr>
            <w:tcW w:w="2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15,933</w:t>
            </w:r>
          </w:p>
        </w:tc>
      </w:tr>
      <w:tr>
        <w:trPr>
          <w:trHeight w:val="203"/>
        </w:trPr>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5,543</w:t>
            </w:r>
          </w:p>
        </w:tc>
        <w:tc>
          <w:tcPr>
            <w:tcW w:w="12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72"/>
              </w:rPr>
              <w:t>708 913 -------</w:t>
            </w:r>
          </w:p>
        </w:tc>
        <w:tc>
          <w:tcPr>
            <w:tcW w:w="2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 --</w:t>
            </w:r>
          </w:p>
        </w:tc>
      </w:tr>
      <w:tr>
        <w:trPr>
          <w:trHeight w:val="203"/>
        </w:trPr>
        <w:tc>
          <w:tcPr>
            <w:tcW w:w="580" w:type="dxa"/>
            <w:vAlign w:val="bottom"/>
          </w:tcPr>
          <w:p>
            <w:pPr>
              <w:spacing w:after="0"/>
              <w:rPr>
                <w:sz w:val="17"/>
                <w:szCs w:val="17"/>
                <w:color w:val="auto"/>
              </w:rPr>
            </w:pPr>
          </w:p>
        </w:tc>
        <w:tc>
          <w:tcPr>
            <w:tcW w:w="3520" w:type="dxa"/>
            <w:vAlign w:val="bottom"/>
            <w:gridSpan w:val="3"/>
          </w:tcPr>
          <w:p>
            <w:pPr>
              <w:jc w:val="right"/>
              <w:ind w:right="532"/>
              <w:spacing w:after="0" w:line="203" w:lineRule="exact"/>
              <w:rPr>
                <w:sz w:val="20"/>
                <w:szCs w:val="20"/>
                <w:color w:val="auto"/>
              </w:rPr>
            </w:pPr>
            <w:r>
              <w:rPr>
                <w:rFonts w:ascii="Courier New" w:cs="Courier New" w:eastAsia="Courier New" w:hAnsi="Courier New"/>
                <w:sz w:val="18"/>
                <w:szCs w:val="18"/>
                <w:color w:val="auto"/>
                <w:w w:val="98"/>
              </w:rPr>
              <w:t>----- ACCRUED BENEFIT ASSET</w:t>
            </w:r>
          </w:p>
        </w:tc>
      </w:tr>
      <w:tr>
        <w:trPr>
          <w:trHeight w:val="235"/>
        </w:trPr>
        <w:tc>
          <w:tcPr>
            <w:tcW w:w="184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72"/>
              </w:rPr>
              <w:t>(LIABILITY)...............</w:t>
            </w:r>
          </w:p>
        </w:tc>
        <w:tc>
          <w:tcPr>
            <w:tcW w:w="2260" w:type="dxa"/>
            <w:vAlign w:val="bottom"/>
          </w:tcPr>
          <w:p>
            <w:pPr>
              <w:jc w:val="right"/>
              <w:spacing w:after="0"/>
              <w:rPr>
                <w:sz w:val="20"/>
                <w:szCs w:val="20"/>
                <w:color w:val="auto"/>
              </w:rPr>
            </w:pPr>
            <w:r>
              <w:rPr>
                <w:rFonts w:ascii="Courier New" w:cs="Courier New" w:eastAsia="Courier New" w:hAnsi="Courier New"/>
                <w:sz w:val="18"/>
                <w:szCs w:val="18"/>
                <w:color w:val="auto"/>
              </w:rPr>
              <w:t>4,572 8,000</w:t>
            </w:r>
          </w:p>
        </w:tc>
      </w:tr>
    </w:tbl>
    <w:p>
      <w:pPr>
        <w:jc w:val="center"/>
        <w:ind w:right="5999"/>
        <w:spacing w:after="0" w:line="238" w:lineRule="auto"/>
        <w:rPr>
          <w:sz w:val="20"/>
          <w:szCs w:val="20"/>
          <w:color w:val="auto"/>
        </w:rPr>
      </w:pPr>
      <w:r>
        <w:rPr>
          <w:rFonts w:ascii="Courier New" w:cs="Courier New" w:eastAsia="Courier New" w:hAnsi="Courier New"/>
          <w:sz w:val="18"/>
          <w:szCs w:val="18"/>
          <w:color w:val="auto"/>
        </w:rPr>
        <w:t>(9,705) (10,900) ======= ====== =======</w:t>
      </w:r>
    </w:p>
    <w:p>
      <w:pPr>
        <w:jc w:val="center"/>
        <w:ind w:right="5999"/>
        <w:spacing w:after="0"/>
        <w:rPr>
          <w:sz w:val="20"/>
          <w:szCs w:val="20"/>
          <w:color w:val="auto"/>
        </w:rPr>
      </w:pPr>
      <w:r>
        <w:rPr>
          <w:rFonts w:ascii="Courier New" w:cs="Courier New" w:eastAsia="Courier New" w:hAnsi="Courier New"/>
          <w:sz w:val="18"/>
          <w:szCs w:val="18"/>
          <w:color w:val="auto"/>
        </w:rPr>
        <w:t>=======</w:t>
      </w:r>
    </w:p>
    <w:p>
      <w:pPr>
        <w:spacing w:after="0" w:line="372" w:lineRule="exact"/>
        <w:rPr>
          <w:sz w:val="20"/>
          <w:szCs w:val="20"/>
          <w:color w:val="auto"/>
        </w:rPr>
      </w:pPr>
    </w:p>
    <w:p>
      <w:pPr>
        <w:ind w:right="1779" w:firstLine="527"/>
        <w:spacing w:after="0" w:line="292" w:lineRule="auto"/>
        <w:rPr>
          <w:sz w:val="20"/>
          <w:szCs w:val="20"/>
          <w:color w:val="auto"/>
        </w:rPr>
      </w:pPr>
      <w:r>
        <w:rPr>
          <w:rFonts w:ascii="Courier New" w:cs="Courier New" w:eastAsia="Courier New" w:hAnsi="Courier New"/>
          <w:sz w:val="18"/>
          <w:szCs w:val="18"/>
          <w:color w:val="auto"/>
        </w:rPr>
        <w:t>The net benefit plans expense for 2002, related to pension benefits, amounted to $3,428,000 ($1,000,000 in 2001); whereas, other benefits reflected a credit of $1,195,000 ($900,000 expense in 2001).</w:t>
      </w:r>
    </w:p>
    <w:p>
      <w:pPr>
        <w:spacing w:after="0" w:line="6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plans assets are held in units of the BCE Master Trust Fund.</w:t>
      </w:r>
    </w:p>
    <w:p>
      <w:pPr>
        <w:spacing w:after="0" w:line="201" w:lineRule="exact"/>
        <w:rPr>
          <w:sz w:val="20"/>
          <w:szCs w:val="20"/>
          <w:color w:val="auto"/>
        </w:rPr>
      </w:pPr>
    </w:p>
    <w:p>
      <w:pPr>
        <w:ind w:right="1779" w:firstLine="527"/>
        <w:spacing w:after="0" w:line="347" w:lineRule="auto"/>
        <w:rPr>
          <w:sz w:val="20"/>
          <w:szCs w:val="20"/>
          <w:color w:val="auto"/>
        </w:rPr>
      </w:pPr>
      <w:r>
        <w:rPr>
          <w:rFonts w:ascii="Courier New" w:cs="Courier New" w:eastAsia="Courier New" w:hAnsi="Courier New"/>
          <w:sz w:val="18"/>
          <w:szCs w:val="18"/>
          <w:color w:val="auto"/>
        </w:rPr>
        <w:t>The significant assumptions adopted in measuring Certen's pension and other benefit obligations were as follows:</w:t>
      </w:r>
    </w:p>
    <w:p>
      <w:pPr>
        <w:spacing w:after="0" w:line="18" w:lineRule="exact"/>
        <w:rPr>
          <w:sz w:val="20"/>
          <w:szCs w:val="20"/>
          <w:color w:val="auto"/>
        </w:rPr>
      </w:pPr>
    </w:p>
    <w:p>
      <w:pPr>
        <w:ind w:left="1000"/>
        <w:spacing w:after="0"/>
        <w:rPr>
          <w:sz w:val="20"/>
          <w:szCs w:val="20"/>
          <w:color w:val="auto"/>
        </w:rPr>
      </w:pPr>
      <w:r>
        <w:rPr>
          <w:rFonts w:ascii="Courier New" w:cs="Courier New" w:eastAsia="Courier New" w:hAnsi="Courier New"/>
          <w:sz w:val="18"/>
          <w:szCs w:val="18"/>
          <w:color w:val="auto"/>
        </w:rPr>
        <w:t>2002 2001 ---- ---- % % Discount</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rate...............................................</w:t>
      </w:r>
    </w:p>
    <w:p>
      <w:pPr>
        <w:ind w:left="260"/>
        <w:spacing w:after="0" w:line="238" w:lineRule="auto"/>
        <w:rPr>
          <w:sz w:val="20"/>
          <w:szCs w:val="20"/>
          <w:color w:val="auto"/>
        </w:rPr>
      </w:pPr>
      <w:r>
        <w:rPr>
          <w:rFonts w:ascii="Courier New" w:cs="Courier New" w:eastAsia="Courier New" w:hAnsi="Courier New"/>
          <w:sz w:val="18"/>
          <w:szCs w:val="18"/>
          <w:color w:val="auto"/>
        </w:rPr>
        <w:t>6.50 6.50 Expected long-term rate of return on</w:t>
      </w:r>
    </w:p>
    <w:tbl>
      <w:tblPr>
        <w:tblLayout w:type="fixed"/>
        <w:tblInd w:w="100" w:type="dxa"/>
        <w:tblCellMar>
          <w:top w:w="0" w:type="dxa"/>
          <w:left w:w="0" w:type="dxa"/>
          <w:bottom w:w="0" w:type="dxa"/>
          <w:right w:w="0" w:type="dxa"/>
        </w:tblCellMar>
      </w:tblPr>
      <w:tr>
        <w:trPr>
          <w:trHeight w:val="171"/>
        </w:trPr>
        <w:tc>
          <w:tcPr>
            <w:tcW w:w="860" w:type="dxa"/>
            <w:vAlign w:val="bottom"/>
          </w:tcPr>
          <w:p>
            <w:pPr>
              <w:jc w:val="right"/>
              <w:spacing w:after="0" w:line="171" w:lineRule="exact"/>
              <w:rPr>
                <w:sz w:val="20"/>
                <w:szCs w:val="20"/>
                <w:color w:val="auto"/>
              </w:rPr>
            </w:pPr>
            <w:r>
              <w:rPr>
                <w:rFonts w:ascii="Courier New" w:cs="Courier New" w:eastAsia="Courier New" w:hAnsi="Courier New"/>
                <w:sz w:val="18"/>
                <w:szCs w:val="18"/>
                <w:color w:val="auto"/>
              </w:rPr>
              <w:t>plan</w:t>
            </w:r>
          </w:p>
        </w:tc>
        <w:tc>
          <w:tcPr>
            <w:tcW w:w="720" w:type="dxa"/>
            <w:vAlign w:val="bottom"/>
          </w:tcPr>
          <w:p>
            <w:pPr>
              <w:jc w:val="right"/>
              <w:spacing w:after="0" w:line="171" w:lineRule="exact"/>
              <w:rPr>
                <w:sz w:val="20"/>
                <w:szCs w:val="20"/>
                <w:color w:val="auto"/>
              </w:rPr>
            </w:pPr>
            <w:r>
              <w:rPr>
                <w:rFonts w:ascii="Courier New" w:cs="Courier New" w:eastAsia="Courier New" w:hAnsi="Courier New"/>
                <w:sz w:val="18"/>
                <w:szCs w:val="18"/>
                <w:color w:val="auto"/>
              </w:rPr>
              <w:t>assets</w:t>
            </w:r>
          </w:p>
        </w:tc>
        <w:tc>
          <w:tcPr>
            <w:tcW w:w="3600" w:type="dxa"/>
            <w:vAlign w:val="bottom"/>
          </w:tcPr>
          <w:p>
            <w:pPr>
              <w:jc w:val="right"/>
              <w:ind w:right="352"/>
              <w:spacing w:after="0" w:line="171" w:lineRule="exact"/>
              <w:rPr>
                <w:sz w:val="20"/>
                <w:szCs w:val="20"/>
                <w:color w:val="auto"/>
              </w:rPr>
            </w:pPr>
            <w:r>
              <w:rPr>
                <w:rFonts w:ascii="Courier New" w:cs="Courier New" w:eastAsia="Courier New" w:hAnsi="Courier New"/>
                <w:sz w:val="18"/>
                <w:szCs w:val="18"/>
                <w:color w:val="auto"/>
                <w:w w:val="96"/>
              </w:rPr>
              <w:t>............ 8.30 8.75 Rate of</w:t>
            </w:r>
          </w:p>
        </w:tc>
        <w:tc>
          <w:tcPr>
            <w:tcW w:w="0" w:type="dxa"/>
            <w:vAlign w:val="bottom"/>
          </w:tcPr>
          <w:p>
            <w:pPr>
              <w:spacing w:after="0"/>
              <w:rPr>
                <w:sz w:val="1"/>
                <w:szCs w:val="1"/>
                <w:color w:val="auto"/>
              </w:rPr>
            </w:pPr>
          </w:p>
        </w:tc>
      </w:tr>
      <w:tr>
        <w:trPr>
          <w:trHeight w:val="203"/>
        </w:trPr>
        <w:tc>
          <w:tcPr>
            <w:tcW w:w="8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7"/>
              </w:rPr>
              <w:t>increase</w:t>
            </w:r>
          </w:p>
        </w:tc>
        <w:tc>
          <w:tcPr>
            <w:tcW w:w="720" w:type="dxa"/>
            <w:vAlign w:val="bottom"/>
          </w:tcPr>
          <w:p>
            <w:pPr>
              <w:spacing w:after="0"/>
              <w:rPr>
                <w:sz w:val="17"/>
                <w:szCs w:val="17"/>
                <w:color w:val="auto"/>
              </w:rPr>
            </w:pPr>
          </w:p>
        </w:tc>
        <w:tc>
          <w:tcPr>
            <w:tcW w:w="3600" w:type="dxa"/>
            <w:vAlign w:val="bottom"/>
          </w:tcPr>
          <w:p>
            <w:pPr>
              <w:jc w:val="right"/>
              <w:ind w:right="1872"/>
              <w:spacing w:after="0" w:line="203" w:lineRule="exact"/>
              <w:rPr>
                <w:sz w:val="20"/>
                <w:szCs w:val="20"/>
                <w:color w:val="auto"/>
              </w:rPr>
            </w:pPr>
            <w:r>
              <w:rPr>
                <w:rFonts w:ascii="Courier New" w:cs="Courier New" w:eastAsia="Courier New" w:hAnsi="Courier New"/>
                <w:sz w:val="18"/>
                <w:szCs w:val="18"/>
                <w:color w:val="auto"/>
              </w:rPr>
              <w:t>compensation</w:t>
            </w:r>
          </w:p>
        </w:tc>
        <w:tc>
          <w:tcPr>
            <w:tcW w:w="0" w:type="dxa"/>
            <w:vAlign w:val="bottom"/>
          </w:tcPr>
          <w:p>
            <w:pPr>
              <w:spacing w:after="0"/>
              <w:rPr>
                <w:sz w:val="1"/>
                <w:szCs w:val="1"/>
                <w:color w:val="auto"/>
              </w:rPr>
            </w:pPr>
          </w:p>
        </w:tc>
      </w:tr>
      <w:tr>
        <w:trPr>
          <w:trHeight w:val="296"/>
        </w:trPr>
        <w:tc>
          <w:tcPr>
            <w:tcW w:w="860" w:type="dxa"/>
            <w:vAlign w:val="bottom"/>
            <w:vMerge w:val="continue"/>
          </w:tcPr>
          <w:p>
            <w:pPr>
              <w:spacing w:after="0"/>
              <w:rPr>
                <w:sz w:val="24"/>
                <w:szCs w:val="2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5"/>
                <w:szCs w:val="5"/>
                <w:color w:val="auto"/>
                <w:w w:val="75"/>
              </w:rPr>
              <w:t>...............................</w:t>
            </w:r>
          </w:p>
        </w:tc>
        <w:tc>
          <w:tcPr>
            <w:tcW w:w="3600" w:type="dxa"/>
            <w:vAlign w:val="bottom"/>
          </w:tcPr>
          <w:p>
            <w:pPr>
              <w:jc w:val="right"/>
              <w:spacing w:after="0"/>
              <w:rPr>
                <w:sz w:val="20"/>
                <w:szCs w:val="20"/>
                <w:color w:val="auto"/>
              </w:rPr>
            </w:pPr>
            <w:r>
              <w:rPr>
                <w:rFonts w:ascii="Courier New" w:cs="Courier New" w:eastAsia="Courier New" w:hAnsi="Courier New"/>
                <w:sz w:val="18"/>
                <w:szCs w:val="18"/>
                <w:color w:val="auto"/>
              </w:rPr>
              <w:t>3.50 3.50</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right="1879" w:firstLine="527"/>
        <w:spacing w:after="0" w:line="265" w:lineRule="auto"/>
        <w:rPr>
          <w:sz w:val="20"/>
          <w:szCs w:val="20"/>
          <w:color w:val="auto"/>
        </w:rPr>
      </w:pPr>
      <w:r>
        <w:rPr>
          <w:rFonts w:ascii="Courier New" w:cs="Courier New" w:eastAsia="Courier New" w:hAnsi="Courier New"/>
          <w:sz w:val="18"/>
          <w:szCs w:val="18"/>
          <w:color w:val="auto"/>
        </w:rPr>
        <w:t>For measurement purposes, a 4.5% annual rate of increase in the per capita cost of covered health care benefits (the health care cost trend rate) was assumed for 2002, except for the cost of medication, which was assumed to increase at a 10.5% annual rate for 2002. This rate was assumed to gradually decline to 4.5% by 2008 and remain stable thereafter.</w:t>
      </w:r>
    </w:p>
    <w:p>
      <w:pPr>
        <w:spacing w:after="0" w:line="90" w:lineRule="exact"/>
        <w:rPr>
          <w:sz w:val="20"/>
          <w:szCs w:val="20"/>
          <w:color w:val="auto"/>
        </w:rPr>
      </w:pPr>
    </w:p>
    <w:p>
      <w:pPr>
        <w:ind w:left="420" w:hanging="412"/>
        <w:spacing w:after="0"/>
        <w:tabs>
          <w:tab w:leader="none" w:pos="420"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PROMISSORY NOTE DUE TO RELATED PARTY</w:t>
      </w:r>
    </w:p>
    <w:p>
      <w:pPr>
        <w:spacing w:after="0" w:line="201" w:lineRule="exact"/>
        <w:rPr>
          <w:sz w:val="20"/>
          <w:szCs w:val="20"/>
          <w:color w:val="auto"/>
        </w:rPr>
      </w:pPr>
    </w:p>
    <w:p>
      <w:pPr>
        <w:ind w:right="1779" w:firstLine="527"/>
        <w:spacing w:after="0" w:line="274" w:lineRule="auto"/>
        <w:rPr>
          <w:sz w:val="20"/>
          <w:szCs w:val="20"/>
          <w:color w:val="auto"/>
        </w:rPr>
      </w:pPr>
      <w:r>
        <w:rPr>
          <w:rFonts w:ascii="Courier New" w:cs="Courier New" w:eastAsia="Courier New" w:hAnsi="Courier New"/>
          <w:sz w:val="18"/>
          <w:szCs w:val="18"/>
          <w:color w:val="auto"/>
        </w:rPr>
        <w:t>The promissory note due to related party was non-interest bearing and payable on demand to Bell Canada. On January 29, 2002, Certen opted to repay the promissory note through the issuance of 61,334 common shares of the Company at an issuance price of $100 per share.</w:t>
      </w:r>
    </w:p>
    <w:p>
      <w:pPr>
        <w:sectPr>
          <w:pgSz w:w="11900" w:h="16838" w:orient="portrait"/>
          <w:cols w:equalWidth="0" w:num="1">
            <w:col w:w="10219"/>
          </w:cols>
          <w:pgMar w:left="240" w:top="488" w:right="1440" w:bottom="0" w:gutter="0" w:footer="0" w:header="0"/>
        </w:sectPr>
      </w:pPr>
    </w:p>
    <w:bookmarkStart w:id="133" w:name="page134"/>
    <w:bookmarkEnd w:id="133"/>
    <w:p>
      <w:pPr>
        <w:ind w:left="2920"/>
        <w:spacing w:after="0"/>
        <w:rPr>
          <w:sz w:val="20"/>
          <w:szCs w:val="20"/>
          <w:color w:val="auto"/>
        </w:rPr>
      </w:pPr>
      <w:r>
        <w:rPr>
          <w:rFonts w:ascii="Courier New" w:cs="Courier New" w:eastAsia="Courier New" w:hAnsi="Courier New"/>
          <w:sz w:val="16"/>
          <w:szCs w:val="16"/>
          <w:color w:val="auto"/>
        </w:rPr>
        <w:t>F-47</w:t>
      </w:r>
    </w:p>
    <w:p>
      <w:pPr>
        <w:sectPr>
          <w:pgSz w:w="11900" w:h="16838" w:orient="portrait"/>
          <w:cols w:equalWidth="0" w:num="1">
            <w:col w:w="9019"/>
          </w:cols>
          <w:pgMar w:left="1440" w:top="312" w:right="1440" w:bottom="1440" w:gutter="0" w:footer="0" w:header="0"/>
        </w:sectPr>
      </w:pPr>
    </w:p>
    <w:bookmarkStart w:id="134" w:name="page135"/>
    <w:bookmarkEnd w:id="134"/>
    <w:p>
      <w:pPr>
        <w:jc w:val="center"/>
        <w:ind w:right="1879"/>
        <w:spacing w:after="0"/>
        <w:rPr>
          <w:sz w:val="20"/>
          <w:szCs w:val="20"/>
          <w:color w:val="auto"/>
        </w:rPr>
      </w:pPr>
      <w:r>
        <w:rPr>
          <w:rFonts w:ascii="Courier New" w:cs="Courier New" w:eastAsia="Courier New" w:hAnsi="Courier New"/>
          <w:sz w:val="18"/>
          <w:szCs w:val="18"/>
          <w:color w:val="auto"/>
        </w:rPr>
        <w:t>CERTEN INC.</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NOTES TO THE FINANCIAL STATEMENTS -- (CONTINUED)</w:t>
      </w:r>
    </w:p>
    <w:p>
      <w:pPr>
        <w:spacing w:after="0" w:line="201" w:lineRule="exact"/>
        <w:rPr>
          <w:sz w:val="20"/>
          <w:szCs w:val="20"/>
          <w:color w:val="auto"/>
        </w:rPr>
      </w:pPr>
    </w:p>
    <w:p>
      <w:pPr>
        <w:ind w:left="420" w:hanging="412"/>
        <w:spacing w:after="0"/>
        <w:tabs>
          <w:tab w:leader="none" w:pos="420"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OBLIGATION UNDER CAPITAL LEASES</w:t>
      </w:r>
    </w:p>
    <w:p>
      <w:pPr>
        <w:spacing w:after="0" w:line="201" w:lineRule="exact"/>
        <w:rPr>
          <w:sz w:val="20"/>
          <w:szCs w:val="20"/>
          <w:color w:val="auto"/>
        </w:rPr>
      </w:pPr>
    </w:p>
    <w:p>
      <w:pPr>
        <w:ind w:right="1779" w:firstLine="527"/>
        <w:spacing w:after="0" w:line="274" w:lineRule="auto"/>
        <w:rPr>
          <w:sz w:val="20"/>
          <w:szCs w:val="20"/>
          <w:color w:val="auto"/>
        </w:rPr>
      </w:pPr>
      <w:r>
        <w:rPr>
          <w:rFonts w:ascii="Courier New" w:cs="Courier New" w:eastAsia="Courier New" w:hAnsi="Courier New"/>
          <w:sz w:val="18"/>
          <w:szCs w:val="18"/>
          <w:color w:val="auto"/>
        </w:rPr>
        <w:t>In 2002 and 2001, Certen entered into sale-leaseback transactions for the acquisition of hardware and software. The capital leases bear interest rates of 11.7% and 5.5%, respectively, per annum and are payable in monthly installments, maturing in 2005.</w:t>
      </w:r>
    </w:p>
    <w:p>
      <w:pPr>
        <w:spacing w:after="0" w:line="82" w:lineRule="exact"/>
        <w:rPr>
          <w:sz w:val="20"/>
          <w:szCs w:val="20"/>
          <w:color w:val="auto"/>
        </w:rPr>
      </w:pPr>
    </w:p>
    <w:p>
      <w:pPr>
        <w:ind w:right="2199" w:firstLine="527"/>
        <w:spacing w:after="0" w:line="292" w:lineRule="auto"/>
        <w:rPr>
          <w:sz w:val="20"/>
          <w:szCs w:val="20"/>
          <w:color w:val="auto"/>
        </w:rPr>
      </w:pPr>
      <w:r>
        <w:rPr>
          <w:rFonts w:ascii="Courier New" w:cs="Courier New" w:eastAsia="Courier New" w:hAnsi="Courier New"/>
          <w:sz w:val="18"/>
          <w:szCs w:val="18"/>
          <w:color w:val="auto"/>
        </w:rPr>
        <w:t>In 2002, included in other long-term liabilities is a deferred gain of $3,802,000 recorded on the sale and subsequent leaseback of the assets which will be amortized over the three-year term of the lease.</w:t>
      </w:r>
    </w:p>
    <w:p>
      <w:pPr>
        <w:spacing w:after="0" w:line="6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Repayment of the capital leases over the next five years is as follows:</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 ------</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2003........................................................</w:t>
      </w:r>
    </w:p>
    <w:p>
      <w:pPr>
        <w:jc w:val="center"/>
        <w:ind w:right="3879"/>
        <w:spacing w:after="0" w:line="238" w:lineRule="auto"/>
        <w:rPr>
          <w:sz w:val="20"/>
          <w:szCs w:val="20"/>
          <w:color w:val="auto"/>
        </w:rPr>
      </w:pPr>
      <w:r>
        <w:rPr>
          <w:rFonts w:ascii="Courier New" w:cs="Courier New" w:eastAsia="Courier New" w:hAnsi="Courier New"/>
          <w:sz w:val="18"/>
          <w:szCs w:val="18"/>
          <w:color w:val="auto"/>
        </w:rPr>
        <w:t>37,541</w:t>
      </w:r>
    </w:p>
    <w:p>
      <w:pPr>
        <w:spacing w:after="0"/>
        <w:rPr>
          <w:sz w:val="20"/>
          <w:szCs w:val="20"/>
          <w:color w:val="auto"/>
        </w:rPr>
      </w:pPr>
      <w:r>
        <w:rPr>
          <w:rFonts w:ascii="Courier New" w:cs="Courier New" w:eastAsia="Courier New" w:hAnsi="Courier New"/>
          <w:sz w:val="18"/>
          <w:szCs w:val="18"/>
          <w:color w:val="auto"/>
        </w:rPr>
        <w:t>2004........................................................</w:t>
      </w:r>
    </w:p>
    <w:p>
      <w:pPr>
        <w:jc w:val="center"/>
        <w:ind w:right="3879"/>
        <w:spacing w:after="0" w:line="238" w:lineRule="auto"/>
        <w:rPr>
          <w:sz w:val="20"/>
          <w:szCs w:val="20"/>
          <w:color w:val="auto"/>
        </w:rPr>
      </w:pPr>
      <w:r>
        <w:rPr>
          <w:rFonts w:ascii="Courier New" w:cs="Courier New" w:eastAsia="Courier New" w:hAnsi="Courier New"/>
          <w:sz w:val="18"/>
          <w:szCs w:val="18"/>
          <w:color w:val="auto"/>
        </w:rPr>
        <w:t>24,270</w:t>
      </w:r>
    </w:p>
    <w:p>
      <w:pPr>
        <w:spacing w:after="0"/>
        <w:rPr>
          <w:sz w:val="20"/>
          <w:szCs w:val="20"/>
          <w:color w:val="auto"/>
        </w:rPr>
      </w:pPr>
      <w:r>
        <w:rPr>
          <w:rFonts w:ascii="Courier New" w:cs="Courier New" w:eastAsia="Courier New" w:hAnsi="Courier New"/>
          <w:sz w:val="18"/>
          <w:szCs w:val="18"/>
          <w:color w:val="auto"/>
        </w:rPr>
        <w:t>2005........................................................</w:t>
      </w:r>
    </w:p>
    <w:tbl>
      <w:tblPr>
        <w:tblLayout w:type="fixed"/>
        <w:tblInd w:w="0" w:type="dxa"/>
        <w:tblCellMar>
          <w:top w:w="0" w:type="dxa"/>
          <w:left w:w="0" w:type="dxa"/>
          <w:bottom w:w="0" w:type="dxa"/>
          <w:right w:w="0" w:type="dxa"/>
        </w:tblCellMar>
      </w:tblPr>
      <w:tr>
        <w:trPr>
          <w:trHeight w:val="296"/>
        </w:trPr>
        <w:tc>
          <w:tcPr>
            <w:tcW w:w="2440" w:type="dxa"/>
            <w:vAlign w:val="bottom"/>
            <w:vMerge w:val="restart"/>
          </w:tcPr>
          <w:p>
            <w:pPr>
              <w:spacing w:after="0"/>
              <w:rPr>
                <w:sz w:val="20"/>
                <w:szCs w:val="20"/>
                <w:color w:val="auto"/>
              </w:rPr>
            </w:pPr>
            <w:r>
              <w:rPr>
                <w:rFonts w:ascii="Courier New" w:cs="Courier New" w:eastAsia="Courier New" w:hAnsi="Courier New"/>
                <w:sz w:val="4"/>
                <w:szCs w:val="4"/>
                <w:color w:val="auto"/>
                <w:w w:val="74"/>
              </w:rPr>
              <w:t>2006........................................................</w:t>
            </w:r>
            <w:r>
              <w:rPr>
                <w:rFonts w:ascii="Courier New" w:cs="Courier New" w:eastAsia="Courier New" w:hAnsi="Courier New"/>
                <w:sz w:val="8"/>
                <w:szCs w:val="8"/>
                <w:color w:val="auto"/>
                <w:w w:val="74"/>
                <w:vertAlign w:val="subscript"/>
              </w:rPr>
              <w:t>........................................................</w:t>
            </w:r>
          </w:p>
        </w:tc>
        <w:tc>
          <w:tcPr>
            <w:tcW w:w="130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9,712</w:t>
            </w:r>
          </w:p>
        </w:tc>
        <w:tc>
          <w:tcPr>
            <w:tcW w:w="2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440" w:type="dxa"/>
            <w:vAlign w:val="bottom"/>
            <w:vMerge w:val="continue"/>
          </w:tcPr>
          <w:p>
            <w:pPr>
              <w:spacing w:after="0"/>
              <w:rPr>
                <w:sz w:val="22"/>
                <w:szCs w:val="22"/>
                <w:color w:val="auto"/>
              </w:rPr>
            </w:pPr>
          </w:p>
        </w:tc>
        <w:tc>
          <w:tcPr>
            <w:tcW w:w="1300" w:type="dxa"/>
            <w:vAlign w:val="bottom"/>
            <w:vMerge w:val="restart"/>
          </w:tcPr>
          <w:p>
            <w:pPr>
              <w:jc w:val="right"/>
              <w:ind w:right="372"/>
              <w:spacing w:after="0"/>
              <w:rPr>
                <w:sz w:val="20"/>
                <w:szCs w:val="20"/>
                <w:color w:val="auto"/>
              </w:rPr>
            </w:pPr>
            <w:r>
              <w:rPr>
                <w:rFonts w:ascii="Courier New" w:cs="Courier New" w:eastAsia="Courier New" w:hAnsi="Courier New"/>
                <w:sz w:val="18"/>
                <w:szCs w:val="18"/>
                <w:color w:val="auto"/>
              </w:rPr>
              <w:t>--</w:t>
            </w:r>
          </w:p>
        </w:tc>
        <w:tc>
          <w:tcPr>
            <w:tcW w:w="2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8"/>
        </w:trPr>
        <w:tc>
          <w:tcPr>
            <w:tcW w:w="2440" w:type="dxa"/>
            <w:vAlign w:val="bottom"/>
            <w:vMerge w:val="restart"/>
          </w:tcPr>
          <w:p>
            <w:pPr>
              <w:spacing w:after="0"/>
              <w:rPr>
                <w:sz w:val="20"/>
                <w:szCs w:val="20"/>
                <w:color w:val="auto"/>
              </w:rPr>
            </w:pPr>
            <w:r>
              <w:rPr>
                <w:rFonts w:ascii="Courier New" w:cs="Courier New" w:eastAsia="Courier New" w:hAnsi="Courier New"/>
                <w:sz w:val="18"/>
                <w:szCs w:val="18"/>
                <w:color w:val="auto"/>
              </w:rPr>
              <w:t>2007</w:t>
            </w:r>
          </w:p>
        </w:tc>
        <w:tc>
          <w:tcPr>
            <w:tcW w:w="1300" w:type="dxa"/>
            <w:vAlign w:val="bottom"/>
            <w:vMerge w:val="continue"/>
          </w:tcPr>
          <w:p>
            <w:pPr>
              <w:spacing w:after="0"/>
              <w:rPr>
                <w:sz w:val="10"/>
                <w:szCs w:val="10"/>
                <w:color w:val="auto"/>
              </w:rPr>
            </w:pPr>
          </w:p>
        </w:tc>
        <w:tc>
          <w:tcPr>
            <w:tcW w:w="2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244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2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62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 ------ Total minimum payments under capital</w:t>
            </w:r>
          </w:p>
        </w:tc>
        <w:tc>
          <w:tcPr>
            <w:tcW w:w="0" w:type="dxa"/>
            <w:vAlign w:val="bottom"/>
          </w:tcPr>
          <w:p>
            <w:pPr>
              <w:spacing w:after="0"/>
              <w:rPr>
                <w:sz w:val="1"/>
                <w:szCs w:val="1"/>
                <w:color w:val="auto"/>
              </w:rPr>
            </w:pPr>
          </w:p>
        </w:tc>
      </w:tr>
      <w:tr>
        <w:trPr>
          <w:trHeight w:val="203"/>
        </w:trPr>
        <w:tc>
          <w:tcPr>
            <w:tcW w:w="2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88"/>
              </w:rPr>
              <w:t>leases.................</w:t>
            </w:r>
          </w:p>
        </w:tc>
        <w:tc>
          <w:tcPr>
            <w:tcW w:w="38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71,523 Less: amount representing</w:t>
            </w:r>
          </w:p>
        </w:tc>
        <w:tc>
          <w:tcPr>
            <w:tcW w:w="0" w:type="dxa"/>
            <w:vAlign w:val="bottom"/>
          </w:tcPr>
          <w:p>
            <w:pPr>
              <w:spacing w:after="0"/>
              <w:rPr>
                <w:sz w:val="1"/>
                <w:szCs w:val="1"/>
                <w:color w:val="auto"/>
              </w:rPr>
            </w:pPr>
          </w:p>
        </w:tc>
      </w:tr>
      <w:tr>
        <w:trPr>
          <w:trHeight w:val="203"/>
        </w:trPr>
        <w:tc>
          <w:tcPr>
            <w:tcW w:w="37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interest..........................</w:t>
            </w:r>
          </w:p>
        </w:tc>
        <w:tc>
          <w:tcPr>
            <w:tcW w:w="2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5,122 ------ Net minimum</w:t>
            </w:r>
          </w:p>
        </w:tc>
        <w:tc>
          <w:tcPr>
            <w:tcW w:w="0" w:type="dxa"/>
            <w:vAlign w:val="bottom"/>
          </w:tcPr>
          <w:p>
            <w:pPr>
              <w:spacing w:after="0"/>
              <w:rPr>
                <w:sz w:val="1"/>
                <w:szCs w:val="1"/>
                <w:color w:val="auto"/>
              </w:rPr>
            </w:pPr>
          </w:p>
        </w:tc>
      </w:tr>
      <w:tr>
        <w:trPr>
          <w:trHeight w:val="203"/>
        </w:trPr>
        <w:tc>
          <w:tcPr>
            <w:tcW w:w="3740" w:type="dxa"/>
            <w:vAlign w:val="bottom"/>
            <w:gridSpan w:val="2"/>
          </w:tcPr>
          <w:p>
            <w:pPr>
              <w:ind w:left="280"/>
              <w:spacing w:after="0"/>
              <w:rPr>
                <w:sz w:val="20"/>
                <w:szCs w:val="20"/>
                <w:color w:val="auto"/>
              </w:rPr>
            </w:pPr>
            <w:r>
              <w:rPr>
                <w:rFonts w:ascii="Courier New" w:cs="Courier New" w:eastAsia="Courier New" w:hAnsi="Courier New"/>
                <w:sz w:val="16"/>
                <w:szCs w:val="16"/>
                <w:color w:val="auto"/>
                <w:w w:val="74"/>
              </w:rPr>
              <w:t>payments under capital leases...................</w:t>
            </w:r>
          </w:p>
        </w:tc>
        <w:tc>
          <w:tcPr>
            <w:tcW w:w="2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66,401</w:t>
            </w:r>
          </w:p>
        </w:tc>
        <w:tc>
          <w:tcPr>
            <w:tcW w:w="0" w:type="dxa"/>
            <w:vAlign w:val="bottom"/>
          </w:tcPr>
          <w:p>
            <w:pPr>
              <w:spacing w:after="0"/>
              <w:rPr>
                <w:sz w:val="1"/>
                <w:szCs w:val="1"/>
                <w:color w:val="auto"/>
              </w:rPr>
            </w:pPr>
          </w:p>
        </w:tc>
      </w:tr>
      <w:tr>
        <w:trPr>
          <w:trHeight w:val="203"/>
        </w:trPr>
        <w:tc>
          <w:tcPr>
            <w:tcW w:w="2440" w:type="dxa"/>
            <w:vAlign w:val="bottom"/>
            <w:vMerge w:val="restart"/>
          </w:tcPr>
          <w:p>
            <w:pPr>
              <w:ind w:left="60"/>
              <w:spacing w:after="0"/>
              <w:rPr>
                <w:sz w:val="20"/>
                <w:szCs w:val="20"/>
                <w:color w:val="auto"/>
              </w:rPr>
            </w:pPr>
            <w:r>
              <w:rPr>
                <w:rFonts w:ascii="Courier New" w:cs="Courier New" w:eastAsia="Courier New" w:hAnsi="Courier New"/>
                <w:sz w:val="4"/>
                <w:szCs w:val="4"/>
                <w:color w:val="auto"/>
                <w:w w:val="89"/>
              </w:rPr>
              <w:t>portion.............................................</w:t>
            </w:r>
            <w:r>
              <w:rPr>
                <w:rFonts w:ascii="Courier New" w:cs="Courier New" w:eastAsia="Courier New" w:hAnsi="Courier New"/>
                <w:sz w:val="8"/>
                <w:szCs w:val="8"/>
                <w:color w:val="auto"/>
                <w:w w:val="89"/>
                <w:vertAlign w:val="subscript"/>
              </w:rPr>
              <w:t>...........................................</w:t>
            </w:r>
          </w:p>
        </w:tc>
        <w:tc>
          <w:tcPr>
            <w:tcW w:w="3840" w:type="dxa"/>
            <w:vAlign w:val="bottom"/>
            <w:gridSpan w:val="2"/>
          </w:tcPr>
          <w:p>
            <w:pPr>
              <w:jc w:val="center"/>
              <w:ind w:right="2292"/>
              <w:spacing w:after="0" w:line="203" w:lineRule="exact"/>
              <w:rPr>
                <w:sz w:val="20"/>
                <w:szCs w:val="20"/>
                <w:color w:val="auto"/>
              </w:rPr>
            </w:pPr>
            <w:r>
              <w:rPr>
                <w:rFonts w:ascii="Courier New" w:cs="Courier New" w:eastAsia="Courier New" w:hAnsi="Courier New"/>
                <w:sz w:val="18"/>
                <w:szCs w:val="18"/>
                <w:color w:val="auto"/>
                <w:w w:val="96"/>
              </w:rPr>
              <w:t>====== Current</w:t>
            </w:r>
          </w:p>
        </w:tc>
        <w:tc>
          <w:tcPr>
            <w:tcW w:w="0" w:type="dxa"/>
            <w:vAlign w:val="bottom"/>
          </w:tcPr>
          <w:p>
            <w:pPr>
              <w:spacing w:after="0"/>
              <w:rPr>
                <w:sz w:val="1"/>
                <w:szCs w:val="1"/>
                <w:color w:val="auto"/>
              </w:rPr>
            </w:pPr>
          </w:p>
        </w:tc>
      </w:tr>
      <w:tr>
        <w:trPr>
          <w:trHeight w:val="381"/>
        </w:trPr>
        <w:tc>
          <w:tcPr>
            <w:tcW w:w="2440" w:type="dxa"/>
            <w:vAlign w:val="bottom"/>
            <w:vMerge w:val="continue"/>
          </w:tcPr>
          <w:p>
            <w:pPr>
              <w:spacing w:after="0"/>
              <w:rPr>
                <w:sz w:val="24"/>
                <w:szCs w:val="24"/>
                <w:color w:val="auto"/>
              </w:rPr>
            </w:pPr>
          </w:p>
        </w:tc>
        <w:tc>
          <w:tcPr>
            <w:tcW w:w="1300" w:type="dxa"/>
            <w:vAlign w:val="bottom"/>
            <w:vMerge w:val="restart"/>
          </w:tcPr>
          <w:p>
            <w:pPr>
              <w:jc w:val="center"/>
              <w:ind w:left="72"/>
              <w:spacing w:after="0"/>
              <w:rPr>
                <w:sz w:val="20"/>
                <w:szCs w:val="20"/>
                <w:color w:val="auto"/>
              </w:rPr>
            </w:pPr>
            <w:r>
              <w:rPr>
                <w:rFonts w:ascii="Courier New" w:cs="Courier New" w:eastAsia="Courier New" w:hAnsi="Courier New"/>
                <w:sz w:val="18"/>
                <w:szCs w:val="18"/>
                <w:color w:val="auto"/>
                <w:w w:val="96"/>
              </w:rPr>
              <w:t>Long-term</w:t>
            </w:r>
          </w:p>
        </w:tc>
        <w:tc>
          <w:tcPr>
            <w:tcW w:w="2540" w:type="dxa"/>
            <w:vAlign w:val="bottom"/>
          </w:tcPr>
          <w:p>
            <w:pPr>
              <w:jc w:val="right"/>
              <w:spacing w:after="0"/>
              <w:rPr>
                <w:sz w:val="20"/>
                <w:szCs w:val="20"/>
                <w:color w:val="auto"/>
              </w:rPr>
            </w:pPr>
            <w:r>
              <w:rPr>
                <w:rFonts w:ascii="Courier New" w:cs="Courier New" w:eastAsia="Courier New" w:hAnsi="Courier New"/>
                <w:sz w:val="18"/>
                <w:szCs w:val="18"/>
                <w:color w:val="auto"/>
              </w:rPr>
              <w:t>34,491</w:t>
            </w:r>
          </w:p>
        </w:tc>
        <w:tc>
          <w:tcPr>
            <w:tcW w:w="0" w:type="dxa"/>
            <w:vAlign w:val="bottom"/>
          </w:tcPr>
          <w:p>
            <w:pPr>
              <w:spacing w:after="0"/>
              <w:rPr>
                <w:sz w:val="1"/>
                <w:szCs w:val="1"/>
                <w:color w:val="auto"/>
              </w:rPr>
            </w:pPr>
          </w:p>
        </w:tc>
      </w:tr>
      <w:tr>
        <w:trPr>
          <w:trHeight w:val="118"/>
        </w:trPr>
        <w:tc>
          <w:tcPr>
            <w:tcW w:w="244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portion</w:t>
            </w:r>
          </w:p>
        </w:tc>
        <w:tc>
          <w:tcPr>
            <w:tcW w:w="1300" w:type="dxa"/>
            <w:vAlign w:val="bottom"/>
            <w:vMerge w:val="continue"/>
          </w:tcPr>
          <w:p>
            <w:pPr>
              <w:spacing w:after="0"/>
              <w:rPr>
                <w:sz w:val="10"/>
                <w:szCs w:val="10"/>
                <w:color w:val="auto"/>
              </w:rPr>
            </w:pPr>
          </w:p>
        </w:tc>
        <w:tc>
          <w:tcPr>
            <w:tcW w:w="25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31,910 -</w:t>
            </w:r>
          </w:p>
        </w:tc>
        <w:tc>
          <w:tcPr>
            <w:tcW w:w="0" w:type="dxa"/>
            <w:vAlign w:val="bottom"/>
          </w:tcPr>
          <w:p>
            <w:pPr>
              <w:spacing w:after="0"/>
              <w:rPr>
                <w:sz w:val="1"/>
                <w:szCs w:val="1"/>
                <w:color w:val="auto"/>
              </w:rPr>
            </w:pPr>
          </w:p>
        </w:tc>
      </w:tr>
      <w:tr>
        <w:trPr>
          <w:trHeight w:val="141"/>
        </w:trPr>
        <w:tc>
          <w:tcPr>
            <w:tcW w:w="2440" w:type="dxa"/>
            <w:vAlign w:val="bottom"/>
            <w:vMerge w:val="continue"/>
          </w:tcPr>
          <w:p>
            <w:pPr>
              <w:spacing w:after="0"/>
              <w:rPr>
                <w:sz w:val="12"/>
                <w:szCs w:val="12"/>
                <w:color w:val="auto"/>
              </w:rPr>
            </w:pPr>
          </w:p>
        </w:tc>
        <w:tc>
          <w:tcPr>
            <w:tcW w:w="1300" w:type="dxa"/>
            <w:vAlign w:val="bottom"/>
          </w:tcPr>
          <w:p>
            <w:pPr>
              <w:spacing w:after="0"/>
              <w:rPr>
                <w:sz w:val="12"/>
                <w:szCs w:val="12"/>
                <w:color w:val="auto"/>
              </w:rPr>
            </w:pPr>
          </w:p>
        </w:tc>
        <w:tc>
          <w:tcPr>
            <w:tcW w:w="2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ind w:left="2800" w:hanging="632"/>
        <w:spacing w:after="0"/>
        <w:tabs>
          <w:tab w:leader="none" w:pos="2800" w:val="left"/>
        </w:tabs>
        <w:numPr>
          <w:ilvl w:val="1"/>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66,401 ======</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CONVERTIBLE DEBENTURES DUE TO RELATED PARTY</w:t>
      </w:r>
    </w:p>
    <w:p>
      <w:pPr>
        <w:spacing w:after="0" w:line="201" w:lineRule="exact"/>
        <w:rPr>
          <w:sz w:val="20"/>
          <w:szCs w:val="20"/>
          <w:color w:val="auto"/>
        </w:rPr>
      </w:pPr>
    </w:p>
    <w:p>
      <w:pPr>
        <w:ind w:right="1779" w:firstLine="527"/>
        <w:spacing w:after="0" w:line="256" w:lineRule="auto"/>
        <w:rPr>
          <w:sz w:val="20"/>
          <w:szCs w:val="20"/>
          <w:color w:val="auto"/>
        </w:rPr>
      </w:pPr>
      <w:r>
        <w:rPr>
          <w:rFonts w:ascii="Courier New" w:cs="Courier New" w:eastAsia="Courier New" w:hAnsi="Courier New"/>
          <w:sz w:val="18"/>
          <w:szCs w:val="18"/>
          <w:color w:val="auto"/>
        </w:rPr>
        <w:t>The convertible debentures bear a compounded annual interest rate of 6% and mature on January 26, 2008. However, if Bell Canada extends the terms of the Master Outsourcing Agreement beyond seven years, then the maturity date will be extended accordingly. Amdocs has the option to convert the debentures into common shares of the Company at any time following 30 months from the issuance date. Each $100 of principal is convertible into one common share of the Company.</w:t>
      </w:r>
    </w:p>
    <w:p>
      <w:pPr>
        <w:spacing w:after="0" w:line="98" w:lineRule="exact"/>
        <w:rPr>
          <w:sz w:val="20"/>
          <w:szCs w:val="20"/>
          <w:color w:val="auto"/>
        </w:rPr>
      </w:pPr>
    </w:p>
    <w:p>
      <w:pPr>
        <w:ind w:right="1779" w:firstLine="527"/>
        <w:spacing w:after="0" w:line="256" w:lineRule="auto"/>
        <w:rPr>
          <w:sz w:val="20"/>
          <w:szCs w:val="20"/>
          <w:color w:val="auto"/>
        </w:rPr>
      </w:pPr>
      <w:r>
        <w:rPr>
          <w:rFonts w:ascii="Courier New" w:cs="Courier New" w:eastAsia="Courier New" w:hAnsi="Courier New"/>
          <w:sz w:val="18"/>
          <w:szCs w:val="18"/>
          <w:color w:val="auto"/>
        </w:rPr>
        <w:t>During 2002 and 2001, Certen issued to Amdocs convertible debentures in the amounts of $33,859,000 and $30,963,000, respectively, for a total balance outstanding at December 31, 2002 of $64,822,000. The conversion option associated with the convertible debentures was separated and presented as a separate component of shareholders' equity. The accretion of the convertible debentures is equal to the value of the conversion option, and is charged to earnings over the term of the convertible debentures.</w:t>
      </w:r>
    </w:p>
    <w:p>
      <w:pPr>
        <w:spacing w:after="0" w:line="98" w:lineRule="exact"/>
        <w:rPr>
          <w:sz w:val="20"/>
          <w:szCs w:val="20"/>
          <w:color w:val="auto"/>
        </w:rPr>
      </w:pPr>
    </w:p>
    <w:p>
      <w:pPr>
        <w:ind w:left="220" w:right="7479" w:hanging="212"/>
        <w:spacing w:after="0" w:line="476" w:lineRule="auto"/>
        <w:tabs>
          <w:tab w:leader="none" w:pos="536" w:val="left"/>
        </w:tabs>
        <w:numPr>
          <w:ilvl w:val="0"/>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INSTRUMENTS CREDIT RISK</w:t>
      </w:r>
    </w:p>
    <w:p>
      <w:pPr>
        <w:spacing w:after="0" w:line="1" w:lineRule="exact"/>
        <w:rPr>
          <w:sz w:val="20"/>
          <w:szCs w:val="20"/>
          <w:color w:val="auto"/>
        </w:rPr>
      </w:pPr>
    </w:p>
    <w:p>
      <w:pPr>
        <w:ind w:right="2739" w:firstLine="527"/>
        <w:spacing w:after="0" w:line="347" w:lineRule="auto"/>
        <w:rPr>
          <w:sz w:val="20"/>
          <w:szCs w:val="20"/>
          <w:color w:val="auto"/>
        </w:rPr>
      </w:pPr>
      <w:r>
        <w:rPr>
          <w:rFonts w:ascii="Courier New" w:cs="Courier New" w:eastAsia="Courier New" w:hAnsi="Courier New"/>
          <w:sz w:val="18"/>
          <w:szCs w:val="18"/>
          <w:color w:val="auto"/>
        </w:rPr>
        <w:t>Certen is exposed to a concentration of credit risk given that the Company's primary customer is Bell Canada and affiliates.</w:t>
      </w:r>
    </w:p>
    <w:p>
      <w:pPr>
        <w:spacing w:after="0" w:line="1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CURRENCY EXPOSURES</w:t>
      </w:r>
    </w:p>
    <w:p>
      <w:pPr>
        <w:spacing w:after="0" w:line="201" w:lineRule="exact"/>
        <w:rPr>
          <w:sz w:val="20"/>
          <w:szCs w:val="20"/>
          <w:color w:val="auto"/>
        </w:rPr>
      </w:pPr>
    </w:p>
    <w:p>
      <w:pPr>
        <w:ind w:right="2099" w:firstLine="527"/>
        <w:spacing w:after="0" w:line="274" w:lineRule="auto"/>
        <w:rPr>
          <w:sz w:val="20"/>
          <w:szCs w:val="20"/>
          <w:color w:val="auto"/>
        </w:rPr>
      </w:pPr>
      <w:r>
        <w:rPr>
          <w:rFonts w:ascii="Courier New" w:cs="Courier New" w:eastAsia="Courier New" w:hAnsi="Courier New"/>
          <w:sz w:val="18"/>
          <w:szCs w:val="18"/>
          <w:color w:val="auto"/>
        </w:rPr>
        <w:t>Certen is exposed to currency risk on its trade accounts payable. At December 31, 2002, an amount of US$49,254,000 (CDN$77,110,000) (US$19,281,000 (CDN$30,608,000) in 2001) is included in accounts payable and accrued liabilities.</w:t>
      </w:r>
    </w:p>
    <w:p>
      <w:pPr>
        <w:spacing w:after="0" w:line="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F-48</w:t>
      </w:r>
    </w:p>
    <w:p>
      <w:pPr>
        <w:sectPr>
          <w:pgSz w:w="11900" w:h="16838" w:orient="portrait"/>
          <w:cols w:equalWidth="0" w:num="1">
            <w:col w:w="10219"/>
          </w:cols>
          <w:pgMar w:left="240" w:top="488" w:right="1440" w:bottom="1440" w:gutter="0" w:footer="0" w:header="0"/>
        </w:sectPr>
      </w:pPr>
    </w:p>
    <w:bookmarkStart w:id="135" w:name="page136"/>
    <w:bookmarkEnd w:id="135"/>
    <w:p>
      <w:pPr>
        <w:jc w:val="center"/>
        <w:ind w:right="1879"/>
        <w:spacing w:after="0"/>
        <w:rPr>
          <w:sz w:val="20"/>
          <w:szCs w:val="20"/>
          <w:color w:val="auto"/>
        </w:rPr>
      </w:pPr>
      <w:r>
        <w:rPr>
          <w:rFonts w:ascii="Courier New" w:cs="Courier New" w:eastAsia="Courier New" w:hAnsi="Courier New"/>
          <w:sz w:val="18"/>
          <w:szCs w:val="18"/>
          <w:color w:val="auto"/>
        </w:rPr>
        <w:t>CERTEN INC.</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NOTES TO THE FINANCIAL STATEMENTS -- (CONTINUED)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INTEREST RATE EXPOSURES</w:t>
      </w:r>
    </w:p>
    <w:p>
      <w:pPr>
        <w:spacing w:after="0" w:line="201" w:lineRule="exact"/>
        <w:rPr>
          <w:sz w:val="20"/>
          <w:szCs w:val="20"/>
          <w:color w:val="auto"/>
        </w:rPr>
      </w:pPr>
    </w:p>
    <w:p>
      <w:pPr>
        <w:ind w:right="1999" w:firstLine="527"/>
        <w:spacing w:after="0" w:line="402" w:lineRule="auto"/>
        <w:rPr>
          <w:sz w:val="20"/>
          <w:szCs w:val="20"/>
          <w:color w:val="auto"/>
        </w:rPr>
      </w:pPr>
      <w:r>
        <w:rPr>
          <w:rFonts w:ascii="Courier New" w:cs="Courier New" w:eastAsia="Courier New" w:hAnsi="Courier New"/>
          <w:sz w:val="16"/>
          <w:szCs w:val="16"/>
          <w:color w:val="auto"/>
        </w:rPr>
        <w:t>The Company is exposed to interest rate risk arising from fluctuations in interest rates, specifically on its long-term debt at fixed interest rates.</w:t>
      </w:r>
    </w:p>
    <w:p>
      <w:pPr>
        <w:spacing w:after="0" w:line="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FAIR VALUE</w:t>
      </w:r>
    </w:p>
    <w:p>
      <w:pPr>
        <w:spacing w:after="0" w:line="201" w:lineRule="exact"/>
        <w:rPr>
          <w:sz w:val="20"/>
          <w:szCs w:val="20"/>
          <w:color w:val="auto"/>
        </w:rPr>
      </w:pPr>
    </w:p>
    <w:p>
      <w:pPr>
        <w:ind w:right="1879" w:firstLine="527"/>
        <w:spacing w:after="0" w:line="246" w:lineRule="auto"/>
        <w:rPr>
          <w:sz w:val="20"/>
          <w:szCs w:val="20"/>
          <w:color w:val="auto"/>
        </w:rPr>
      </w:pPr>
      <w:r>
        <w:rPr>
          <w:rFonts w:ascii="Courier New" w:cs="Courier New" w:eastAsia="Courier New" w:hAnsi="Courier New"/>
          <w:sz w:val="18"/>
          <w:szCs w:val="18"/>
          <w:color w:val="auto"/>
        </w:rPr>
        <w:t>At December 31, 2002 and 2001, the carrying value of the cash and cash equivalents, accounts receivable, other current receivables, prepaid expenses, bank indebtedness, promissory note due to related party, accounts payable and accrued liabilities, income and other taxes payable, and other current liabilities approximate fair value due to the short-term maturity of these financial instruments. The fair value of the obligation under capital leases also approximates its carrying value. The fair value of the Company's convertible debentures due to related party is based on estimates using present value techniques, which is significantly affected by the assumptions used concerning the amount and timing of estimated future cash flows and discount rates which reflect varying degree of risk. At December 31, 2002 the estimated fair value of the convertible debentures due to related party was approximately $27 million ($12 million at December 31, 2001). Due to the use of subjective judgment and uncertainties, the fair value amount should not be interpreted as being payable in an immediate settlement of the instrument.</w:t>
      </w:r>
    </w:p>
    <w:p>
      <w:pPr>
        <w:spacing w:after="0" w:line="106" w:lineRule="exact"/>
        <w:rPr>
          <w:sz w:val="20"/>
          <w:szCs w:val="20"/>
          <w:color w:val="auto"/>
        </w:rPr>
      </w:pPr>
    </w:p>
    <w:p>
      <w:pPr>
        <w:ind w:left="540" w:hanging="532"/>
        <w:spacing w:after="0"/>
        <w:tabs>
          <w:tab w:leader="none" w:pos="540"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COMMON SHARES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An unlimited number of common shares are authorized with no par value.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1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2002 2001</w:t>
            </w:r>
          </w:p>
        </w:tc>
        <w:tc>
          <w:tcPr>
            <w:tcW w:w="1100" w:type="dxa"/>
            <w:vAlign w:val="bottom"/>
          </w:tcPr>
          <w:p>
            <w:pPr>
              <w:spacing w:after="0"/>
              <w:rPr>
                <w:sz w:val="20"/>
                <w:szCs w:val="20"/>
                <w:color w:val="auto"/>
              </w:rPr>
            </w:pPr>
            <w:r>
              <w:rPr>
                <w:rFonts w:ascii="Courier New" w:cs="Courier New" w:eastAsia="Courier New" w:hAnsi="Courier New"/>
                <w:sz w:val="13"/>
                <w:szCs w:val="13"/>
                <w:color w:val="auto"/>
                <w:w w:val="72"/>
              </w:rPr>
              <w:t>-------------------</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220" w:type="dxa"/>
            <w:vAlign w:val="bottom"/>
            <w:gridSpan w:val="2"/>
          </w:tcPr>
          <w:p>
            <w:pPr>
              <w:jc w:val="right"/>
              <w:ind w:right="20"/>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NUMBER OF</w:t>
            </w:r>
          </w:p>
        </w:tc>
        <w:tc>
          <w:tcPr>
            <w:tcW w:w="0" w:type="dxa"/>
            <w:vAlign w:val="bottom"/>
          </w:tcPr>
          <w:p>
            <w:pPr>
              <w:spacing w:after="0"/>
              <w:rPr>
                <w:sz w:val="1"/>
                <w:szCs w:val="1"/>
                <w:color w:val="auto"/>
              </w:rPr>
            </w:pPr>
          </w:p>
        </w:tc>
      </w:tr>
      <w:tr>
        <w:trPr>
          <w:trHeight w:val="203"/>
        </w:trPr>
        <w:tc>
          <w:tcPr>
            <w:tcW w:w="332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STATED NUMBER OF STATED AT</w:t>
            </w:r>
          </w:p>
        </w:tc>
        <w:tc>
          <w:tcPr>
            <w:tcW w:w="0" w:type="dxa"/>
            <w:vAlign w:val="bottom"/>
          </w:tcPr>
          <w:p>
            <w:pPr>
              <w:spacing w:after="0"/>
              <w:rPr>
                <w:sz w:val="1"/>
                <w:szCs w:val="1"/>
                <w:color w:val="auto"/>
              </w:rPr>
            </w:pPr>
          </w:p>
        </w:tc>
      </w:tr>
      <w:tr>
        <w:trPr>
          <w:trHeight w:val="203"/>
        </w:trPr>
        <w:tc>
          <w:tcPr>
            <w:tcW w:w="332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DECEMBER 31 SHARES CAPITAL</w:t>
            </w:r>
          </w:p>
        </w:tc>
        <w:tc>
          <w:tcPr>
            <w:tcW w:w="0" w:type="dxa"/>
            <w:vAlign w:val="bottom"/>
          </w:tcPr>
          <w:p>
            <w:pPr>
              <w:spacing w:after="0"/>
              <w:rPr>
                <w:sz w:val="1"/>
                <w:szCs w:val="1"/>
                <w:color w:val="auto"/>
              </w:rPr>
            </w:pPr>
          </w:p>
        </w:tc>
      </w:tr>
      <w:tr>
        <w:trPr>
          <w:trHeight w:val="203"/>
        </w:trPr>
        <w:tc>
          <w:tcPr>
            <w:tcW w:w="332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SHARES CAPITAL - --------------</w:t>
            </w:r>
          </w:p>
        </w:tc>
        <w:tc>
          <w:tcPr>
            <w:tcW w:w="0" w:type="dxa"/>
            <w:vAlign w:val="bottom"/>
          </w:tcPr>
          <w:p>
            <w:pPr>
              <w:spacing w:after="0"/>
              <w:rPr>
                <w:sz w:val="1"/>
                <w:szCs w:val="1"/>
                <w:color w:val="auto"/>
              </w:rPr>
            </w:pPr>
          </w:p>
        </w:tc>
      </w:tr>
      <w:tr>
        <w:trPr>
          <w:trHeight w:val="203"/>
        </w:trPr>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22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 --------- ---</w:t>
            </w:r>
          </w:p>
        </w:tc>
        <w:tc>
          <w:tcPr>
            <w:tcW w:w="0" w:type="dxa"/>
            <w:vAlign w:val="bottom"/>
          </w:tcPr>
          <w:p>
            <w:pPr>
              <w:spacing w:after="0"/>
              <w:rPr>
                <w:sz w:val="1"/>
                <w:szCs w:val="1"/>
                <w:color w:val="auto"/>
              </w:rPr>
            </w:pPr>
          </w:p>
        </w:tc>
      </w:tr>
      <w:tr>
        <w:trPr>
          <w:trHeight w:val="203"/>
        </w:trPr>
        <w:tc>
          <w:tcPr>
            <w:tcW w:w="332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 $ $ Outstanding, beginning</w:t>
            </w:r>
          </w:p>
        </w:tc>
        <w:tc>
          <w:tcPr>
            <w:tcW w:w="0" w:type="dxa"/>
            <w:vAlign w:val="bottom"/>
          </w:tcPr>
          <w:p>
            <w:pPr>
              <w:spacing w:after="0"/>
              <w:rPr>
                <w:sz w:val="1"/>
                <w:szCs w:val="1"/>
                <w:color w:val="auto"/>
              </w:rPr>
            </w:pPr>
          </w:p>
        </w:tc>
      </w:tr>
      <w:tr>
        <w:trPr>
          <w:trHeight w:val="203"/>
        </w:trPr>
        <w:tc>
          <w:tcPr>
            <w:tcW w:w="2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2"/>
              </w:rPr>
              <w:t>of year...............</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487,949</w:t>
            </w:r>
          </w:p>
        </w:tc>
        <w:tc>
          <w:tcPr>
            <w:tcW w:w="0" w:type="dxa"/>
            <w:vAlign w:val="bottom"/>
          </w:tcPr>
          <w:p>
            <w:pPr>
              <w:spacing w:after="0"/>
              <w:rPr>
                <w:sz w:val="1"/>
                <w:szCs w:val="1"/>
                <w:color w:val="auto"/>
              </w:rPr>
            </w:pPr>
          </w:p>
        </w:tc>
      </w:tr>
      <w:tr>
        <w:trPr>
          <w:trHeight w:val="203"/>
        </w:trPr>
        <w:tc>
          <w:tcPr>
            <w:tcW w:w="332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48,795 -- -- Shares issued for</w:t>
            </w:r>
          </w:p>
        </w:tc>
        <w:tc>
          <w:tcPr>
            <w:tcW w:w="0" w:type="dxa"/>
            <w:vAlign w:val="bottom"/>
          </w:tcPr>
          <w:p>
            <w:pPr>
              <w:spacing w:after="0"/>
              <w:rPr>
                <w:sz w:val="1"/>
                <w:szCs w:val="1"/>
                <w:color w:val="auto"/>
              </w:rPr>
            </w:pPr>
          </w:p>
        </w:tc>
      </w:tr>
      <w:tr>
        <w:trPr>
          <w:trHeight w:val="203"/>
        </w:trPr>
        <w:tc>
          <w:tcPr>
            <w:tcW w:w="332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cash consideration.......</w:t>
            </w:r>
          </w:p>
        </w:tc>
        <w:tc>
          <w:tcPr>
            <w:tcW w:w="0" w:type="dxa"/>
            <w:vAlign w:val="bottom"/>
          </w:tcPr>
          <w:p>
            <w:pPr>
              <w:spacing w:after="0"/>
              <w:rPr>
                <w:sz w:val="1"/>
                <w:szCs w:val="1"/>
                <w:color w:val="auto"/>
              </w:rPr>
            </w:pPr>
          </w:p>
        </w:tc>
      </w:tr>
      <w:tr>
        <w:trPr>
          <w:trHeight w:val="203"/>
        </w:trPr>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472,408</w:t>
            </w:r>
          </w:p>
        </w:tc>
        <w:tc>
          <w:tcPr>
            <w:tcW w:w="22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47,241 49,283 4,928</w:t>
            </w:r>
          </w:p>
        </w:tc>
        <w:tc>
          <w:tcPr>
            <w:tcW w:w="0" w:type="dxa"/>
            <w:vAlign w:val="bottom"/>
          </w:tcPr>
          <w:p>
            <w:pPr>
              <w:spacing w:after="0"/>
              <w:rPr>
                <w:sz w:val="1"/>
                <w:szCs w:val="1"/>
                <w:color w:val="auto"/>
              </w:rPr>
            </w:pPr>
          </w:p>
        </w:tc>
      </w:tr>
      <w:tr>
        <w:trPr>
          <w:trHeight w:val="203"/>
        </w:trPr>
        <w:tc>
          <w:tcPr>
            <w:tcW w:w="332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Shares to repay promissory note</w:t>
            </w:r>
          </w:p>
        </w:tc>
        <w:tc>
          <w:tcPr>
            <w:tcW w:w="0" w:type="dxa"/>
            <w:vAlign w:val="bottom"/>
          </w:tcPr>
          <w:p>
            <w:pPr>
              <w:spacing w:after="0"/>
              <w:rPr>
                <w:sz w:val="1"/>
                <w:szCs w:val="1"/>
                <w:color w:val="auto"/>
              </w:rPr>
            </w:pPr>
          </w:p>
        </w:tc>
      </w:tr>
      <w:tr>
        <w:trPr>
          <w:trHeight w:val="203"/>
        </w:trPr>
        <w:tc>
          <w:tcPr>
            <w:tcW w:w="332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6"/>
              </w:rPr>
              <w:t>due to related</w:t>
            </w:r>
          </w:p>
        </w:tc>
        <w:tc>
          <w:tcPr>
            <w:tcW w:w="0" w:type="dxa"/>
            <w:vAlign w:val="bottom"/>
          </w:tcPr>
          <w:p>
            <w:pPr>
              <w:spacing w:after="0"/>
              <w:rPr>
                <w:sz w:val="1"/>
                <w:szCs w:val="1"/>
                <w:color w:val="auto"/>
              </w:rPr>
            </w:pPr>
          </w:p>
        </w:tc>
      </w:tr>
      <w:tr>
        <w:trPr>
          <w:trHeight w:val="203"/>
        </w:trPr>
        <w:tc>
          <w:tcPr>
            <w:tcW w:w="22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1"/>
              </w:rPr>
              <w:t>party...........................</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2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61,334 6,133 438,666 43,867 ---</w:t>
            </w:r>
          </w:p>
        </w:tc>
        <w:tc>
          <w:tcPr>
            <w:tcW w:w="0" w:type="dxa"/>
            <w:vAlign w:val="bottom"/>
          </w:tcPr>
          <w:p>
            <w:pPr>
              <w:spacing w:after="0"/>
              <w:rPr>
                <w:sz w:val="1"/>
                <w:szCs w:val="1"/>
                <w:color w:val="auto"/>
              </w:rPr>
            </w:pPr>
          </w:p>
        </w:tc>
      </w:tr>
      <w:tr>
        <w:trPr>
          <w:trHeight w:val="203"/>
        </w:trPr>
        <w:tc>
          <w:tcPr>
            <w:tcW w:w="332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 ------- ------- ------</w:t>
            </w:r>
          </w:p>
        </w:tc>
        <w:tc>
          <w:tcPr>
            <w:tcW w:w="0" w:type="dxa"/>
            <w:vAlign w:val="bottom"/>
          </w:tcPr>
          <w:p>
            <w:pPr>
              <w:spacing w:after="0"/>
              <w:rPr>
                <w:sz w:val="1"/>
                <w:szCs w:val="1"/>
                <w:color w:val="auto"/>
              </w:rPr>
            </w:pPr>
          </w:p>
        </w:tc>
      </w:tr>
      <w:tr>
        <w:trPr>
          <w:trHeight w:val="203"/>
        </w:trPr>
        <w:tc>
          <w:tcPr>
            <w:tcW w:w="332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8"/>
              </w:rPr>
              <w:t>Outstanding, end of</w:t>
            </w:r>
          </w:p>
        </w:tc>
        <w:tc>
          <w:tcPr>
            <w:tcW w:w="0" w:type="dxa"/>
            <w:vAlign w:val="bottom"/>
          </w:tcPr>
          <w:p>
            <w:pPr>
              <w:spacing w:after="0"/>
              <w:rPr>
                <w:sz w:val="1"/>
                <w:szCs w:val="1"/>
                <w:color w:val="auto"/>
              </w:rPr>
            </w:pPr>
          </w:p>
        </w:tc>
      </w:tr>
      <w:tr>
        <w:trPr>
          <w:trHeight w:val="203"/>
        </w:trPr>
        <w:tc>
          <w:tcPr>
            <w:tcW w:w="2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1"/>
              </w:rPr>
              <w:t>year.....................</w:t>
            </w:r>
          </w:p>
        </w:tc>
        <w:tc>
          <w:tcPr>
            <w:tcW w:w="110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487,949</w:t>
            </w:r>
          </w:p>
        </w:tc>
        <w:tc>
          <w:tcPr>
            <w:tcW w:w="0" w:type="dxa"/>
            <w:vAlign w:val="bottom"/>
          </w:tcPr>
          <w:p>
            <w:pPr>
              <w:spacing w:after="0"/>
              <w:rPr>
                <w:sz w:val="1"/>
                <w:szCs w:val="1"/>
                <w:color w:val="auto"/>
              </w:rPr>
            </w:pPr>
          </w:p>
        </w:tc>
      </w:tr>
      <w:tr>
        <w:trPr>
          <w:trHeight w:val="203"/>
        </w:trPr>
        <w:tc>
          <w:tcPr>
            <w:tcW w:w="2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1,021,691 102,169</w:t>
            </w: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2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48,795 ========= =======</w:t>
            </w:r>
          </w:p>
        </w:tc>
        <w:tc>
          <w:tcPr>
            <w:tcW w:w="0" w:type="dxa"/>
            <w:vAlign w:val="bottom"/>
          </w:tcPr>
          <w:p>
            <w:pPr>
              <w:spacing w:after="0"/>
              <w:rPr>
                <w:sz w:val="1"/>
                <w:szCs w:val="1"/>
                <w:color w:val="auto"/>
              </w:rPr>
            </w:pPr>
          </w:p>
        </w:tc>
      </w:tr>
      <w:tr>
        <w:trPr>
          <w:trHeight w:val="296"/>
        </w:trPr>
        <w:tc>
          <w:tcPr>
            <w:tcW w:w="3320" w:type="dxa"/>
            <w:vAlign w:val="bottom"/>
            <w:gridSpan w:val="3"/>
          </w:tcPr>
          <w:p>
            <w:pPr>
              <w:jc w:val="center"/>
              <w:spacing w:after="0"/>
              <w:rPr>
                <w:sz w:val="20"/>
                <w:szCs w:val="20"/>
                <w:color w:val="auto"/>
              </w:rPr>
            </w:pPr>
            <w:r>
              <w:rPr>
                <w:rFonts w:ascii="Courier New" w:cs="Courier New" w:eastAsia="Courier New" w:hAnsi="Courier New"/>
                <w:sz w:val="18"/>
                <w:szCs w:val="18"/>
                <w:color w:val="auto"/>
                <w:w w:val="96"/>
              </w:rPr>
              <w:t>======= ======</w:t>
            </w:r>
          </w:p>
        </w:tc>
        <w:tc>
          <w:tcPr>
            <w:tcW w:w="0" w:type="dxa"/>
            <w:vAlign w:val="bottom"/>
          </w:tcPr>
          <w:p>
            <w:pPr>
              <w:spacing w:after="0"/>
              <w:rPr>
                <w:sz w:val="1"/>
                <w:szCs w:val="1"/>
                <w:color w:val="auto"/>
              </w:rPr>
            </w:pPr>
          </w:p>
        </w:tc>
      </w:tr>
    </w:tbl>
    <w:p>
      <w:pPr>
        <w:spacing w:after="0" w:line="31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12.</w:t>
        <w:tab/>
        <w:t>SUPPLEMENTAL CASH FLOW INFORMATION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The following are the components of cash and cash equivalents at December</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31:</w:t>
      </w:r>
    </w:p>
    <w:p>
      <w:pPr>
        <w:spacing w:after="0" w:line="169" w:lineRule="exact"/>
        <w:rPr>
          <w:sz w:val="20"/>
          <w:szCs w:val="20"/>
          <w:color w:val="auto"/>
        </w:rPr>
      </w:pPr>
    </w:p>
    <w:p>
      <w:pPr>
        <w:jc w:val="center"/>
        <w:ind w:right="3879"/>
        <w:spacing w:after="0"/>
        <w:rPr>
          <w:sz w:val="20"/>
          <w:szCs w:val="20"/>
          <w:color w:val="auto"/>
        </w:rPr>
      </w:pPr>
      <w:r>
        <w:rPr>
          <w:rFonts w:ascii="Courier New" w:cs="Courier New" w:eastAsia="Courier New" w:hAnsi="Courier New"/>
          <w:sz w:val="18"/>
          <w:szCs w:val="18"/>
          <w:color w:val="auto"/>
        </w:rPr>
        <w:t>2002 2001 ------ ------ $ $</w:t>
      </w:r>
    </w:p>
    <w:p>
      <w:pPr>
        <w:spacing w:after="0" w:line="31" w:lineRule="exact"/>
        <w:rPr>
          <w:sz w:val="20"/>
          <w:szCs w:val="20"/>
          <w:color w:val="auto"/>
        </w:rPr>
      </w:pPr>
    </w:p>
    <w:p>
      <w:pPr>
        <w:jc w:val="center"/>
        <w:ind w:right="3879"/>
        <w:spacing w:after="0"/>
        <w:rPr>
          <w:sz w:val="20"/>
          <w:szCs w:val="20"/>
          <w:color w:val="auto"/>
        </w:rPr>
      </w:pPr>
      <w:r>
        <w:rPr>
          <w:rFonts w:ascii="Courier New" w:cs="Courier New" w:eastAsia="Courier New" w:hAnsi="Courier New"/>
          <w:sz w:val="16"/>
          <w:szCs w:val="16"/>
          <w:color w:val="auto"/>
        </w:rPr>
        <w:t>Cash........................................................</w:t>
      </w:r>
    </w:p>
    <w:p>
      <w:pPr>
        <w:spacing w:after="0" w:line="20" w:lineRule="exact"/>
        <w:rPr>
          <w:sz w:val="20"/>
          <w:szCs w:val="20"/>
          <w:color w:val="auto"/>
        </w:rPr>
      </w:pPr>
    </w:p>
    <w:p>
      <w:pPr>
        <w:jc w:val="center"/>
        <w:ind w:right="3879"/>
        <w:spacing w:after="0"/>
        <w:rPr>
          <w:sz w:val="20"/>
          <w:szCs w:val="20"/>
          <w:color w:val="auto"/>
        </w:rPr>
      </w:pPr>
      <w:r>
        <w:rPr>
          <w:rFonts w:ascii="Courier New" w:cs="Courier New" w:eastAsia="Courier New" w:hAnsi="Courier New"/>
          <w:sz w:val="18"/>
          <w:szCs w:val="18"/>
          <w:color w:val="auto"/>
        </w:rPr>
        <w:t>33,590 59,500 Bank</w:t>
      </w:r>
    </w:p>
    <w:p>
      <w:pPr>
        <w:jc w:val="center"/>
        <w:ind w:right="3879"/>
        <w:spacing w:after="0" w:line="238" w:lineRule="auto"/>
        <w:rPr>
          <w:sz w:val="20"/>
          <w:szCs w:val="20"/>
          <w:color w:val="auto"/>
        </w:rPr>
      </w:pPr>
      <w:r>
        <w:rPr>
          <w:rFonts w:ascii="Courier New" w:cs="Courier New" w:eastAsia="Courier New" w:hAnsi="Courier New"/>
          <w:sz w:val="18"/>
          <w:szCs w:val="18"/>
          <w:color w:val="auto"/>
        </w:rPr>
        <w:t>indebtedness........................................... --</w:t>
      </w:r>
    </w:p>
    <w:p>
      <w:pPr>
        <w:jc w:val="center"/>
        <w:ind w:right="3879"/>
        <w:spacing w:after="0"/>
        <w:rPr>
          <w:sz w:val="20"/>
          <w:szCs w:val="20"/>
          <w:color w:val="auto"/>
        </w:rPr>
      </w:pPr>
      <w:r>
        <w:rPr>
          <w:rFonts w:ascii="Courier New" w:cs="Courier New" w:eastAsia="Courier New" w:hAnsi="Courier New"/>
          <w:sz w:val="18"/>
          <w:szCs w:val="18"/>
          <w:color w:val="auto"/>
        </w:rPr>
        <w:t>(1,807) ------ ------ Cash and cash</w:t>
      </w:r>
    </w:p>
    <w:p>
      <w:pPr>
        <w:jc w:val="center"/>
        <w:ind w:right="3879"/>
        <w:spacing w:after="0" w:line="238" w:lineRule="auto"/>
        <w:rPr>
          <w:sz w:val="20"/>
          <w:szCs w:val="20"/>
          <w:color w:val="auto"/>
        </w:rPr>
      </w:pPr>
      <w:r>
        <w:rPr>
          <w:rFonts w:ascii="Courier New" w:cs="Courier New" w:eastAsia="Courier New" w:hAnsi="Courier New"/>
          <w:sz w:val="18"/>
          <w:szCs w:val="18"/>
          <w:color w:val="auto"/>
        </w:rPr>
        <w:t>equivalents................................... 33,590</w:t>
      </w:r>
    </w:p>
    <w:p>
      <w:pPr>
        <w:ind w:left="2120"/>
        <w:spacing w:after="0"/>
        <w:rPr>
          <w:sz w:val="20"/>
          <w:szCs w:val="20"/>
          <w:color w:val="auto"/>
        </w:rPr>
      </w:pPr>
      <w:r>
        <w:rPr>
          <w:rFonts w:ascii="Courier New" w:cs="Courier New" w:eastAsia="Courier New" w:hAnsi="Courier New"/>
          <w:sz w:val="18"/>
          <w:szCs w:val="18"/>
          <w:color w:val="auto"/>
        </w:rPr>
        <w:t>57,693 ====== ======</w:t>
      </w:r>
    </w:p>
    <w:p>
      <w:pPr>
        <w:spacing w:after="0" w:line="37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F-49</w:t>
      </w:r>
    </w:p>
    <w:p>
      <w:pPr>
        <w:sectPr>
          <w:pgSz w:w="11900" w:h="16838" w:orient="portrait"/>
          <w:cols w:equalWidth="0" w:num="1">
            <w:col w:w="10219"/>
          </w:cols>
          <w:pgMar w:left="240" w:top="488" w:right="1440" w:bottom="1440" w:gutter="0" w:footer="0" w:header="0"/>
        </w:sectPr>
      </w:pPr>
    </w:p>
    <w:bookmarkStart w:id="136" w:name="page137"/>
    <w:bookmarkEnd w:id="136"/>
    <w:p>
      <w:pPr>
        <w:jc w:val="center"/>
        <w:ind w:right="1879"/>
        <w:spacing w:after="0"/>
        <w:rPr>
          <w:sz w:val="20"/>
          <w:szCs w:val="20"/>
          <w:color w:val="auto"/>
        </w:rPr>
      </w:pPr>
      <w:r>
        <w:rPr>
          <w:rFonts w:ascii="Courier New" w:cs="Courier New" w:eastAsia="Courier New" w:hAnsi="Courier New"/>
          <w:sz w:val="18"/>
          <w:szCs w:val="18"/>
          <w:color w:val="auto"/>
        </w:rPr>
        <w:t>CERTEN INC.</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NOTES TO THE FINANCIAL STATEMENTS -- (CONTINUED)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WORKING CAPITAL COMPONENTS:</w:t>
      </w:r>
    </w:p>
    <w:p>
      <w:pPr>
        <w:spacing w:after="0" w:line="201" w:lineRule="exact"/>
        <w:rPr>
          <w:sz w:val="20"/>
          <w:szCs w:val="20"/>
          <w:color w:val="auto"/>
        </w:rPr>
      </w:pPr>
    </w:p>
    <w:p>
      <w:pPr>
        <w:ind w:right="1779" w:firstLine="527"/>
        <w:spacing w:after="0" w:line="347" w:lineRule="auto"/>
        <w:rPr>
          <w:sz w:val="20"/>
          <w:szCs w:val="20"/>
          <w:color w:val="auto"/>
        </w:rPr>
      </w:pPr>
      <w:r>
        <w:rPr>
          <w:rFonts w:ascii="Courier New" w:cs="Courier New" w:eastAsia="Courier New" w:hAnsi="Courier New"/>
          <w:sz w:val="18"/>
          <w:szCs w:val="18"/>
          <w:color w:val="auto"/>
        </w:rPr>
        <w:t>Net change in non-cash working capital items for the periods ended December 31 are as follows: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w w:val="75"/>
              </w:rPr>
              <w:t>2002 2001 -----------</w:t>
            </w:r>
          </w:p>
        </w:tc>
        <w:tc>
          <w:tcPr>
            <w:tcW w:w="47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 (12 MONTHS) (11 MONTHS) $</w:t>
            </w:r>
          </w:p>
        </w:tc>
        <w:tc>
          <w:tcPr>
            <w:tcW w:w="0" w:type="dxa"/>
            <w:vAlign w:val="bottom"/>
          </w:tcPr>
          <w:p>
            <w:pPr>
              <w:spacing w:after="0"/>
              <w:rPr>
                <w:sz w:val="1"/>
                <w:szCs w:val="1"/>
                <w:color w:val="auto"/>
              </w:rPr>
            </w:pPr>
          </w:p>
        </w:tc>
      </w:tr>
      <w:tr>
        <w:trPr>
          <w:trHeight w:val="296"/>
        </w:trPr>
        <w:tc>
          <w:tcPr>
            <w:tcW w:w="1540" w:type="dxa"/>
            <w:vAlign w:val="bottom"/>
            <w:vMerge w:val="restart"/>
          </w:tcPr>
          <w:p>
            <w:pPr>
              <w:jc w:val="right"/>
              <w:spacing w:after="0"/>
              <w:rPr>
                <w:sz w:val="20"/>
                <w:szCs w:val="20"/>
                <w:color w:val="auto"/>
              </w:rPr>
            </w:pPr>
            <w:r>
              <w:rPr>
                <w:rFonts w:ascii="Courier New" w:cs="Courier New" w:eastAsia="Courier New" w:hAnsi="Courier New"/>
                <w:sz w:val="4"/>
                <w:szCs w:val="4"/>
                <w:color w:val="auto"/>
                <w:w w:val="91"/>
                <w:vertAlign w:val="superscript"/>
              </w:rPr>
              <w:t>receivable</w:t>
            </w:r>
            <w:r>
              <w:rPr>
                <w:rFonts w:ascii="Courier New" w:cs="Courier New" w:eastAsia="Courier New" w:hAnsi="Courier New"/>
                <w:sz w:val="2"/>
                <w:szCs w:val="2"/>
                <w:color w:val="auto"/>
                <w:w w:val="91"/>
              </w:rPr>
              <w:t>............................................</w:t>
            </w:r>
            <w:r>
              <w:rPr>
                <w:rFonts w:ascii="Courier New" w:cs="Courier New" w:eastAsia="Courier New" w:hAnsi="Courier New"/>
                <w:sz w:val="4"/>
                <w:szCs w:val="4"/>
                <w:color w:val="auto"/>
                <w:w w:val="91"/>
                <w:vertAlign w:val="superscript"/>
              </w:rPr>
              <w:t>.........................................</w:t>
            </w:r>
            <w:r>
              <w:rPr>
                <w:rFonts w:ascii="Courier New" w:cs="Courier New" w:eastAsia="Courier New" w:hAnsi="Courier New"/>
                <w:sz w:val="4"/>
                <w:szCs w:val="4"/>
                <w:color w:val="auto"/>
                <w:w w:val="91"/>
                <w:vertAlign w:val="subscript"/>
              </w:rPr>
              <w:t>....................</w:t>
            </w:r>
          </w:p>
        </w:tc>
        <w:tc>
          <w:tcPr>
            <w:tcW w:w="3780" w:type="dxa"/>
            <w:vAlign w:val="bottom"/>
          </w:tcPr>
          <w:p>
            <w:pPr>
              <w:jc w:val="center"/>
              <w:ind w:right="432"/>
              <w:spacing w:after="0"/>
              <w:rPr>
                <w:sz w:val="20"/>
                <w:szCs w:val="20"/>
                <w:color w:val="auto"/>
              </w:rPr>
            </w:pPr>
            <w:r>
              <w:rPr>
                <w:rFonts w:ascii="Courier New" w:cs="Courier New" w:eastAsia="Courier New" w:hAnsi="Courier New"/>
                <w:sz w:val="18"/>
                <w:szCs w:val="18"/>
                <w:color w:val="auto"/>
                <w:w w:val="98"/>
              </w:rPr>
              <w:t>$ Accounts</w:t>
            </w:r>
          </w:p>
        </w:tc>
        <w:tc>
          <w:tcPr>
            <w:tcW w:w="9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15,837</w:t>
            </w:r>
          </w:p>
        </w:tc>
        <w:tc>
          <w:tcPr>
            <w:tcW w:w="0" w:type="dxa"/>
            <w:vAlign w:val="bottom"/>
          </w:tcPr>
          <w:p>
            <w:pPr>
              <w:spacing w:after="0"/>
              <w:rPr>
                <w:sz w:val="1"/>
                <w:szCs w:val="1"/>
                <w:color w:val="auto"/>
              </w:rPr>
            </w:pPr>
          </w:p>
        </w:tc>
      </w:tr>
      <w:tr>
        <w:trPr>
          <w:trHeight w:val="287"/>
        </w:trPr>
        <w:tc>
          <w:tcPr>
            <w:tcW w:w="1540" w:type="dxa"/>
            <w:vAlign w:val="bottom"/>
            <w:vMerge w:val="continue"/>
          </w:tcPr>
          <w:p>
            <w:pPr>
              <w:spacing w:after="0"/>
              <w:rPr>
                <w:sz w:val="24"/>
                <w:szCs w:val="24"/>
                <w:color w:val="auto"/>
              </w:rPr>
            </w:pPr>
          </w:p>
        </w:tc>
        <w:tc>
          <w:tcPr>
            <w:tcW w:w="3780" w:type="dxa"/>
            <w:vAlign w:val="bottom"/>
            <w:vMerge w:val="restart"/>
          </w:tcPr>
          <w:p>
            <w:pPr>
              <w:jc w:val="center"/>
              <w:ind w:right="452"/>
              <w:spacing w:after="0"/>
              <w:rPr>
                <w:sz w:val="20"/>
                <w:szCs w:val="20"/>
                <w:color w:val="auto"/>
              </w:rPr>
            </w:pPr>
            <w:r>
              <w:rPr>
                <w:rFonts w:ascii="Courier New" w:cs="Courier New" w:eastAsia="Courier New" w:hAnsi="Courier New"/>
                <w:sz w:val="18"/>
                <w:szCs w:val="18"/>
                <w:color w:val="auto"/>
                <w:w w:val="97"/>
              </w:rPr>
              <w:t>(20,858) Other current</w:t>
            </w:r>
          </w:p>
        </w:tc>
        <w:tc>
          <w:tcPr>
            <w:tcW w:w="9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5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receivables</w:t>
            </w:r>
          </w:p>
        </w:tc>
        <w:tc>
          <w:tcPr>
            <w:tcW w:w="3780" w:type="dxa"/>
            <w:vAlign w:val="bottom"/>
            <w:vMerge w:val="continue"/>
          </w:tcPr>
          <w:p>
            <w:pPr>
              <w:spacing w:after="0"/>
              <w:rPr>
                <w:sz w:val="10"/>
                <w:szCs w:val="10"/>
                <w:color w:val="auto"/>
              </w:rPr>
            </w:pPr>
          </w:p>
        </w:tc>
        <w:tc>
          <w:tcPr>
            <w:tcW w:w="96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w w:val="95"/>
              </w:rPr>
              <w:t>44,336</w:t>
            </w:r>
          </w:p>
        </w:tc>
        <w:tc>
          <w:tcPr>
            <w:tcW w:w="0" w:type="dxa"/>
            <w:vAlign w:val="bottom"/>
          </w:tcPr>
          <w:p>
            <w:pPr>
              <w:spacing w:after="0"/>
              <w:rPr>
                <w:sz w:val="1"/>
                <w:szCs w:val="1"/>
                <w:color w:val="auto"/>
              </w:rPr>
            </w:pPr>
          </w:p>
        </w:tc>
      </w:tr>
      <w:tr>
        <w:trPr>
          <w:trHeight w:val="203"/>
        </w:trPr>
        <w:tc>
          <w:tcPr>
            <w:tcW w:w="1540" w:type="dxa"/>
            <w:vAlign w:val="bottom"/>
            <w:vMerge w:val="continue"/>
          </w:tcPr>
          <w:p>
            <w:pPr>
              <w:jc w:val="right"/>
              <w:spacing w:after="0" w:line="85" w:lineRule="exact"/>
              <w:rPr>
                <w:sz w:val="20"/>
                <w:szCs w:val="20"/>
                <w:color w:val="auto"/>
              </w:rPr>
            </w:pPr>
            <w:r>
              <w:rPr>
                <w:rFonts w:ascii="Courier New" w:cs="Courier New" w:eastAsia="Courier New" w:hAnsi="Courier New"/>
                <w:sz w:val="9"/>
                <w:szCs w:val="9"/>
                <w:color w:val="auto"/>
              </w:rPr>
              <w:t>...................................</w:t>
            </w:r>
          </w:p>
        </w:tc>
        <w:tc>
          <w:tcPr>
            <w:tcW w:w="3780" w:type="dxa"/>
            <w:vAlign w:val="bottom"/>
            <w:vMerge w:val="restart"/>
          </w:tcPr>
          <w:p>
            <w:pPr>
              <w:jc w:val="center"/>
              <w:ind w:right="432"/>
              <w:spacing w:after="0"/>
              <w:rPr>
                <w:sz w:val="20"/>
                <w:szCs w:val="20"/>
                <w:color w:val="auto"/>
              </w:rPr>
            </w:pPr>
            <w:r>
              <w:rPr>
                <w:rFonts w:ascii="Courier New" w:cs="Courier New" w:eastAsia="Courier New" w:hAnsi="Courier New"/>
                <w:sz w:val="18"/>
                <w:szCs w:val="18"/>
                <w:color w:val="auto"/>
                <w:w w:val="98"/>
              </w:rPr>
              <w:t>(48,695) Prepaid</w:t>
            </w: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vMerge w:val="restart"/>
          </w:tcPr>
          <w:p>
            <w:pPr>
              <w:jc w:val="right"/>
              <w:ind w:right="514"/>
              <w:spacing w:after="0"/>
              <w:rPr>
                <w:sz w:val="20"/>
                <w:szCs w:val="20"/>
                <w:color w:val="auto"/>
              </w:rPr>
            </w:pPr>
            <w:r>
              <w:rPr>
                <w:rFonts w:ascii="Courier New" w:cs="Courier New" w:eastAsia="Courier New" w:hAnsi="Courier New"/>
                <w:sz w:val="18"/>
                <w:szCs w:val="18"/>
                <w:color w:val="auto"/>
              </w:rPr>
              <w:t>expenses</w:t>
            </w:r>
          </w:p>
        </w:tc>
        <w:tc>
          <w:tcPr>
            <w:tcW w:w="3780" w:type="dxa"/>
            <w:vAlign w:val="bottom"/>
            <w:vMerge w:val="continue"/>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(420)</w:t>
            </w:r>
          </w:p>
        </w:tc>
        <w:tc>
          <w:tcPr>
            <w:tcW w:w="0" w:type="dxa"/>
            <w:vAlign w:val="bottom"/>
          </w:tcPr>
          <w:p>
            <w:pPr>
              <w:spacing w:after="0"/>
              <w:rPr>
                <w:sz w:val="1"/>
                <w:szCs w:val="1"/>
                <w:color w:val="auto"/>
              </w:rPr>
            </w:pPr>
          </w:p>
        </w:tc>
      </w:tr>
      <w:tr>
        <w:trPr>
          <w:trHeight w:val="203"/>
        </w:trPr>
        <w:tc>
          <w:tcPr>
            <w:tcW w:w="1540" w:type="dxa"/>
            <w:vAlign w:val="bottom"/>
            <w:vMerge w:val="continue"/>
          </w:tcPr>
          <w:p>
            <w:pPr>
              <w:spacing w:after="0"/>
              <w:rPr>
                <w:sz w:val="17"/>
                <w:szCs w:val="17"/>
                <w:color w:val="auto"/>
              </w:rPr>
            </w:pPr>
          </w:p>
        </w:tc>
        <w:tc>
          <w:tcPr>
            <w:tcW w:w="3780" w:type="dxa"/>
            <w:vAlign w:val="bottom"/>
            <w:vMerge w:val="restart"/>
          </w:tcPr>
          <w:p>
            <w:pPr>
              <w:jc w:val="center"/>
              <w:ind w:right="432"/>
              <w:spacing w:after="0"/>
              <w:rPr>
                <w:sz w:val="20"/>
                <w:szCs w:val="20"/>
                <w:color w:val="auto"/>
              </w:rPr>
            </w:pPr>
            <w:r>
              <w:rPr>
                <w:rFonts w:ascii="Courier New" w:cs="Courier New" w:eastAsia="Courier New" w:hAnsi="Courier New"/>
                <w:sz w:val="18"/>
                <w:szCs w:val="18"/>
                <w:color w:val="auto"/>
                <w:w w:val="97"/>
              </w:rPr>
              <w:t>-- Accounts payable and accrued</w:t>
            </w: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1540" w:type="dxa"/>
            <w:vAlign w:val="bottom"/>
            <w:vMerge w:val="restart"/>
          </w:tcPr>
          <w:p>
            <w:pPr>
              <w:jc w:val="right"/>
              <w:ind w:right="254"/>
              <w:spacing w:after="0"/>
              <w:rPr>
                <w:sz w:val="20"/>
                <w:szCs w:val="20"/>
                <w:color w:val="auto"/>
              </w:rPr>
            </w:pPr>
            <w:r>
              <w:rPr>
                <w:rFonts w:ascii="Courier New" w:cs="Courier New" w:eastAsia="Courier New" w:hAnsi="Courier New"/>
                <w:sz w:val="18"/>
                <w:szCs w:val="18"/>
                <w:color w:val="auto"/>
              </w:rPr>
              <w:t>liabilities</w:t>
            </w:r>
          </w:p>
        </w:tc>
        <w:tc>
          <w:tcPr>
            <w:tcW w:w="378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1540" w:type="dxa"/>
            <w:vAlign w:val="bottom"/>
            <w:vMerge w:val="continue"/>
          </w:tcPr>
          <w:p>
            <w:pPr>
              <w:spacing w:after="0"/>
              <w:rPr>
                <w:sz w:val="17"/>
                <w:szCs w:val="17"/>
                <w:color w:val="auto"/>
              </w:rPr>
            </w:pPr>
          </w:p>
        </w:tc>
        <w:tc>
          <w:tcPr>
            <w:tcW w:w="4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(45,360) 162,646 Income and</w:t>
            </w:r>
          </w:p>
        </w:tc>
        <w:tc>
          <w:tcPr>
            <w:tcW w:w="0" w:type="dxa"/>
            <w:vAlign w:val="bottom"/>
          </w:tcPr>
          <w:p>
            <w:pPr>
              <w:spacing w:after="0"/>
              <w:rPr>
                <w:sz w:val="1"/>
                <w:szCs w:val="1"/>
                <w:color w:val="auto"/>
              </w:rPr>
            </w:pPr>
          </w:p>
        </w:tc>
      </w:tr>
      <w:tr>
        <w:trPr>
          <w:trHeight w:val="203"/>
        </w:trPr>
        <w:tc>
          <w:tcPr>
            <w:tcW w:w="532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w w:val="92"/>
              </w:rPr>
              <w:t>other taxes payable..............................</w:t>
            </w: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889</w:t>
            </w:r>
          </w:p>
        </w:tc>
        <w:tc>
          <w:tcPr>
            <w:tcW w:w="0" w:type="dxa"/>
            <w:vAlign w:val="bottom"/>
          </w:tcPr>
          <w:p>
            <w:pPr>
              <w:spacing w:after="0"/>
              <w:rPr>
                <w:sz w:val="1"/>
                <w:szCs w:val="1"/>
                <w:color w:val="auto"/>
              </w:rPr>
            </w:pPr>
          </w:p>
        </w:tc>
      </w:tr>
      <w:tr>
        <w:trPr>
          <w:trHeight w:val="296"/>
        </w:trPr>
        <w:tc>
          <w:tcPr>
            <w:tcW w:w="1540" w:type="dxa"/>
            <w:vAlign w:val="bottom"/>
            <w:vMerge w:val="restart"/>
          </w:tcPr>
          <w:p>
            <w:pPr>
              <w:jc w:val="right"/>
              <w:spacing w:after="0"/>
              <w:rPr>
                <w:sz w:val="20"/>
                <w:szCs w:val="20"/>
                <w:color w:val="auto"/>
              </w:rPr>
            </w:pPr>
            <w:r>
              <w:rPr>
                <w:rFonts w:ascii="Courier New" w:cs="Courier New" w:eastAsia="Courier New" w:hAnsi="Courier New"/>
                <w:sz w:val="4"/>
                <w:szCs w:val="4"/>
                <w:color w:val="auto"/>
                <w:w w:val="91"/>
              </w:rPr>
              <w:t>Other.......................................................</w:t>
            </w:r>
            <w:r>
              <w:rPr>
                <w:rFonts w:ascii="Courier New" w:cs="Courier New" w:eastAsia="Courier New" w:hAnsi="Courier New"/>
                <w:sz w:val="8"/>
                <w:szCs w:val="8"/>
                <w:color w:val="auto"/>
                <w:w w:val="91"/>
                <w:vertAlign w:val="subscript"/>
              </w:rPr>
              <w:t>-------</w:t>
            </w:r>
          </w:p>
        </w:tc>
        <w:tc>
          <w:tcPr>
            <w:tcW w:w="3780" w:type="dxa"/>
            <w:vAlign w:val="bottom"/>
          </w:tcPr>
          <w:p>
            <w:pPr>
              <w:jc w:val="center"/>
              <w:ind w:right="432"/>
              <w:spacing w:after="0"/>
              <w:rPr>
                <w:sz w:val="20"/>
                <w:szCs w:val="20"/>
                <w:color w:val="auto"/>
              </w:rPr>
            </w:pPr>
            <w:r>
              <w:rPr>
                <w:rFonts w:ascii="Courier New" w:cs="Courier New" w:eastAsia="Courier New" w:hAnsi="Courier New"/>
                <w:sz w:val="18"/>
                <w:szCs w:val="18"/>
                <w:color w:val="auto"/>
                <w:w w:val="95"/>
              </w:rPr>
              <w:t>11,217</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1540" w:type="dxa"/>
            <w:vAlign w:val="bottom"/>
            <w:vMerge w:val="continue"/>
          </w:tcPr>
          <w:p>
            <w:pPr>
              <w:spacing w:after="0"/>
              <w:rPr>
                <w:sz w:val="9"/>
                <w:szCs w:val="9"/>
                <w:color w:val="auto"/>
              </w:rPr>
            </w:pPr>
          </w:p>
        </w:tc>
        <w:tc>
          <w:tcPr>
            <w:tcW w:w="4740" w:type="dxa"/>
            <w:vAlign w:val="bottom"/>
            <w:gridSpan w:val="2"/>
            <w:vMerge w:val="restart"/>
          </w:tcPr>
          <w:p>
            <w:pPr>
              <w:jc w:val="right"/>
              <w:ind w:right="172"/>
              <w:spacing w:after="0"/>
              <w:rPr>
                <w:sz w:val="20"/>
                <w:szCs w:val="20"/>
                <w:color w:val="auto"/>
              </w:rPr>
            </w:pPr>
            <w:r>
              <w:rPr>
                <w:rFonts w:ascii="Courier New" w:cs="Courier New" w:eastAsia="Courier New" w:hAnsi="Courier New"/>
                <w:sz w:val="18"/>
                <w:szCs w:val="18"/>
                <w:color w:val="auto"/>
              </w:rPr>
              <w:t>------- 15,556 104,433 ======= =======</w:t>
            </w:r>
          </w:p>
        </w:tc>
        <w:tc>
          <w:tcPr>
            <w:tcW w:w="0" w:type="dxa"/>
            <w:vAlign w:val="bottom"/>
          </w:tcPr>
          <w:p>
            <w:pPr>
              <w:spacing w:after="0"/>
              <w:rPr>
                <w:sz w:val="1"/>
                <w:szCs w:val="1"/>
                <w:color w:val="auto"/>
              </w:rPr>
            </w:pPr>
          </w:p>
        </w:tc>
      </w:tr>
      <w:tr>
        <w:trPr>
          <w:trHeight w:val="296"/>
        </w:trPr>
        <w:tc>
          <w:tcPr>
            <w:tcW w:w="1540" w:type="dxa"/>
            <w:vAlign w:val="bottom"/>
          </w:tcPr>
          <w:p>
            <w:pPr>
              <w:jc w:val="right"/>
              <w:ind w:right="414"/>
              <w:spacing w:after="0"/>
              <w:rPr>
                <w:sz w:val="20"/>
                <w:szCs w:val="20"/>
                <w:color w:val="auto"/>
              </w:rPr>
            </w:pPr>
            <w:r>
              <w:rPr>
                <w:rFonts w:ascii="Courier New" w:cs="Courier New" w:eastAsia="Courier New" w:hAnsi="Courier New"/>
                <w:sz w:val="18"/>
                <w:szCs w:val="18"/>
                <w:color w:val="auto"/>
              </w:rPr>
              <w:t>274 123</w:t>
            </w:r>
          </w:p>
        </w:tc>
        <w:tc>
          <w:tcPr>
            <w:tcW w:w="47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ind w:left="540" w:hanging="532"/>
        <w:spacing w:after="0"/>
        <w:tabs>
          <w:tab w:leader="none" w:pos="540"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SUPPLEMENTAL CASH FLOW INFORMATION (CONTINUED)</w:t>
      </w:r>
    </w:p>
    <w:p>
      <w:pPr>
        <w:spacing w:after="0" w:line="201" w:lineRule="exact"/>
        <w:rPr>
          <w:sz w:val="20"/>
          <w:szCs w:val="20"/>
          <w:color w:val="auto"/>
        </w:rPr>
      </w:pPr>
    </w:p>
    <w:p>
      <w:pPr>
        <w:ind w:right="1779" w:firstLine="527"/>
        <w:spacing w:after="0" w:line="292" w:lineRule="auto"/>
        <w:rPr>
          <w:sz w:val="20"/>
          <w:szCs w:val="20"/>
          <w:color w:val="auto"/>
        </w:rPr>
      </w:pPr>
      <w:r>
        <w:rPr>
          <w:rFonts w:ascii="Courier New" w:cs="Courier New" w:eastAsia="Courier New" w:hAnsi="Courier New"/>
          <w:sz w:val="18"/>
          <w:szCs w:val="18"/>
          <w:color w:val="auto"/>
        </w:rPr>
        <w:t>The non-cash operating, investing and financing activities, which are excluded from the statement of cash flows for the periods ended December 31 were as follows:</w:t>
      </w:r>
    </w:p>
    <w:p>
      <w:pPr>
        <w:spacing w:after="0" w:line="6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2002 2001 ----------- ----------- (12 MONTHS) (11</w:t>
      </w:r>
    </w:p>
    <w:p>
      <w:pPr>
        <w:spacing w:after="0" w:line="29"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8"/>
          <w:szCs w:val="18"/>
          <w:color w:val="auto"/>
        </w:rPr>
        <w:t>MONTHS) $ $ OPERATING ACTIVITIES Transfer of accrued</w:t>
      </w:r>
    </w:p>
    <w:p>
      <w:pPr>
        <w:ind w:left="380"/>
        <w:spacing w:after="0" w:line="238" w:lineRule="auto"/>
        <w:rPr>
          <w:sz w:val="20"/>
          <w:szCs w:val="20"/>
          <w:color w:val="auto"/>
        </w:rPr>
      </w:pPr>
      <w:r>
        <w:rPr>
          <w:rFonts w:ascii="Courier New" w:cs="Courier New" w:eastAsia="Courier New" w:hAnsi="Courier New"/>
          <w:sz w:val="18"/>
          <w:szCs w:val="18"/>
          <w:color w:val="auto"/>
        </w:rPr>
        <w:t>benefit liability..................... -- 10,000</w:t>
      </w:r>
    </w:p>
    <w:p>
      <w:pPr>
        <w:ind w:left="1480"/>
        <w:spacing w:after="0"/>
        <w:rPr>
          <w:sz w:val="20"/>
          <w:szCs w:val="20"/>
          <w:color w:val="auto"/>
        </w:rPr>
      </w:pPr>
      <w:r>
        <w:rPr>
          <w:rFonts w:ascii="Courier New" w:cs="Courier New" w:eastAsia="Courier New" w:hAnsi="Courier New"/>
          <w:sz w:val="18"/>
          <w:szCs w:val="18"/>
          <w:color w:val="auto"/>
        </w:rPr>
        <w:t>Transfer of accrued benefit</w:t>
      </w:r>
    </w:p>
    <w:p>
      <w:pPr>
        <w:ind w:left="220"/>
        <w:spacing w:after="0" w:line="238" w:lineRule="auto"/>
        <w:rPr>
          <w:sz w:val="20"/>
          <w:szCs w:val="20"/>
          <w:color w:val="auto"/>
        </w:rPr>
      </w:pPr>
      <w:r>
        <w:rPr>
          <w:rFonts w:ascii="Courier New" w:cs="Courier New" w:eastAsia="Courier New" w:hAnsi="Courier New"/>
          <w:sz w:val="18"/>
          <w:szCs w:val="18"/>
          <w:color w:val="auto"/>
        </w:rPr>
        <w:t>assets........................ -- (9,000) Excess of</w:t>
      </w:r>
    </w:p>
    <w:p>
      <w:pPr>
        <w:jc w:val="center"/>
        <w:ind w:right="4419"/>
        <w:spacing w:after="0"/>
        <w:rPr>
          <w:sz w:val="20"/>
          <w:szCs w:val="20"/>
          <w:color w:val="auto"/>
        </w:rPr>
      </w:pPr>
      <w:r>
        <w:rPr>
          <w:rFonts w:ascii="Courier New" w:cs="Courier New" w:eastAsia="Courier New" w:hAnsi="Courier New"/>
          <w:sz w:val="18"/>
          <w:szCs w:val="18"/>
          <w:color w:val="auto"/>
        </w:rPr>
        <w:t>accrued benefit liability over accrued benefit</w:t>
      </w:r>
    </w:p>
    <w:p>
      <w:pPr>
        <w:spacing w:after="0" w:line="238" w:lineRule="auto"/>
        <w:rPr>
          <w:sz w:val="20"/>
          <w:szCs w:val="20"/>
          <w:color w:val="auto"/>
        </w:rPr>
      </w:pPr>
      <w:r>
        <w:rPr>
          <w:rFonts w:ascii="Courier New" w:cs="Courier New" w:eastAsia="Courier New" w:hAnsi="Courier New"/>
          <w:sz w:val="18"/>
          <w:szCs w:val="18"/>
          <w:color w:val="auto"/>
        </w:rPr>
        <w:t>assets.................................................</w:t>
      </w:r>
    </w:p>
    <w:p>
      <w:pPr>
        <w:ind w:left="700" w:hanging="323"/>
        <w:spacing w:after="0"/>
        <w:tabs>
          <w:tab w:leader="none" w:pos="700" w:val="left"/>
        </w:tabs>
        <w:numPr>
          <w:ilvl w:val="0"/>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(1,000) ------- ------- -- -- ------- -------</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INVESTING ACTIVITIES Purchase of assets under capital</w:t>
      </w:r>
    </w:p>
    <w:tbl>
      <w:tblPr>
        <w:tblLayout w:type="fixed"/>
        <w:tblInd w:w="640" w:type="dxa"/>
        <w:tblCellMar>
          <w:top w:w="0" w:type="dxa"/>
          <w:left w:w="0" w:type="dxa"/>
          <w:bottom w:w="0" w:type="dxa"/>
          <w:right w:w="0" w:type="dxa"/>
        </w:tblCellMar>
      </w:tblPr>
      <w:tr>
        <w:trPr>
          <w:trHeight w:val="203"/>
        </w:trPr>
        <w:tc>
          <w:tcPr>
            <w:tcW w:w="2680" w:type="dxa"/>
            <w:vAlign w:val="bottom"/>
          </w:tcPr>
          <w:p>
            <w:pPr>
              <w:spacing w:after="0"/>
              <w:rPr>
                <w:sz w:val="20"/>
                <w:szCs w:val="20"/>
                <w:color w:val="auto"/>
              </w:rPr>
            </w:pPr>
            <w:r>
              <w:rPr>
                <w:rFonts w:ascii="Courier New" w:cs="Courier New" w:eastAsia="Courier New" w:hAnsi="Courier New"/>
                <w:sz w:val="18"/>
                <w:szCs w:val="18"/>
                <w:color w:val="auto"/>
                <w:w w:val="98"/>
              </w:rPr>
              <w:t>leases...................</w:t>
            </w:r>
          </w:p>
        </w:tc>
        <w:tc>
          <w:tcPr>
            <w:tcW w:w="1860" w:type="dxa"/>
            <w:vAlign w:val="bottom"/>
          </w:tcPr>
          <w:p>
            <w:pPr>
              <w:jc w:val="right"/>
              <w:spacing w:after="0"/>
              <w:rPr>
                <w:sz w:val="20"/>
                <w:szCs w:val="20"/>
                <w:color w:val="auto"/>
              </w:rPr>
            </w:pPr>
            <w:r>
              <w:rPr>
                <w:rFonts w:ascii="Courier New" w:cs="Courier New" w:eastAsia="Courier New" w:hAnsi="Courier New"/>
                <w:sz w:val="18"/>
                <w:szCs w:val="18"/>
                <w:color w:val="auto"/>
              </w:rPr>
              <w:t>(30,170) (46,480)</w:t>
            </w:r>
          </w:p>
        </w:tc>
      </w:tr>
    </w:tbl>
    <w:p>
      <w:pPr>
        <w:jc w:val="center"/>
        <w:ind w:right="4419"/>
        <w:spacing w:after="0" w:line="238" w:lineRule="auto"/>
        <w:rPr>
          <w:sz w:val="20"/>
          <w:szCs w:val="20"/>
          <w:color w:val="auto"/>
        </w:rPr>
      </w:pPr>
      <w:r>
        <w:rPr>
          <w:rFonts w:ascii="Courier New" w:cs="Courier New" w:eastAsia="Courier New" w:hAnsi="Courier New"/>
          <w:sz w:val="18"/>
          <w:szCs w:val="18"/>
          <w:color w:val="auto"/>
        </w:rPr>
        <w:t>Acquisition of capital assets through the issuance of</w:t>
      </w:r>
    </w:p>
    <w:p>
      <w:pPr>
        <w:jc w:val="center"/>
        <w:ind w:right="4419"/>
        <w:spacing w:after="0"/>
        <w:rPr>
          <w:sz w:val="20"/>
          <w:szCs w:val="20"/>
          <w:color w:val="auto"/>
        </w:rPr>
      </w:pPr>
      <w:r>
        <w:rPr>
          <w:rFonts w:ascii="Courier New" w:cs="Courier New" w:eastAsia="Courier New" w:hAnsi="Courier New"/>
          <w:sz w:val="18"/>
          <w:szCs w:val="18"/>
          <w:color w:val="auto"/>
        </w:rPr>
        <w:t>a promissory note due to related party and common</w:t>
      </w:r>
    </w:p>
    <w:tbl>
      <w:tblPr>
        <w:tblLayout w:type="fixed"/>
        <w:tblInd w:w="0" w:type="dxa"/>
        <w:tblCellMar>
          <w:top w:w="0" w:type="dxa"/>
          <w:left w:w="0" w:type="dxa"/>
          <w:bottom w:w="0" w:type="dxa"/>
          <w:right w:w="0" w:type="dxa"/>
        </w:tblCellMar>
      </w:tblPr>
      <w:tr>
        <w:trPr>
          <w:trHeight w:val="171"/>
        </w:trPr>
        <w:tc>
          <w:tcPr>
            <w:tcW w:w="2220" w:type="dxa"/>
            <w:vAlign w:val="bottom"/>
          </w:tcPr>
          <w:p>
            <w:pPr>
              <w:jc w:val="right"/>
              <w:spacing w:after="0"/>
              <w:rPr>
                <w:sz w:val="20"/>
                <w:szCs w:val="20"/>
                <w:color w:val="auto"/>
              </w:rPr>
            </w:pPr>
            <w:r>
              <w:rPr>
                <w:rFonts w:ascii="Courier New" w:cs="Courier New" w:eastAsia="Courier New" w:hAnsi="Courier New"/>
                <w:sz w:val="9"/>
                <w:szCs w:val="9"/>
                <w:color w:val="auto"/>
                <w:w w:val="74"/>
              </w:rPr>
              <w:t>shares.................................................</w:t>
            </w:r>
          </w:p>
        </w:tc>
        <w:tc>
          <w:tcPr>
            <w:tcW w:w="34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7"/>
              </w:rPr>
              <w:t>------- (30,170) (96,480) -------</w:t>
            </w:r>
          </w:p>
        </w:tc>
        <w:tc>
          <w:tcPr>
            <w:tcW w:w="0" w:type="dxa"/>
            <w:vAlign w:val="bottom"/>
          </w:tcPr>
          <w:p>
            <w:pPr>
              <w:spacing w:after="0"/>
              <w:rPr>
                <w:sz w:val="1"/>
                <w:szCs w:val="1"/>
                <w:color w:val="auto"/>
              </w:rPr>
            </w:pPr>
          </w:p>
        </w:tc>
      </w:tr>
      <w:tr>
        <w:trPr>
          <w:trHeight w:val="203"/>
        </w:trPr>
        <w:tc>
          <w:tcPr>
            <w:tcW w:w="2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 (50,000) -------</w:t>
            </w:r>
          </w:p>
        </w:tc>
        <w:tc>
          <w:tcPr>
            <w:tcW w:w="3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w w:val="97"/>
              </w:rPr>
              <w:t>------- FINANCING ACTIVITIES Obligation under capital</w:t>
            </w:r>
          </w:p>
        </w:tc>
        <w:tc>
          <w:tcPr>
            <w:tcW w:w="0" w:type="dxa"/>
            <w:vAlign w:val="bottom"/>
          </w:tcPr>
          <w:p>
            <w:pPr>
              <w:spacing w:after="0"/>
              <w:rPr>
                <w:sz w:val="1"/>
                <w:szCs w:val="1"/>
                <w:color w:val="auto"/>
              </w:rPr>
            </w:pPr>
          </w:p>
        </w:tc>
      </w:tr>
      <w:tr>
        <w:trPr>
          <w:trHeight w:val="235"/>
        </w:trPr>
        <w:tc>
          <w:tcPr>
            <w:tcW w:w="2220" w:type="dxa"/>
            <w:vAlign w:val="bottom"/>
          </w:tcPr>
          <w:p>
            <w:pPr>
              <w:jc w:val="right"/>
              <w:spacing w:after="0"/>
              <w:rPr>
                <w:sz w:val="20"/>
                <w:szCs w:val="20"/>
                <w:color w:val="auto"/>
              </w:rPr>
            </w:pPr>
            <w:r>
              <w:rPr>
                <w:rFonts w:ascii="Courier New" w:cs="Courier New" w:eastAsia="Courier New" w:hAnsi="Courier New"/>
                <w:sz w:val="15"/>
                <w:szCs w:val="15"/>
                <w:color w:val="auto"/>
                <w:w w:val="74"/>
              </w:rPr>
              <w:t>leases...........................</w:t>
            </w:r>
          </w:p>
        </w:tc>
        <w:tc>
          <w:tcPr>
            <w:tcW w:w="34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30,170 46,480</w:t>
            </w:r>
          </w:p>
        </w:tc>
        <w:tc>
          <w:tcPr>
            <w:tcW w:w="0" w:type="dxa"/>
            <w:vAlign w:val="bottom"/>
          </w:tcPr>
          <w:p>
            <w:pPr>
              <w:spacing w:after="0"/>
              <w:rPr>
                <w:sz w:val="1"/>
                <w:szCs w:val="1"/>
                <w:color w:val="auto"/>
              </w:rPr>
            </w:pPr>
          </w:p>
        </w:tc>
      </w:tr>
    </w:tbl>
    <w:p>
      <w:pPr>
        <w:jc w:val="center"/>
        <w:ind w:right="4419"/>
        <w:spacing w:after="0" w:line="238" w:lineRule="auto"/>
        <w:rPr>
          <w:sz w:val="20"/>
          <w:szCs w:val="20"/>
          <w:color w:val="auto"/>
        </w:rPr>
      </w:pPr>
      <w:r>
        <w:rPr>
          <w:rFonts w:ascii="Courier New" w:cs="Courier New" w:eastAsia="Courier New" w:hAnsi="Courier New"/>
          <w:sz w:val="18"/>
          <w:szCs w:val="18"/>
          <w:color w:val="auto"/>
        </w:rPr>
        <w:t>Issuance of common shares in acquisition of capital</w:t>
      </w:r>
    </w:p>
    <w:p>
      <w:pPr>
        <w:spacing w:after="0"/>
        <w:rPr>
          <w:sz w:val="20"/>
          <w:szCs w:val="20"/>
          <w:color w:val="auto"/>
        </w:rPr>
      </w:pPr>
      <w:r>
        <w:rPr>
          <w:rFonts w:ascii="Courier New" w:cs="Courier New" w:eastAsia="Courier New" w:hAnsi="Courier New"/>
          <w:sz w:val="18"/>
          <w:szCs w:val="18"/>
          <w:color w:val="auto"/>
        </w:rPr>
        <w:t>assets.................................................</w:t>
      </w:r>
    </w:p>
    <w:p>
      <w:pPr>
        <w:ind w:left="1280" w:right="4619" w:hanging="1062"/>
        <w:spacing w:after="0" w:line="238" w:lineRule="auto"/>
        <w:tabs>
          <w:tab w:leader="none" w:pos="543" w:val="left"/>
        </w:tabs>
        <w:numPr>
          <w:ilvl w:val="0"/>
          <w:numId w:val="1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5,000 Issuance of promissory note due to related party in acquisition of capital</w:t>
      </w:r>
    </w:p>
    <w:p>
      <w:pPr>
        <w:ind w:left="120"/>
        <w:spacing w:after="0"/>
        <w:rPr>
          <w:sz w:val="20"/>
          <w:szCs w:val="20"/>
          <w:color w:val="auto"/>
        </w:rPr>
      </w:pPr>
      <w:r>
        <w:rPr>
          <w:rFonts w:ascii="Courier New" w:cs="Courier New" w:eastAsia="Courier New" w:hAnsi="Courier New"/>
          <w:sz w:val="18"/>
          <w:szCs w:val="18"/>
          <w:color w:val="auto"/>
        </w:rPr>
        <w:t>assets.......................... -- 45,000 Promissory</w:t>
      </w:r>
    </w:p>
    <w:p>
      <w:pPr>
        <w:jc w:val="center"/>
        <w:ind w:right="4419"/>
        <w:spacing w:after="0"/>
        <w:rPr>
          <w:sz w:val="20"/>
          <w:szCs w:val="20"/>
          <w:color w:val="auto"/>
        </w:rPr>
      </w:pPr>
      <w:r>
        <w:rPr>
          <w:rFonts w:ascii="Courier New" w:cs="Courier New" w:eastAsia="Courier New" w:hAnsi="Courier New"/>
          <w:sz w:val="16"/>
          <w:szCs w:val="16"/>
          <w:color w:val="auto"/>
        </w:rPr>
        <w:t>note due to related party repaid by issuance of common</w:t>
      </w:r>
    </w:p>
    <w:p>
      <w:pPr>
        <w:spacing w:after="0" w:line="20" w:lineRule="exact"/>
        <w:rPr>
          <w:sz w:val="20"/>
          <w:szCs w:val="20"/>
          <w:color w:val="auto"/>
        </w:rPr>
      </w:pPr>
    </w:p>
    <w:p>
      <w:pPr>
        <w:ind w:left="380"/>
        <w:spacing w:after="0"/>
        <w:rPr>
          <w:sz w:val="20"/>
          <w:szCs w:val="20"/>
          <w:color w:val="auto"/>
        </w:rPr>
      </w:pPr>
      <w:r>
        <w:rPr>
          <w:rFonts w:ascii="Courier New" w:cs="Courier New" w:eastAsia="Courier New" w:hAnsi="Courier New"/>
          <w:sz w:val="18"/>
          <w:szCs w:val="18"/>
          <w:color w:val="auto"/>
        </w:rPr>
        <w:t>shares..........................................</w:t>
      </w:r>
    </w:p>
    <w:p>
      <w:pPr>
        <w:jc w:val="center"/>
        <w:ind w:right="4419"/>
        <w:spacing w:after="0" w:line="238" w:lineRule="auto"/>
        <w:rPr>
          <w:sz w:val="20"/>
          <w:szCs w:val="20"/>
          <w:color w:val="auto"/>
        </w:rPr>
      </w:pPr>
      <w:r>
        <w:rPr>
          <w:rFonts w:ascii="Courier New" w:cs="Courier New" w:eastAsia="Courier New" w:hAnsi="Courier New"/>
          <w:sz w:val="18"/>
          <w:szCs w:val="18"/>
          <w:color w:val="auto"/>
        </w:rPr>
        <w:t>(6,133) (38,867) Issuance of common shares to repay</w:t>
      </w:r>
    </w:p>
    <w:p>
      <w:pPr>
        <w:jc w:val="center"/>
        <w:ind w:right="4419"/>
        <w:spacing w:after="0"/>
        <w:rPr>
          <w:sz w:val="20"/>
          <w:szCs w:val="20"/>
          <w:color w:val="auto"/>
        </w:rPr>
      </w:pPr>
      <w:r>
        <w:rPr>
          <w:rFonts w:ascii="Courier New" w:cs="Courier New" w:eastAsia="Courier New" w:hAnsi="Courier New"/>
          <w:sz w:val="18"/>
          <w:szCs w:val="18"/>
          <w:color w:val="auto"/>
        </w:rPr>
        <w:t>promissory note due to related</w:t>
      </w:r>
    </w:p>
    <w:tbl>
      <w:tblPr>
        <w:tblLayout w:type="fixed"/>
        <w:tblInd w:w="120" w:type="dxa"/>
        <w:tblCellMar>
          <w:top w:w="0" w:type="dxa"/>
          <w:left w:w="0" w:type="dxa"/>
          <w:bottom w:w="0" w:type="dxa"/>
          <w:right w:w="0" w:type="dxa"/>
        </w:tblCellMar>
      </w:tblPr>
      <w:tr>
        <w:trPr>
          <w:trHeight w:val="203"/>
        </w:trPr>
        <w:tc>
          <w:tcPr>
            <w:tcW w:w="50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party..........................................</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6,133</w:t>
            </w:r>
          </w:p>
        </w:tc>
      </w:tr>
    </w:tbl>
    <w:p>
      <w:pPr>
        <w:jc w:val="center"/>
        <w:ind w:right="4419"/>
        <w:spacing w:after="0" w:line="238" w:lineRule="auto"/>
        <w:rPr>
          <w:sz w:val="20"/>
          <w:szCs w:val="20"/>
          <w:color w:val="auto"/>
        </w:rPr>
      </w:pPr>
      <w:r>
        <w:rPr>
          <w:rFonts w:ascii="Courier New" w:cs="Courier New" w:eastAsia="Courier New" w:hAnsi="Courier New"/>
          <w:sz w:val="18"/>
          <w:szCs w:val="18"/>
          <w:color w:val="auto"/>
        </w:rPr>
        <w:t>38,867 Separation of option from convertible</w:t>
      </w:r>
    </w:p>
    <w:p>
      <w:pPr>
        <w:jc w:val="center"/>
        <w:ind w:right="4419"/>
        <w:spacing w:after="0"/>
        <w:rPr>
          <w:sz w:val="20"/>
          <w:szCs w:val="20"/>
          <w:color w:val="auto"/>
        </w:rPr>
      </w:pPr>
      <w:r>
        <w:rPr>
          <w:rFonts w:ascii="Courier New" w:cs="Courier New" w:eastAsia="Courier New" w:hAnsi="Courier New"/>
          <w:sz w:val="18"/>
          <w:szCs w:val="18"/>
          <w:color w:val="auto"/>
        </w:rPr>
        <w:t>debentures due to related</w:t>
      </w:r>
    </w:p>
    <w:p>
      <w:pPr>
        <w:ind w:left="420"/>
        <w:spacing w:after="0" w:line="238" w:lineRule="auto"/>
        <w:rPr>
          <w:sz w:val="20"/>
          <w:szCs w:val="20"/>
          <w:color w:val="auto"/>
        </w:rPr>
      </w:pPr>
      <w:r>
        <w:rPr>
          <w:rFonts w:ascii="Courier New" w:cs="Courier New" w:eastAsia="Courier New" w:hAnsi="Courier New"/>
          <w:sz w:val="18"/>
          <w:szCs w:val="18"/>
          <w:color w:val="auto"/>
        </w:rPr>
        <w:t>party..........................................</w:t>
      </w:r>
    </w:p>
    <w:p>
      <w:pPr>
        <w:ind w:left="60"/>
        <w:spacing w:after="0"/>
        <w:rPr>
          <w:sz w:val="20"/>
          <w:szCs w:val="20"/>
          <w:color w:val="auto"/>
        </w:rPr>
      </w:pPr>
      <w:r>
        <w:rPr>
          <w:rFonts w:ascii="Courier New" w:cs="Courier New" w:eastAsia="Courier New" w:hAnsi="Courier New"/>
          <w:sz w:val="18"/>
          <w:szCs w:val="18"/>
          <w:color w:val="auto"/>
        </w:rPr>
        <w:t>(19,301) (18,659) Option on convertible debentures due</w:t>
      </w:r>
    </w:p>
    <w:tbl>
      <w:tblPr>
        <w:tblLayout w:type="fixed"/>
        <w:tblInd w:w="220" w:type="dxa"/>
        <w:tblCellMar>
          <w:top w:w="0" w:type="dxa"/>
          <w:left w:w="0" w:type="dxa"/>
          <w:bottom w:w="0" w:type="dxa"/>
          <w:right w:w="0" w:type="dxa"/>
        </w:tblCellMar>
      </w:tblPr>
      <w:tr>
        <w:trPr>
          <w:trHeight w:val="203"/>
        </w:trPr>
        <w:tc>
          <w:tcPr>
            <w:tcW w:w="22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to related party.....</w:t>
            </w:r>
          </w:p>
        </w:tc>
        <w:tc>
          <w:tcPr>
            <w:tcW w:w="3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19,301 18,659 ------- -------</w:t>
            </w:r>
          </w:p>
        </w:tc>
      </w:tr>
    </w:tbl>
    <w:p>
      <w:pPr>
        <w:ind w:left="1380"/>
        <w:spacing w:after="0"/>
        <w:rPr>
          <w:sz w:val="20"/>
          <w:szCs w:val="20"/>
          <w:color w:val="auto"/>
        </w:rPr>
      </w:pPr>
      <w:r>
        <w:rPr>
          <w:rFonts w:ascii="Courier New" w:cs="Courier New" w:eastAsia="Courier New" w:hAnsi="Courier New"/>
          <w:sz w:val="18"/>
          <w:szCs w:val="18"/>
          <w:color w:val="auto"/>
        </w:rPr>
        <w:t>30,170 96,480 ======= =======</w:t>
      </w:r>
    </w:p>
    <w:p>
      <w:pPr>
        <w:spacing w:after="0" w:line="37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F-50</w:t>
      </w:r>
    </w:p>
    <w:p>
      <w:pPr>
        <w:sectPr>
          <w:pgSz w:w="11900" w:h="16838" w:orient="portrait"/>
          <w:cols w:equalWidth="0" w:num="1">
            <w:col w:w="10219"/>
          </w:cols>
          <w:pgMar w:left="240" w:top="488" w:right="1440" w:bottom="1440" w:gutter="0" w:footer="0" w:header="0"/>
        </w:sectPr>
      </w:pPr>
    </w:p>
    <w:bookmarkStart w:id="137" w:name="page138"/>
    <w:bookmarkEnd w:id="137"/>
    <w:p>
      <w:pPr>
        <w:spacing w:after="0" w:line="5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CERTEN INC.</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NOTES TO THE FINANCIAL STATEMENTS -- (CONTINUED)</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Interest paid and income tax paid for the periods ended December 31:</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160" w:type="dxa"/>
            <w:vAlign w:val="bottom"/>
          </w:tcPr>
          <w:p>
            <w:pPr>
              <w:jc w:val="right"/>
              <w:ind w:right="38"/>
              <w:spacing w:after="0"/>
              <w:rPr>
                <w:sz w:val="20"/>
                <w:szCs w:val="20"/>
                <w:color w:val="auto"/>
              </w:rPr>
            </w:pPr>
            <w:r>
              <w:rPr>
                <w:rFonts w:ascii="Courier New" w:cs="Courier New" w:eastAsia="Courier New" w:hAnsi="Courier New"/>
                <w:sz w:val="18"/>
                <w:szCs w:val="18"/>
                <w:color w:val="auto"/>
              </w:rPr>
              <w:t>2002 2001</w:t>
            </w:r>
          </w:p>
        </w:tc>
        <w:tc>
          <w:tcPr>
            <w:tcW w:w="4120" w:type="dxa"/>
            <w:vAlign w:val="bottom"/>
          </w:tcPr>
          <w:p>
            <w:pPr>
              <w:spacing w:after="0"/>
              <w:rPr>
                <w:sz w:val="20"/>
                <w:szCs w:val="20"/>
                <w:color w:val="auto"/>
              </w:rPr>
            </w:pPr>
            <w:r>
              <w:rPr>
                <w:rFonts w:ascii="Courier New" w:cs="Courier New" w:eastAsia="Courier New" w:hAnsi="Courier New"/>
                <w:sz w:val="18"/>
                <w:szCs w:val="18"/>
                <w:color w:val="auto"/>
                <w:w w:val="97"/>
              </w:rPr>
              <w:t>----------- ----------- (12 MONTHS) (11</w:t>
            </w:r>
          </w:p>
        </w:tc>
        <w:tc>
          <w:tcPr>
            <w:tcW w:w="0" w:type="dxa"/>
            <w:vAlign w:val="bottom"/>
          </w:tcPr>
          <w:p>
            <w:pPr>
              <w:spacing w:after="0"/>
              <w:rPr>
                <w:sz w:val="1"/>
                <w:szCs w:val="1"/>
                <w:color w:val="auto"/>
              </w:rPr>
            </w:pPr>
          </w:p>
        </w:tc>
      </w:tr>
      <w:tr>
        <w:trPr>
          <w:trHeight w:val="296"/>
        </w:trPr>
        <w:tc>
          <w:tcPr>
            <w:tcW w:w="1160" w:type="dxa"/>
            <w:vAlign w:val="bottom"/>
            <w:vMerge w:val="restart"/>
          </w:tcPr>
          <w:p>
            <w:pPr>
              <w:jc w:val="center"/>
              <w:spacing w:after="0"/>
              <w:rPr>
                <w:sz w:val="20"/>
                <w:szCs w:val="20"/>
                <w:color w:val="auto"/>
              </w:rPr>
            </w:pPr>
            <w:r>
              <w:rPr>
                <w:rFonts w:ascii="Courier New" w:cs="Courier New" w:eastAsia="Courier New" w:hAnsi="Courier New"/>
                <w:sz w:val="2"/>
                <w:szCs w:val="2"/>
                <w:color w:val="auto"/>
                <w:w w:val="89"/>
              </w:rPr>
              <w:t>paid...............................................</w:t>
            </w:r>
            <w:r>
              <w:rPr>
                <w:rFonts w:ascii="Courier New" w:cs="Courier New" w:eastAsia="Courier New" w:hAnsi="Courier New"/>
                <w:sz w:val="4"/>
                <w:szCs w:val="4"/>
                <w:color w:val="auto"/>
                <w:w w:val="89"/>
                <w:vertAlign w:val="subscript"/>
              </w:rPr>
              <w:t>...........................................</w:t>
            </w:r>
          </w:p>
        </w:tc>
        <w:tc>
          <w:tcPr>
            <w:tcW w:w="4120" w:type="dxa"/>
            <w:vAlign w:val="bottom"/>
          </w:tcPr>
          <w:p>
            <w:pPr>
              <w:jc w:val="center"/>
              <w:ind w:right="972"/>
              <w:spacing w:after="0"/>
              <w:rPr>
                <w:sz w:val="20"/>
                <w:szCs w:val="20"/>
                <w:color w:val="auto"/>
              </w:rPr>
            </w:pPr>
            <w:r>
              <w:rPr>
                <w:rFonts w:ascii="Courier New" w:cs="Courier New" w:eastAsia="Courier New" w:hAnsi="Courier New"/>
                <w:sz w:val="18"/>
                <w:szCs w:val="18"/>
                <w:color w:val="auto"/>
                <w:w w:val="97"/>
              </w:rPr>
              <w:t>MONTHS) $ $ Interest</w:t>
            </w:r>
          </w:p>
        </w:tc>
        <w:tc>
          <w:tcPr>
            <w:tcW w:w="0" w:type="dxa"/>
            <w:vAlign w:val="bottom"/>
          </w:tcPr>
          <w:p>
            <w:pPr>
              <w:spacing w:after="0"/>
              <w:rPr>
                <w:sz w:val="1"/>
                <w:szCs w:val="1"/>
                <w:color w:val="auto"/>
              </w:rPr>
            </w:pPr>
          </w:p>
        </w:tc>
      </w:tr>
      <w:tr>
        <w:trPr>
          <w:trHeight w:val="287"/>
        </w:trPr>
        <w:tc>
          <w:tcPr>
            <w:tcW w:w="1160" w:type="dxa"/>
            <w:vAlign w:val="bottom"/>
            <w:vMerge w:val="continue"/>
          </w:tcPr>
          <w:p>
            <w:pPr>
              <w:spacing w:after="0"/>
              <w:rPr>
                <w:sz w:val="24"/>
                <w:szCs w:val="24"/>
                <w:color w:val="auto"/>
              </w:rPr>
            </w:pPr>
          </w:p>
        </w:tc>
        <w:tc>
          <w:tcPr>
            <w:tcW w:w="4120" w:type="dxa"/>
            <w:vAlign w:val="bottom"/>
            <w:vMerge w:val="restart"/>
          </w:tcPr>
          <w:p>
            <w:pPr>
              <w:jc w:val="center"/>
              <w:ind w:right="972"/>
              <w:spacing w:after="0"/>
              <w:rPr>
                <w:sz w:val="20"/>
                <w:szCs w:val="20"/>
                <w:color w:val="auto"/>
              </w:rPr>
            </w:pPr>
            <w:r>
              <w:rPr>
                <w:rFonts w:ascii="Courier New" w:cs="Courier New" w:eastAsia="Courier New" w:hAnsi="Courier New"/>
                <w:sz w:val="18"/>
                <w:szCs w:val="18"/>
                <w:color w:val="auto"/>
                <w:w w:val="97"/>
              </w:rPr>
              <w:t>2,658 -- Income taxes</w:t>
            </w:r>
          </w:p>
        </w:tc>
        <w:tc>
          <w:tcPr>
            <w:tcW w:w="0" w:type="dxa"/>
            <w:vAlign w:val="bottom"/>
          </w:tcPr>
          <w:p>
            <w:pPr>
              <w:spacing w:after="0"/>
              <w:rPr>
                <w:sz w:val="1"/>
                <w:szCs w:val="1"/>
                <w:color w:val="auto"/>
              </w:rPr>
            </w:pPr>
          </w:p>
        </w:tc>
      </w:tr>
      <w:tr>
        <w:trPr>
          <w:trHeight w:val="118"/>
        </w:trPr>
        <w:tc>
          <w:tcPr>
            <w:tcW w:w="1160" w:type="dxa"/>
            <w:vAlign w:val="bottom"/>
            <w:vMerge w:val="restart"/>
          </w:tcPr>
          <w:p>
            <w:pPr>
              <w:ind w:left="220"/>
              <w:spacing w:after="0"/>
              <w:rPr>
                <w:sz w:val="20"/>
                <w:szCs w:val="20"/>
                <w:color w:val="auto"/>
              </w:rPr>
            </w:pPr>
            <w:r>
              <w:rPr>
                <w:rFonts w:ascii="Courier New" w:cs="Courier New" w:eastAsia="Courier New" w:hAnsi="Courier New"/>
                <w:sz w:val="18"/>
                <w:szCs w:val="18"/>
                <w:color w:val="auto"/>
              </w:rPr>
              <w:t>paid</w:t>
            </w:r>
          </w:p>
        </w:tc>
        <w:tc>
          <w:tcPr>
            <w:tcW w:w="4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1160" w:type="dxa"/>
            <w:vAlign w:val="bottom"/>
            <w:vMerge w:val="continue"/>
          </w:tcPr>
          <w:p>
            <w:pPr>
              <w:spacing w:after="0"/>
              <w:rPr>
                <w:sz w:val="17"/>
                <w:szCs w:val="17"/>
                <w:color w:val="auto"/>
              </w:rPr>
            </w:pPr>
          </w:p>
        </w:tc>
        <w:tc>
          <w:tcPr>
            <w:tcW w:w="4120" w:type="dxa"/>
            <w:vAlign w:val="bottom"/>
            <w:vMerge w:val="restart"/>
          </w:tcPr>
          <w:p>
            <w:pPr>
              <w:jc w:val="center"/>
              <w:ind w:right="992"/>
              <w:spacing w:after="0"/>
              <w:rPr>
                <w:sz w:val="20"/>
                <w:szCs w:val="20"/>
                <w:color w:val="auto"/>
              </w:rPr>
            </w:pPr>
            <w:r>
              <w:rPr>
                <w:rFonts w:ascii="Courier New" w:cs="Courier New" w:eastAsia="Courier New" w:hAnsi="Courier New"/>
                <w:sz w:val="18"/>
                <w:szCs w:val="18"/>
                <w:color w:val="auto"/>
                <w:w w:val="97"/>
              </w:rPr>
              <w:t>3,072 -- ===== ====</w:t>
            </w: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4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 RELATED PARTY TRANSACTIONS</w:t>
      </w:r>
    </w:p>
    <w:p>
      <w:pPr>
        <w:spacing w:after="0" w:line="201" w:lineRule="exact"/>
        <w:rPr>
          <w:sz w:val="20"/>
          <w:szCs w:val="20"/>
          <w:color w:val="auto"/>
        </w:rPr>
      </w:pPr>
    </w:p>
    <w:p>
      <w:pPr>
        <w:ind w:right="2319" w:firstLine="527"/>
        <w:spacing w:after="0" w:line="292" w:lineRule="auto"/>
        <w:rPr>
          <w:sz w:val="20"/>
          <w:szCs w:val="20"/>
          <w:color w:val="auto"/>
        </w:rPr>
      </w:pPr>
      <w:r>
        <w:rPr>
          <w:rFonts w:ascii="Courier New" w:cs="Courier New" w:eastAsia="Courier New" w:hAnsi="Courier New"/>
          <w:sz w:val="18"/>
          <w:szCs w:val="18"/>
          <w:color w:val="auto"/>
        </w:rPr>
        <w:t>In the normal course of business, the Company engaged in the following transactions with related parties and such transactions were measured at exchange value:</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4"/>
              </w:rPr>
              <w:t>2002 2001 -------------------------</w:t>
            </w:r>
          </w:p>
        </w:tc>
        <w:tc>
          <w:tcPr>
            <w:tcW w:w="17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72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w w:val="96"/>
              </w:rPr>
              <w:t>(12 MONTHS) (11</w:t>
            </w:r>
          </w:p>
        </w:tc>
        <w:tc>
          <w:tcPr>
            <w:tcW w:w="0" w:type="dxa"/>
            <w:vAlign w:val="bottom"/>
          </w:tcPr>
          <w:p>
            <w:pPr>
              <w:spacing w:after="0"/>
              <w:rPr>
                <w:sz w:val="1"/>
                <w:szCs w:val="1"/>
                <w:color w:val="auto"/>
              </w:rPr>
            </w:pPr>
          </w:p>
        </w:tc>
      </w:tr>
      <w:tr>
        <w:trPr>
          <w:trHeight w:val="203"/>
        </w:trPr>
        <w:tc>
          <w:tcPr>
            <w:tcW w:w="42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MONTHS) BELL CANADA, AMDOCS BELL CANADA,</w:t>
            </w:r>
          </w:p>
        </w:tc>
        <w:tc>
          <w:tcPr>
            <w:tcW w:w="0" w:type="dxa"/>
            <w:vAlign w:val="bottom"/>
          </w:tcPr>
          <w:p>
            <w:pPr>
              <w:spacing w:after="0"/>
              <w:rPr>
                <w:sz w:val="1"/>
                <w:szCs w:val="1"/>
                <w:color w:val="auto"/>
              </w:rPr>
            </w:pPr>
          </w:p>
        </w:tc>
      </w:tr>
      <w:tr>
        <w:trPr>
          <w:trHeight w:val="203"/>
        </w:trPr>
        <w:tc>
          <w:tcPr>
            <w:tcW w:w="426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AMDOCS BCE AND AND BCE AND AND</w:t>
            </w:r>
          </w:p>
        </w:tc>
        <w:tc>
          <w:tcPr>
            <w:tcW w:w="0" w:type="dxa"/>
            <w:vAlign w:val="bottom"/>
          </w:tcPr>
          <w:p>
            <w:pPr>
              <w:spacing w:after="0"/>
              <w:rPr>
                <w:sz w:val="1"/>
                <w:szCs w:val="1"/>
                <w:color w:val="auto"/>
              </w:rPr>
            </w:pPr>
          </w:p>
        </w:tc>
      </w:tr>
      <w:tr>
        <w:trPr>
          <w:trHeight w:val="203"/>
        </w:trPr>
        <w:tc>
          <w:tcPr>
            <w:tcW w:w="426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AFFILIATES AFFILIATES AFFILIATES</w:t>
            </w:r>
          </w:p>
        </w:tc>
        <w:tc>
          <w:tcPr>
            <w:tcW w:w="0" w:type="dxa"/>
            <w:vAlign w:val="bottom"/>
          </w:tcPr>
          <w:p>
            <w:pPr>
              <w:spacing w:after="0"/>
              <w:rPr>
                <w:sz w:val="1"/>
                <w:szCs w:val="1"/>
                <w:color w:val="auto"/>
              </w:rPr>
            </w:pPr>
          </w:p>
        </w:tc>
      </w:tr>
      <w:tr>
        <w:trPr>
          <w:trHeight w:val="203"/>
        </w:trPr>
        <w:tc>
          <w:tcPr>
            <w:tcW w:w="2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AFFILIATES ------------</w:t>
            </w:r>
          </w:p>
        </w:tc>
        <w:tc>
          <w:tcPr>
            <w:tcW w:w="1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 -----</w:t>
            </w:r>
          </w:p>
        </w:tc>
        <w:tc>
          <w:tcPr>
            <w:tcW w:w="0" w:type="dxa"/>
            <w:vAlign w:val="bottom"/>
          </w:tcPr>
          <w:p>
            <w:pPr>
              <w:spacing w:after="0"/>
              <w:rPr>
                <w:sz w:val="1"/>
                <w:szCs w:val="1"/>
                <w:color w:val="auto"/>
              </w:rPr>
            </w:pPr>
          </w:p>
        </w:tc>
      </w:tr>
      <w:tr>
        <w:trPr>
          <w:trHeight w:val="203"/>
        </w:trPr>
        <w:tc>
          <w:tcPr>
            <w:tcW w:w="426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 ---------- $ $ $ $ REVENUE Sale</w:t>
            </w:r>
          </w:p>
        </w:tc>
        <w:tc>
          <w:tcPr>
            <w:tcW w:w="0" w:type="dxa"/>
            <w:vAlign w:val="bottom"/>
          </w:tcPr>
          <w:p>
            <w:pPr>
              <w:spacing w:after="0"/>
              <w:rPr>
                <w:sz w:val="1"/>
                <w:szCs w:val="1"/>
                <w:color w:val="auto"/>
              </w:rPr>
            </w:pPr>
          </w:p>
        </w:tc>
      </w:tr>
      <w:tr>
        <w:trPr>
          <w:trHeight w:val="203"/>
        </w:trPr>
        <w:tc>
          <w:tcPr>
            <w:tcW w:w="426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of goods and services...............</w:t>
            </w:r>
          </w:p>
        </w:tc>
        <w:tc>
          <w:tcPr>
            <w:tcW w:w="0" w:type="dxa"/>
            <w:vAlign w:val="bottom"/>
          </w:tcPr>
          <w:p>
            <w:pPr>
              <w:spacing w:after="0"/>
              <w:rPr>
                <w:sz w:val="1"/>
                <w:szCs w:val="1"/>
                <w:color w:val="auto"/>
              </w:rPr>
            </w:pPr>
          </w:p>
        </w:tc>
      </w:tr>
      <w:tr>
        <w:trPr>
          <w:trHeight w:val="203"/>
        </w:trPr>
        <w:tc>
          <w:tcPr>
            <w:tcW w:w="426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436,380 -- 364,505 -- COST OF SERVICES,</w:t>
            </w:r>
          </w:p>
        </w:tc>
        <w:tc>
          <w:tcPr>
            <w:tcW w:w="0" w:type="dxa"/>
            <w:vAlign w:val="bottom"/>
          </w:tcPr>
          <w:p>
            <w:pPr>
              <w:spacing w:after="0"/>
              <w:rPr>
                <w:sz w:val="1"/>
                <w:szCs w:val="1"/>
                <w:color w:val="auto"/>
              </w:rPr>
            </w:pPr>
          </w:p>
        </w:tc>
      </w:tr>
      <w:tr>
        <w:trPr>
          <w:trHeight w:val="203"/>
        </w:trPr>
        <w:tc>
          <w:tcPr>
            <w:tcW w:w="426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SELLING AND ADMINISTRATIVE Purchase of</w:t>
            </w:r>
          </w:p>
        </w:tc>
        <w:tc>
          <w:tcPr>
            <w:tcW w:w="0" w:type="dxa"/>
            <w:vAlign w:val="bottom"/>
          </w:tcPr>
          <w:p>
            <w:pPr>
              <w:spacing w:after="0"/>
              <w:rPr>
                <w:sz w:val="1"/>
                <w:szCs w:val="1"/>
                <w:color w:val="auto"/>
              </w:rPr>
            </w:pPr>
          </w:p>
        </w:tc>
      </w:tr>
      <w:tr>
        <w:trPr>
          <w:trHeight w:val="203"/>
        </w:trPr>
        <w:tc>
          <w:tcPr>
            <w:tcW w:w="2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0"/>
              </w:rPr>
              <w:t>goods and services...........</w:t>
            </w:r>
          </w:p>
        </w:tc>
        <w:tc>
          <w:tcPr>
            <w:tcW w:w="172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113,104</w:t>
            </w:r>
          </w:p>
        </w:tc>
        <w:tc>
          <w:tcPr>
            <w:tcW w:w="0" w:type="dxa"/>
            <w:vAlign w:val="bottom"/>
          </w:tcPr>
          <w:p>
            <w:pPr>
              <w:spacing w:after="0"/>
              <w:rPr>
                <w:sz w:val="1"/>
                <w:szCs w:val="1"/>
                <w:color w:val="auto"/>
              </w:rPr>
            </w:pPr>
          </w:p>
        </w:tc>
      </w:tr>
      <w:tr>
        <w:trPr>
          <w:trHeight w:val="203"/>
        </w:trPr>
        <w:tc>
          <w:tcPr>
            <w:tcW w:w="2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51,701 106,621</w:t>
            </w:r>
          </w:p>
        </w:tc>
        <w:tc>
          <w:tcPr>
            <w:tcW w:w="172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rPr>
              <w:t>25,887</w:t>
            </w:r>
          </w:p>
        </w:tc>
        <w:tc>
          <w:tcPr>
            <w:tcW w:w="0" w:type="dxa"/>
            <w:vAlign w:val="bottom"/>
          </w:tcPr>
          <w:p>
            <w:pPr>
              <w:spacing w:after="0"/>
              <w:rPr>
                <w:sz w:val="1"/>
                <w:szCs w:val="1"/>
                <w:color w:val="auto"/>
              </w:rPr>
            </w:pPr>
          </w:p>
        </w:tc>
      </w:tr>
      <w:tr>
        <w:trPr>
          <w:trHeight w:val="203"/>
        </w:trPr>
        <w:tc>
          <w:tcPr>
            <w:tcW w:w="254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3"/>
              </w:rPr>
              <w:t>Rent.....................................</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60" w:type="dxa"/>
            <w:vAlign w:val="bottom"/>
            <w:gridSpan w:val="3"/>
          </w:tcPr>
          <w:p>
            <w:pPr>
              <w:jc w:val="center"/>
              <w:ind w:left="1"/>
              <w:spacing w:after="0" w:line="203" w:lineRule="exact"/>
              <w:rPr>
                <w:sz w:val="20"/>
                <w:szCs w:val="20"/>
                <w:color w:val="auto"/>
              </w:rPr>
            </w:pPr>
            <w:r>
              <w:rPr>
                <w:rFonts w:ascii="Courier New" w:cs="Courier New" w:eastAsia="Courier New" w:hAnsi="Courier New"/>
                <w:sz w:val="18"/>
                <w:szCs w:val="18"/>
                <w:color w:val="auto"/>
                <w:w w:val="97"/>
              </w:rPr>
              <w:t>6,766 -- 5,309 -- INTEREST</w:t>
            </w:r>
          </w:p>
        </w:tc>
        <w:tc>
          <w:tcPr>
            <w:tcW w:w="0" w:type="dxa"/>
            <w:vAlign w:val="bottom"/>
          </w:tcPr>
          <w:p>
            <w:pPr>
              <w:spacing w:after="0"/>
              <w:rPr>
                <w:sz w:val="1"/>
                <w:szCs w:val="1"/>
                <w:color w:val="auto"/>
              </w:rPr>
            </w:pPr>
          </w:p>
        </w:tc>
      </w:tr>
      <w:tr>
        <w:trPr>
          <w:trHeight w:val="203"/>
        </w:trPr>
        <w:tc>
          <w:tcPr>
            <w:tcW w:w="25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7"/>
              </w:rPr>
              <w:t>EXPENSE...........................</w:t>
            </w:r>
          </w:p>
        </w:tc>
        <w:tc>
          <w:tcPr>
            <w:tcW w:w="172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260" w:type="dxa"/>
            <w:vAlign w:val="bottom"/>
            <w:gridSpan w:val="3"/>
          </w:tcPr>
          <w:p>
            <w:pPr>
              <w:jc w:val="center"/>
              <w:ind w:left="1"/>
              <w:spacing w:after="0" w:line="203" w:lineRule="exact"/>
              <w:rPr>
                <w:sz w:val="20"/>
                <w:szCs w:val="20"/>
                <w:color w:val="auto"/>
              </w:rPr>
            </w:pPr>
            <w:r>
              <w:rPr>
                <w:rFonts w:ascii="Courier New" w:cs="Courier New" w:eastAsia="Courier New" w:hAnsi="Courier New"/>
                <w:sz w:val="18"/>
                <w:szCs w:val="18"/>
                <w:color w:val="auto"/>
                <w:w w:val="97"/>
              </w:rPr>
              <w:t>3,418 -- 583 ACCRETION ON CONVERTIBLE</w:t>
            </w:r>
          </w:p>
        </w:tc>
        <w:tc>
          <w:tcPr>
            <w:tcW w:w="0" w:type="dxa"/>
            <w:vAlign w:val="bottom"/>
          </w:tcPr>
          <w:p>
            <w:pPr>
              <w:spacing w:after="0"/>
              <w:rPr>
                <w:sz w:val="1"/>
                <w:szCs w:val="1"/>
                <w:color w:val="auto"/>
              </w:rPr>
            </w:pPr>
          </w:p>
        </w:tc>
      </w:tr>
      <w:tr>
        <w:trPr>
          <w:trHeight w:val="203"/>
        </w:trPr>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w w:val="71"/>
              </w:rPr>
              <w:t>DEBENTURES........</w:t>
            </w:r>
          </w:p>
        </w:tc>
        <w:tc>
          <w:tcPr>
            <w:tcW w:w="3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-- 5,457 -- 908 OTHER</w:t>
            </w:r>
          </w:p>
        </w:tc>
        <w:tc>
          <w:tcPr>
            <w:tcW w:w="0" w:type="dxa"/>
            <w:vAlign w:val="bottom"/>
          </w:tcPr>
          <w:p>
            <w:pPr>
              <w:spacing w:after="0"/>
              <w:rPr>
                <w:sz w:val="1"/>
                <w:szCs w:val="1"/>
                <w:color w:val="auto"/>
              </w:rPr>
            </w:pPr>
          </w:p>
        </w:tc>
      </w:tr>
      <w:tr>
        <w:trPr>
          <w:trHeight w:val="203"/>
        </w:trPr>
        <w:tc>
          <w:tcPr>
            <w:tcW w:w="1260" w:type="dxa"/>
            <w:vAlign w:val="bottom"/>
            <w:vMerge w:val="restart"/>
          </w:tcPr>
          <w:p>
            <w:pPr>
              <w:jc w:val="right"/>
              <w:spacing w:after="0"/>
              <w:rPr>
                <w:sz w:val="20"/>
                <w:szCs w:val="20"/>
                <w:color w:val="auto"/>
              </w:rPr>
            </w:pPr>
            <w:r>
              <w:rPr>
                <w:rFonts w:ascii="Courier New" w:cs="Courier New" w:eastAsia="Courier New" w:hAnsi="Courier New"/>
                <w:sz w:val="9"/>
                <w:szCs w:val="9"/>
                <w:color w:val="auto"/>
                <w:w w:val="71"/>
              </w:rPr>
              <w:t>income..........................</w:t>
            </w:r>
          </w:p>
        </w:tc>
        <w:tc>
          <w:tcPr>
            <w:tcW w:w="3000" w:type="dxa"/>
            <w:vAlign w:val="bottom"/>
            <w:gridSpan w:val="2"/>
          </w:tcPr>
          <w:p>
            <w:pPr>
              <w:jc w:val="center"/>
              <w:ind w:right="1112"/>
              <w:spacing w:after="0" w:line="203" w:lineRule="exact"/>
              <w:rPr>
                <w:sz w:val="20"/>
                <w:szCs w:val="20"/>
                <w:color w:val="auto"/>
              </w:rPr>
            </w:pPr>
            <w:r>
              <w:rPr>
                <w:rFonts w:ascii="Courier New" w:cs="Courier New" w:eastAsia="Courier New" w:hAnsi="Courier New"/>
                <w:sz w:val="18"/>
                <w:szCs w:val="18"/>
                <w:color w:val="auto"/>
                <w:w w:val="97"/>
              </w:rPr>
              <w:t>EXPENSE Interest</w:t>
            </w:r>
          </w:p>
        </w:tc>
        <w:tc>
          <w:tcPr>
            <w:tcW w:w="0" w:type="dxa"/>
            <w:vAlign w:val="bottom"/>
          </w:tcPr>
          <w:p>
            <w:pPr>
              <w:spacing w:after="0"/>
              <w:rPr>
                <w:sz w:val="1"/>
                <w:szCs w:val="1"/>
                <w:color w:val="auto"/>
              </w:rPr>
            </w:pPr>
          </w:p>
        </w:tc>
      </w:tr>
      <w:tr>
        <w:trPr>
          <w:trHeight w:val="203"/>
        </w:trPr>
        <w:tc>
          <w:tcPr>
            <w:tcW w:w="1260" w:type="dxa"/>
            <w:vAlign w:val="bottom"/>
            <w:vMerge w:val="continue"/>
          </w:tcPr>
          <w:p>
            <w:pPr>
              <w:spacing w:after="0"/>
              <w:rPr>
                <w:sz w:val="17"/>
                <w:szCs w:val="17"/>
                <w:color w:val="auto"/>
              </w:rPr>
            </w:pPr>
          </w:p>
        </w:tc>
        <w:tc>
          <w:tcPr>
            <w:tcW w:w="1280" w:type="dxa"/>
            <w:vAlign w:val="bottom"/>
          </w:tcPr>
          <w:p>
            <w:pPr>
              <w:spacing w:after="0"/>
              <w:rPr>
                <w:sz w:val="17"/>
                <w:szCs w:val="17"/>
                <w:color w:val="auto"/>
              </w:rPr>
            </w:pPr>
          </w:p>
        </w:tc>
        <w:tc>
          <w:tcPr>
            <w:tcW w:w="1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970 --</w:t>
            </w:r>
          </w:p>
        </w:tc>
        <w:tc>
          <w:tcPr>
            <w:tcW w:w="0" w:type="dxa"/>
            <w:vAlign w:val="bottom"/>
          </w:tcPr>
          <w:p>
            <w:pPr>
              <w:spacing w:after="0"/>
              <w:rPr>
                <w:sz w:val="1"/>
                <w:szCs w:val="1"/>
                <w:color w:val="auto"/>
              </w:rPr>
            </w:pPr>
          </w:p>
        </w:tc>
      </w:tr>
      <w:tr>
        <w:trPr>
          <w:trHeight w:val="203"/>
        </w:trPr>
        <w:tc>
          <w:tcPr>
            <w:tcW w:w="1260" w:type="dxa"/>
            <w:vAlign w:val="bottom"/>
            <w:vMerge w:val="restart"/>
          </w:tcPr>
          <w:p>
            <w:pPr>
              <w:jc w:val="right"/>
              <w:spacing w:after="0"/>
              <w:rPr>
                <w:sz w:val="20"/>
                <w:szCs w:val="20"/>
                <w:color w:val="auto"/>
              </w:rPr>
            </w:pPr>
            <w:r>
              <w:rPr>
                <w:rFonts w:ascii="Courier New" w:cs="Courier New" w:eastAsia="Courier New" w:hAnsi="Courier New"/>
                <w:sz w:val="9"/>
                <w:szCs w:val="9"/>
                <w:color w:val="auto"/>
                <w:w w:val="76"/>
              </w:rPr>
              <w:t>fee...........................</w:t>
            </w:r>
          </w:p>
        </w:tc>
        <w:tc>
          <w:tcPr>
            <w:tcW w:w="3000" w:type="dxa"/>
            <w:vAlign w:val="bottom"/>
            <w:gridSpan w:val="2"/>
          </w:tcPr>
          <w:p>
            <w:pPr>
              <w:jc w:val="center"/>
              <w:ind w:right="1112"/>
              <w:spacing w:after="0" w:line="203" w:lineRule="exact"/>
              <w:rPr>
                <w:sz w:val="20"/>
                <w:szCs w:val="20"/>
                <w:color w:val="auto"/>
              </w:rPr>
            </w:pPr>
            <w:r>
              <w:rPr>
                <w:rFonts w:ascii="Courier New" w:cs="Courier New" w:eastAsia="Courier New" w:hAnsi="Courier New"/>
                <w:sz w:val="18"/>
                <w:szCs w:val="18"/>
                <w:color w:val="auto"/>
                <w:w w:val="98"/>
              </w:rPr>
              <w:t>995 -- Management</w:t>
            </w:r>
          </w:p>
        </w:tc>
        <w:tc>
          <w:tcPr>
            <w:tcW w:w="0" w:type="dxa"/>
            <w:vAlign w:val="bottom"/>
          </w:tcPr>
          <w:p>
            <w:pPr>
              <w:spacing w:after="0"/>
              <w:rPr>
                <w:sz w:val="1"/>
                <w:szCs w:val="1"/>
                <w:color w:val="auto"/>
              </w:rPr>
            </w:pPr>
          </w:p>
        </w:tc>
      </w:tr>
      <w:tr>
        <w:trPr>
          <w:trHeight w:val="203"/>
        </w:trPr>
        <w:tc>
          <w:tcPr>
            <w:tcW w:w="1260" w:type="dxa"/>
            <w:vAlign w:val="bottom"/>
            <w:vMerge w:val="continue"/>
          </w:tcPr>
          <w:p>
            <w:pPr>
              <w:spacing w:after="0"/>
              <w:rPr>
                <w:sz w:val="17"/>
                <w:szCs w:val="17"/>
                <w:color w:val="auto"/>
              </w:rPr>
            </w:pPr>
          </w:p>
        </w:tc>
        <w:tc>
          <w:tcPr>
            <w:tcW w:w="1280" w:type="dxa"/>
            <w:vAlign w:val="bottom"/>
          </w:tcPr>
          <w:p>
            <w:pPr>
              <w:spacing w:after="0"/>
              <w:rPr>
                <w:sz w:val="17"/>
                <w:szCs w:val="17"/>
                <w:color w:val="auto"/>
              </w:rPr>
            </w:pPr>
          </w:p>
        </w:tc>
        <w:tc>
          <w:tcPr>
            <w:tcW w:w="1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3,453 --</w:t>
            </w:r>
          </w:p>
        </w:tc>
        <w:tc>
          <w:tcPr>
            <w:tcW w:w="0" w:type="dxa"/>
            <w:vAlign w:val="bottom"/>
          </w:tcPr>
          <w:p>
            <w:pPr>
              <w:spacing w:after="0"/>
              <w:rPr>
                <w:sz w:val="1"/>
                <w:szCs w:val="1"/>
                <w:color w:val="auto"/>
              </w:rPr>
            </w:pPr>
          </w:p>
        </w:tc>
      </w:tr>
      <w:tr>
        <w:trPr>
          <w:trHeight w:val="203"/>
        </w:trPr>
        <w:tc>
          <w:tcPr>
            <w:tcW w:w="1260" w:type="dxa"/>
            <w:vAlign w:val="bottom"/>
            <w:vMerge w:val="restart"/>
          </w:tcPr>
          <w:p>
            <w:pPr>
              <w:jc w:val="right"/>
              <w:spacing w:after="0"/>
              <w:rPr>
                <w:sz w:val="20"/>
                <w:szCs w:val="20"/>
                <w:color w:val="auto"/>
              </w:rPr>
            </w:pPr>
            <w:r>
              <w:rPr>
                <w:rFonts w:ascii="Courier New" w:cs="Courier New" w:eastAsia="Courier New" w:hAnsi="Courier New"/>
                <w:sz w:val="8"/>
                <w:szCs w:val="8"/>
                <w:color w:val="auto"/>
                <w:w w:val="73"/>
              </w:rPr>
              <w:t>guarantee..........................</w:t>
            </w:r>
          </w:p>
        </w:tc>
        <w:tc>
          <w:tcPr>
            <w:tcW w:w="3000" w:type="dxa"/>
            <w:vAlign w:val="bottom"/>
            <w:gridSpan w:val="2"/>
          </w:tcPr>
          <w:p>
            <w:pPr>
              <w:jc w:val="center"/>
              <w:ind w:right="1092"/>
              <w:spacing w:after="0" w:line="203" w:lineRule="exact"/>
              <w:rPr>
                <w:sz w:val="20"/>
                <w:szCs w:val="20"/>
                <w:color w:val="auto"/>
              </w:rPr>
            </w:pPr>
            <w:r>
              <w:rPr>
                <w:rFonts w:ascii="Courier New" w:cs="Courier New" w:eastAsia="Courier New" w:hAnsi="Courier New"/>
                <w:sz w:val="18"/>
                <w:szCs w:val="18"/>
                <w:color w:val="auto"/>
                <w:w w:val="97"/>
              </w:rPr>
              <w:t>583 -- Lease</w:t>
            </w:r>
          </w:p>
        </w:tc>
        <w:tc>
          <w:tcPr>
            <w:tcW w:w="0" w:type="dxa"/>
            <w:vAlign w:val="bottom"/>
          </w:tcPr>
          <w:p>
            <w:pPr>
              <w:spacing w:after="0"/>
              <w:rPr>
                <w:sz w:val="1"/>
                <w:szCs w:val="1"/>
                <w:color w:val="auto"/>
              </w:rPr>
            </w:pPr>
          </w:p>
        </w:tc>
      </w:tr>
      <w:tr>
        <w:trPr>
          <w:trHeight w:val="203"/>
        </w:trPr>
        <w:tc>
          <w:tcPr>
            <w:tcW w:w="1260" w:type="dxa"/>
            <w:vAlign w:val="bottom"/>
            <w:vMerge w:val="continue"/>
          </w:tcPr>
          <w:p>
            <w:pPr>
              <w:spacing w:after="0"/>
              <w:rPr>
                <w:sz w:val="17"/>
                <w:szCs w:val="17"/>
                <w:color w:val="auto"/>
              </w:rPr>
            </w:pPr>
          </w:p>
        </w:tc>
        <w:tc>
          <w:tcPr>
            <w:tcW w:w="1280" w:type="dxa"/>
            <w:vAlign w:val="bottom"/>
          </w:tcPr>
          <w:p>
            <w:pPr>
              <w:spacing w:after="0"/>
              <w:rPr>
                <w:sz w:val="17"/>
                <w:szCs w:val="17"/>
                <w:color w:val="auto"/>
              </w:rPr>
            </w:pPr>
          </w:p>
        </w:tc>
        <w:tc>
          <w:tcPr>
            <w:tcW w:w="1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384</w:t>
            </w:r>
          </w:p>
        </w:tc>
        <w:tc>
          <w:tcPr>
            <w:tcW w:w="0" w:type="dxa"/>
            <w:vAlign w:val="bottom"/>
          </w:tcPr>
          <w:p>
            <w:pPr>
              <w:spacing w:after="0"/>
              <w:rPr>
                <w:sz w:val="1"/>
                <w:szCs w:val="1"/>
                <w:color w:val="auto"/>
              </w:rPr>
            </w:pPr>
          </w:p>
        </w:tc>
      </w:tr>
      <w:tr>
        <w:trPr>
          <w:trHeight w:val="296"/>
        </w:trPr>
        <w:tc>
          <w:tcPr>
            <w:tcW w:w="1260" w:type="dxa"/>
            <w:vAlign w:val="bottom"/>
          </w:tcPr>
          <w:p>
            <w:pPr>
              <w:spacing w:after="0"/>
              <w:rPr>
                <w:sz w:val="24"/>
                <w:szCs w:val="24"/>
                <w:color w:val="auto"/>
              </w:rPr>
            </w:pPr>
          </w:p>
        </w:tc>
        <w:tc>
          <w:tcPr>
            <w:tcW w:w="3000" w:type="dxa"/>
            <w:vAlign w:val="bottom"/>
            <w:gridSpan w:val="2"/>
          </w:tcPr>
          <w:p>
            <w:pPr>
              <w:jc w:val="center"/>
              <w:ind w:right="1112"/>
              <w:spacing w:after="0"/>
              <w:rPr>
                <w:sz w:val="20"/>
                <w:szCs w:val="20"/>
                <w:color w:val="auto"/>
              </w:rPr>
            </w:pPr>
            <w:r>
              <w:rPr>
                <w:rFonts w:ascii="Courier New" w:cs="Courier New" w:eastAsia="Courier New" w:hAnsi="Courier New"/>
                <w:sz w:val="18"/>
                <w:szCs w:val="18"/>
                <w:color w:val="auto"/>
                <w:w w:val="97"/>
              </w:rPr>
              <w:t>-- -- --</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The balance sheet includes the following balances with related parties at</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December 31:</w:t>
      </w:r>
    </w:p>
    <w:p>
      <w:pPr>
        <w:spacing w:after="0" w:line="152" w:lineRule="exact"/>
        <w:rPr>
          <w:sz w:val="20"/>
          <w:szCs w:val="20"/>
          <w:color w:val="auto"/>
        </w:rPr>
      </w:pPr>
    </w:p>
    <w:tbl>
      <w:tblPr>
        <w:tblLayout w:type="fixed"/>
        <w:tblInd w:w="60" w:type="dxa"/>
        <w:tblCellMar>
          <w:top w:w="0" w:type="dxa"/>
          <w:left w:w="0" w:type="dxa"/>
          <w:bottom w:w="0" w:type="dxa"/>
          <w:right w:w="0" w:type="dxa"/>
        </w:tblCellMar>
      </w:tblPr>
      <w:tr>
        <w:trPr>
          <w:trHeight w:val="219"/>
        </w:trPr>
        <w:tc>
          <w:tcPr>
            <w:tcW w:w="2320" w:type="dxa"/>
            <w:vAlign w:val="bottom"/>
          </w:tcPr>
          <w:p>
            <w:pPr>
              <w:jc w:val="right"/>
              <w:spacing w:after="0"/>
              <w:rPr>
                <w:sz w:val="20"/>
                <w:szCs w:val="20"/>
                <w:color w:val="auto"/>
              </w:rPr>
            </w:pPr>
            <w:r>
              <w:rPr>
                <w:rFonts w:ascii="Courier New" w:cs="Courier New" w:eastAsia="Courier New" w:hAnsi="Courier New"/>
                <w:sz w:val="10"/>
                <w:szCs w:val="10"/>
                <w:color w:val="auto"/>
                <w:w w:val="73"/>
              </w:rPr>
              <w:t>2002</w:t>
            </w:r>
            <w:r>
              <w:rPr>
                <w:rFonts w:ascii="Courier New" w:cs="Courier New" w:eastAsia="Courier New" w:hAnsi="Courier New"/>
                <w:sz w:val="15"/>
                <w:szCs w:val="15"/>
                <w:color w:val="auto"/>
                <w:w w:val="73"/>
                <w:vertAlign w:val="subscript"/>
              </w:rPr>
              <w:t>-------------------</w:t>
            </w:r>
            <w:r>
              <w:rPr>
                <w:rFonts w:ascii="Courier New" w:cs="Courier New" w:eastAsia="Courier New" w:hAnsi="Courier New"/>
                <w:sz w:val="10"/>
                <w:szCs w:val="10"/>
                <w:color w:val="auto"/>
                <w:w w:val="73"/>
              </w:rPr>
              <w:t>2001-------------------------</w:t>
            </w:r>
          </w:p>
        </w:tc>
        <w:tc>
          <w:tcPr>
            <w:tcW w:w="5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(12</w:t>
            </w:r>
          </w:p>
        </w:tc>
        <w:tc>
          <w:tcPr>
            <w:tcW w:w="15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320" w:type="dxa"/>
            <w:vAlign w:val="bottom"/>
            <w:vMerge w:val="restart"/>
          </w:tcPr>
          <w:p>
            <w:pPr>
              <w:jc w:val="right"/>
              <w:ind w:right="21"/>
              <w:spacing w:after="0"/>
              <w:rPr>
                <w:sz w:val="20"/>
                <w:szCs w:val="20"/>
                <w:color w:val="auto"/>
              </w:rPr>
            </w:pPr>
            <w:r>
              <w:rPr>
                <w:rFonts w:ascii="Courier New" w:cs="Courier New" w:eastAsia="Courier New" w:hAnsi="Courier New"/>
                <w:sz w:val="18"/>
                <w:szCs w:val="18"/>
                <w:color w:val="auto"/>
              </w:rPr>
              <w:t>MONTHS) BELL CANADA,</w:t>
            </w:r>
          </w:p>
        </w:tc>
        <w:tc>
          <w:tcPr>
            <w:tcW w:w="520" w:type="dxa"/>
            <w:vAlign w:val="bottom"/>
            <w:vMerge w:val="continue"/>
          </w:tcPr>
          <w:p>
            <w:pPr>
              <w:spacing w:after="0"/>
              <w:rPr>
                <w:sz w:val="17"/>
                <w:szCs w:val="17"/>
                <w:color w:val="auto"/>
              </w:rPr>
            </w:pPr>
          </w:p>
        </w:tc>
        <w:tc>
          <w:tcPr>
            <w:tcW w:w="1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MONTHS) (11</w:t>
            </w:r>
          </w:p>
        </w:tc>
        <w:tc>
          <w:tcPr>
            <w:tcW w:w="0" w:type="dxa"/>
            <w:vAlign w:val="bottom"/>
          </w:tcPr>
          <w:p>
            <w:pPr>
              <w:spacing w:after="0"/>
              <w:rPr>
                <w:sz w:val="1"/>
                <w:szCs w:val="1"/>
                <w:color w:val="auto"/>
              </w:rPr>
            </w:pPr>
          </w:p>
        </w:tc>
      </w:tr>
      <w:tr>
        <w:trPr>
          <w:trHeight w:val="203"/>
        </w:trPr>
        <w:tc>
          <w:tcPr>
            <w:tcW w:w="2320" w:type="dxa"/>
            <w:vAlign w:val="bottom"/>
            <w:vMerge w:val="continue"/>
          </w:tcPr>
          <w:p>
            <w:pPr>
              <w:spacing w:after="0"/>
              <w:rPr>
                <w:sz w:val="17"/>
                <w:szCs w:val="17"/>
                <w:color w:val="auto"/>
              </w:rPr>
            </w:pPr>
          </w:p>
        </w:tc>
        <w:tc>
          <w:tcPr>
            <w:tcW w:w="2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AMDOCS BELL CANADA,</w:t>
            </w:r>
          </w:p>
        </w:tc>
        <w:tc>
          <w:tcPr>
            <w:tcW w:w="0" w:type="dxa"/>
            <w:vAlign w:val="bottom"/>
          </w:tcPr>
          <w:p>
            <w:pPr>
              <w:spacing w:after="0"/>
              <w:rPr>
                <w:sz w:val="1"/>
                <w:szCs w:val="1"/>
                <w:color w:val="auto"/>
              </w:rPr>
            </w:pPr>
          </w:p>
        </w:tc>
      </w:tr>
      <w:tr>
        <w:trPr>
          <w:trHeight w:val="203"/>
        </w:trPr>
        <w:tc>
          <w:tcPr>
            <w:tcW w:w="2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AMDOCS BCE AND AND BCE AND</w:t>
            </w:r>
          </w:p>
        </w:tc>
        <w:tc>
          <w:tcPr>
            <w:tcW w:w="1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AND AFFILIATES</w:t>
            </w:r>
          </w:p>
        </w:tc>
        <w:tc>
          <w:tcPr>
            <w:tcW w:w="0" w:type="dxa"/>
            <w:vAlign w:val="bottom"/>
          </w:tcPr>
          <w:p>
            <w:pPr>
              <w:spacing w:after="0"/>
              <w:rPr>
                <w:sz w:val="1"/>
                <w:szCs w:val="1"/>
                <w:color w:val="auto"/>
              </w:rPr>
            </w:pPr>
          </w:p>
        </w:tc>
      </w:tr>
      <w:tr>
        <w:trPr>
          <w:trHeight w:val="235"/>
        </w:trPr>
        <w:tc>
          <w:tcPr>
            <w:tcW w:w="2320" w:type="dxa"/>
            <w:vAlign w:val="bottom"/>
          </w:tcPr>
          <w:p>
            <w:pPr>
              <w:jc w:val="right"/>
              <w:ind w:right="21"/>
              <w:spacing w:after="0"/>
              <w:rPr>
                <w:sz w:val="20"/>
                <w:szCs w:val="20"/>
                <w:color w:val="auto"/>
              </w:rPr>
            </w:pPr>
            <w:r>
              <w:rPr>
                <w:rFonts w:ascii="Courier New" w:cs="Courier New" w:eastAsia="Courier New" w:hAnsi="Courier New"/>
                <w:sz w:val="18"/>
                <w:szCs w:val="18"/>
                <w:color w:val="auto"/>
                <w:w w:val="96"/>
              </w:rPr>
              <w:t>AFFILIATES AFFILIATES</w:t>
            </w:r>
          </w:p>
        </w:tc>
        <w:tc>
          <w:tcPr>
            <w:tcW w:w="21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6"/>
              </w:rPr>
              <w:t>AFFILIATES ---------</w:t>
            </w:r>
          </w:p>
        </w:tc>
        <w:tc>
          <w:tcPr>
            <w:tcW w:w="0" w:type="dxa"/>
            <w:vAlign w:val="bottom"/>
          </w:tcPr>
          <w:p>
            <w:pPr>
              <w:spacing w:after="0"/>
              <w:rPr>
                <w:sz w:val="1"/>
                <w:szCs w:val="1"/>
                <w:color w:val="auto"/>
              </w:rPr>
            </w:pPr>
          </w:p>
        </w:tc>
      </w:tr>
    </w:tbl>
    <w:p>
      <w:pPr>
        <w:ind w:left="480" w:hanging="422"/>
        <w:spacing w:after="0" w:line="238" w:lineRule="auto"/>
        <w:tabs>
          <w:tab w:leader="none" w:pos="480"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 $</w:t>
      </w:r>
    </w:p>
    <w:p>
      <w:pPr>
        <w:ind w:left="2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372" w:lineRule="exact"/>
        <w:rPr>
          <w:sz w:val="20"/>
          <w:szCs w:val="20"/>
          <w:color w:val="auto"/>
        </w:rPr>
      </w:pPr>
    </w:p>
    <w:tbl>
      <w:tblPr>
        <w:tblLayout w:type="fixed"/>
        <w:tblInd w:w="60" w:type="dxa"/>
        <w:tblCellMar>
          <w:top w:w="0" w:type="dxa"/>
          <w:left w:w="0" w:type="dxa"/>
          <w:bottom w:w="0" w:type="dxa"/>
          <w:right w:w="0" w:type="dxa"/>
        </w:tblCellMar>
      </w:tblPr>
      <w:tr>
        <w:trPr>
          <w:trHeight w:val="235"/>
        </w:trPr>
        <w:tc>
          <w:tcPr>
            <w:tcW w:w="3640" w:type="dxa"/>
            <w:vAlign w:val="bottom"/>
          </w:tcPr>
          <w:p>
            <w:pPr>
              <w:spacing w:after="0"/>
              <w:rPr>
                <w:sz w:val="20"/>
                <w:szCs w:val="20"/>
                <w:color w:val="auto"/>
              </w:rPr>
            </w:pPr>
            <w:r>
              <w:rPr>
                <w:rFonts w:ascii="Courier New" w:cs="Courier New" w:eastAsia="Courier New" w:hAnsi="Courier New"/>
                <w:sz w:val="18"/>
                <w:szCs w:val="18"/>
                <w:color w:val="auto"/>
                <w:w w:val="98"/>
              </w:rPr>
              <w:t>receivable........................</w:t>
            </w: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rPr>
              <w:t>4,830 -</w:t>
            </w:r>
          </w:p>
        </w:tc>
      </w:tr>
    </w:tbl>
    <w:p>
      <w:pPr>
        <w:ind w:left="160"/>
        <w:spacing w:after="0" w:line="238" w:lineRule="auto"/>
        <w:rPr>
          <w:sz w:val="20"/>
          <w:szCs w:val="20"/>
          <w:color w:val="auto"/>
        </w:rPr>
      </w:pPr>
      <w:r>
        <w:rPr>
          <w:rFonts w:ascii="Courier New" w:cs="Courier New" w:eastAsia="Courier New" w:hAnsi="Courier New"/>
          <w:sz w:val="18"/>
          <w:szCs w:val="18"/>
          <w:color w:val="auto"/>
        </w:rPr>
        <w:t>- 20,776 -- Accounts payable and accrued</w:t>
      </w:r>
    </w:p>
    <w:tbl>
      <w:tblPr>
        <w:tblLayout w:type="fixed"/>
        <w:tblInd w:w="60" w:type="dxa"/>
        <w:tblCellMar>
          <w:top w:w="0" w:type="dxa"/>
          <w:left w:w="0" w:type="dxa"/>
          <w:bottom w:w="0" w:type="dxa"/>
          <w:right w:w="0" w:type="dxa"/>
        </w:tblCellMar>
      </w:tblPr>
      <w:tr>
        <w:trPr>
          <w:trHeight w:val="171"/>
        </w:trPr>
        <w:tc>
          <w:tcPr>
            <w:tcW w:w="1480" w:type="dxa"/>
            <w:vAlign w:val="bottom"/>
          </w:tcPr>
          <w:p>
            <w:pPr>
              <w:spacing w:after="0" w:line="171" w:lineRule="exact"/>
              <w:rPr>
                <w:sz w:val="20"/>
                <w:szCs w:val="20"/>
                <w:color w:val="auto"/>
              </w:rPr>
            </w:pPr>
            <w:r>
              <w:rPr>
                <w:rFonts w:ascii="Courier New" w:cs="Courier New" w:eastAsia="Courier New" w:hAnsi="Courier New"/>
                <w:sz w:val="18"/>
                <w:szCs w:val="18"/>
                <w:color w:val="auto"/>
                <w:w w:val="96"/>
              </w:rPr>
              <w:t>liabilities...</w:t>
            </w:r>
          </w:p>
        </w:tc>
        <w:tc>
          <w:tcPr>
            <w:tcW w:w="1520" w:type="dxa"/>
            <w:vAlign w:val="bottom"/>
          </w:tcPr>
          <w:p>
            <w:pPr>
              <w:jc w:val="right"/>
              <w:spacing w:after="0" w:line="171" w:lineRule="exact"/>
              <w:rPr>
                <w:sz w:val="20"/>
                <w:szCs w:val="20"/>
                <w:color w:val="auto"/>
              </w:rPr>
            </w:pPr>
            <w:r>
              <w:rPr>
                <w:rFonts w:ascii="Courier New" w:cs="Courier New" w:eastAsia="Courier New" w:hAnsi="Courier New"/>
                <w:sz w:val="18"/>
                <w:szCs w:val="18"/>
                <w:color w:val="auto"/>
              </w:rPr>
              <w:t>21,507 78,436</w:t>
            </w:r>
          </w:p>
        </w:tc>
        <w:tc>
          <w:tcPr>
            <w:tcW w:w="1420" w:type="dxa"/>
            <w:vAlign w:val="bottom"/>
          </w:tcPr>
          <w:p>
            <w:pPr>
              <w:jc w:val="right"/>
              <w:spacing w:after="0" w:line="171" w:lineRule="exact"/>
              <w:rPr>
                <w:sz w:val="20"/>
                <w:szCs w:val="20"/>
                <w:color w:val="auto"/>
              </w:rPr>
            </w:pPr>
            <w:r>
              <w:rPr>
                <w:rFonts w:ascii="Courier New" w:cs="Courier New" w:eastAsia="Courier New" w:hAnsi="Courier New"/>
                <w:sz w:val="18"/>
                <w:szCs w:val="18"/>
                <w:color w:val="auto"/>
                <w:w w:val="99"/>
              </w:rPr>
              <w:t>92,247 30,658</w:t>
            </w:r>
          </w:p>
        </w:tc>
        <w:tc>
          <w:tcPr>
            <w:tcW w:w="0" w:type="dxa"/>
            <w:vAlign w:val="bottom"/>
          </w:tcPr>
          <w:p>
            <w:pPr>
              <w:spacing w:after="0"/>
              <w:rPr>
                <w:sz w:val="1"/>
                <w:szCs w:val="1"/>
                <w:color w:val="auto"/>
              </w:rPr>
            </w:pPr>
          </w:p>
        </w:tc>
      </w:tr>
      <w:tr>
        <w:trPr>
          <w:trHeight w:val="296"/>
        </w:trPr>
        <w:tc>
          <w:tcPr>
            <w:tcW w:w="1480" w:type="dxa"/>
            <w:vAlign w:val="bottom"/>
            <w:vMerge w:val="restart"/>
          </w:tcPr>
          <w:p>
            <w:pPr>
              <w:ind w:left="200"/>
              <w:spacing w:after="0"/>
              <w:rPr>
                <w:sz w:val="20"/>
                <w:szCs w:val="20"/>
                <w:color w:val="auto"/>
              </w:rPr>
            </w:pPr>
            <w:r>
              <w:rPr>
                <w:rFonts w:ascii="Courier New" w:cs="Courier New" w:eastAsia="Courier New" w:hAnsi="Courier New"/>
                <w:sz w:val="4"/>
                <w:szCs w:val="4"/>
                <w:color w:val="auto"/>
                <w:w w:val="78"/>
              </w:rPr>
              <w:t>note............................</w:t>
            </w:r>
            <w:r>
              <w:rPr>
                <w:rFonts w:ascii="Courier New" w:cs="Courier New" w:eastAsia="Courier New" w:hAnsi="Courier New"/>
                <w:sz w:val="8"/>
                <w:szCs w:val="8"/>
                <w:color w:val="auto"/>
                <w:w w:val="78"/>
                <w:vertAlign w:val="subscript"/>
              </w:rPr>
              <w:t>..........................</w:t>
            </w:r>
          </w:p>
        </w:tc>
        <w:tc>
          <w:tcPr>
            <w:tcW w:w="1520" w:type="dxa"/>
            <w:vAlign w:val="bottom"/>
          </w:tcPr>
          <w:p>
            <w:pPr>
              <w:jc w:val="center"/>
              <w:spacing w:after="0"/>
              <w:rPr>
                <w:sz w:val="20"/>
                <w:szCs w:val="20"/>
                <w:color w:val="auto"/>
              </w:rPr>
            </w:pPr>
            <w:r>
              <w:rPr>
                <w:rFonts w:ascii="Courier New" w:cs="Courier New" w:eastAsia="Courier New" w:hAnsi="Courier New"/>
                <w:sz w:val="18"/>
                <w:szCs w:val="18"/>
                <w:color w:val="auto"/>
                <w:w w:val="98"/>
              </w:rPr>
              <w:t>Promissory</w:t>
            </w:r>
          </w:p>
        </w:tc>
        <w:tc>
          <w:tcPr>
            <w:tcW w:w="142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 --</w:t>
            </w:r>
          </w:p>
        </w:tc>
        <w:tc>
          <w:tcPr>
            <w:tcW w:w="0" w:type="dxa"/>
            <w:vAlign w:val="bottom"/>
          </w:tcPr>
          <w:p>
            <w:pPr>
              <w:spacing w:after="0"/>
              <w:rPr>
                <w:sz w:val="1"/>
                <w:szCs w:val="1"/>
                <w:color w:val="auto"/>
              </w:rPr>
            </w:pPr>
          </w:p>
        </w:tc>
      </w:tr>
      <w:tr>
        <w:trPr>
          <w:trHeight w:val="287"/>
        </w:trPr>
        <w:tc>
          <w:tcPr>
            <w:tcW w:w="1480" w:type="dxa"/>
            <w:vAlign w:val="bottom"/>
            <w:vMerge w:val="continue"/>
          </w:tcPr>
          <w:p>
            <w:pPr>
              <w:spacing w:after="0"/>
              <w:rPr>
                <w:sz w:val="24"/>
                <w:szCs w:val="24"/>
                <w:color w:val="auto"/>
              </w:rPr>
            </w:pPr>
          </w:p>
        </w:tc>
        <w:tc>
          <w:tcPr>
            <w:tcW w:w="1520" w:type="dxa"/>
            <w:vAlign w:val="bottom"/>
            <w:vMerge w:val="restart"/>
          </w:tcPr>
          <w:p>
            <w:pPr>
              <w:jc w:val="center"/>
              <w:spacing w:after="0"/>
              <w:rPr>
                <w:sz w:val="20"/>
                <w:szCs w:val="20"/>
                <w:color w:val="auto"/>
              </w:rPr>
            </w:pPr>
            <w:r>
              <w:rPr>
                <w:rFonts w:ascii="Courier New" w:cs="Courier New" w:eastAsia="Courier New" w:hAnsi="Courier New"/>
                <w:sz w:val="18"/>
                <w:szCs w:val="18"/>
                <w:color w:val="auto"/>
                <w:w w:val="96"/>
              </w:rPr>
              <w:t>6,133 -- Other</w:t>
            </w:r>
          </w:p>
        </w:tc>
        <w:tc>
          <w:tcPr>
            <w:tcW w:w="1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48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liabilities</w:t>
            </w:r>
          </w:p>
        </w:tc>
        <w:tc>
          <w:tcPr>
            <w:tcW w:w="1520" w:type="dxa"/>
            <w:vAlign w:val="bottom"/>
            <w:vMerge w:val="continue"/>
          </w:tcPr>
          <w:p>
            <w:pPr>
              <w:spacing w:after="0"/>
              <w:rPr>
                <w:sz w:val="10"/>
                <w:szCs w:val="10"/>
                <w:color w:val="auto"/>
              </w:rPr>
            </w:pPr>
          </w:p>
        </w:tc>
        <w:tc>
          <w:tcPr>
            <w:tcW w:w="14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229</w:t>
            </w:r>
          </w:p>
        </w:tc>
        <w:tc>
          <w:tcPr>
            <w:tcW w:w="0" w:type="dxa"/>
            <w:vAlign w:val="bottom"/>
          </w:tcPr>
          <w:p>
            <w:pPr>
              <w:spacing w:after="0"/>
              <w:rPr>
                <w:sz w:val="1"/>
                <w:szCs w:val="1"/>
                <w:color w:val="auto"/>
              </w:rPr>
            </w:pPr>
          </w:p>
        </w:tc>
      </w:tr>
      <w:tr>
        <w:trPr>
          <w:trHeight w:val="109"/>
        </w:trPr>
        <w:tc>
          <w:tcPr>
            <w:tcW w:w="1480" w:type="dxa"/>
            <w:vAlign w:val="bottom"/>
            <w:vMerge w:val="continue"/>
          </w:tcPr>
          <w:p>
            <w:pPr>
              <w:spacing w:after="0"/>
              <w:rPr>
                <w:sz w:val="9"/>
                <w:szCs w:val="9"/>
                <w:color w:val="auto"/>
              </w:rPr>
            </w:pPr>
          </w:p>
        </w:tc>
        <w:tc>
          <w:tcPr>
            <w:tcW w:w="1520" w:type="dxa"/>
            <w:vAlign w:val="bottom"/>
          </w:tcPr>
          <w:p>
            <w:pPr>
              <w:spacing w:after="0"/>
              <w:rPr>
                <w:sz w:val="9"/>
                <w:szCs w:val="9"/>
                <w:color w:val="auto"/>
              </w:rPr>
            </w:pPr>
          </w:p>
        </w:tc>
        <w:tc>
          <w:tcPr>
            <w:tcW w:w="1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442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 -- -- Convertible</w:t>
            </w:r>
          </w:p>
        </w:tc>
        <w:tc>
          <w:tcPr>
            <w:tcW w:w="0" w:type="dxa"/>
            <w:vAlign w:val="bottom"/>
          </w:tcPr>
          <w:p>
            <w:pPr>
              <w:spacing w:after="0"/>
              <w:rPr>
                <w:sz w:val="1"/>
                <w:szCs w:val="1"/>
                <w:color w:val="auto"/>
              </w:rPr>
            </w:pPr>
          </w:p>
        </w:tc>
      </w:tr>
      <w:tr>
        <w:trPr>
          <w:trHeight w:val="203"/>
        </w:trPr>
        <w:tc>
          <w:tcPr>
            <w:tcW w:w="30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87"/>
              </w:rPr>
              <w:t>debentures.....................</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-- 33,227</w:t>
            </w:r>
          </w:p>
        </w:tc>
        <w:tc>
          <w:tcPr>
            <w:tcW w:w="0" w:type="dxa"/>
            <w:vAlign w:val="bottom"/>
          </w:tcPr>
          <w:p>
            <w:pPr>
              <w:spacing w:after="0"/>
              <w:rPr>
                <w:sz w:val="1"/>
                <w:szCs w:val="1"/>
                <w:color w:val="auto"/>
              </w:rPr>
            </w:pPr>
          </w:p>
        </w:tc>
      </w:tr>
      <w:tr>
        <w:trPr>
          <w:trHeight w:val="203"/>
        </w:trPr>
        <w:tc>
          <w:tcPr>
            <w:tcW w:w="442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-- 13,212 Option on convertible</w:t>
            </w:r>
          </w:p>
        </w:tc>
        <w:tc>
          <w:tcPr>
            <w:tcW w:w="0" w:type="dxa"/>
            <w:vAlign w:val="bottom"/>
          </w:tcPr>
          <w:p>
            <w:pPr>
              <w:spacing w:after="0"/>
              <w:rPr>
                <w:sz w:val="1"/>
                <w:szCs w:val="1"/>
                <w:color w:val="auto"/>
              </w:rPr>
            </w:pPr>
          </w:p>
        </w:tc>
      </w:tr>
      <w:tr>
        <w:trPr>
          <w:trHeight w:val="296"/>
        </w:trPr>
        <w:tc>
          <w:tcPr>
            <w:tcW w:w="1480" w:type="dxa"/>
            <w:vAlign w:val="bottom"/>
          </w:tcPr>
          <w:p>
            <w:pPr>
              <w:ind w:left="60"/>
              <w:spacing w:after="0"/>
              <w:rPr>
                <w:sz w:val="20"/>
                <w:szCs w:val="20"/>
                <w:color w:val="auto"/>
              </w:rPr>
            </w:pPr>
            <w:r>
              <w:rPr>
                <w:rFonts w:ascii="Courier New" w:cs="Courier New" w:eastAsia="Courier New" w:hAnsi="Courier New"/>
                <w:sz w:val="15"/>
                <w:szCs w:val="15"/>
                <w:color w:val="auto"/>
                <w:w w:val="74"/>
              </w:rPr>
              <w:t>debentures...........</w:t>
            </w:r>
          </w:p>
        </w:tc>
        <w:tc>
          <w:tcPr>
            <w:tcW w:w="29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-- 37,960 -- 18,659</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right="2319" w:firstLine="527"/>
        <w:spacing w:after="0" w:line="347" w:lineRule="auto"/>
        <w:rPr>
          <w:sz w:val="20"/>
          <w:szCs w:val="20"/>
          <w:color w:val="auto"/>
        </w:rPr>
      </w:pPr>
      <w:r>
        <w:rPr>
          <w:rFonts w:ascii="Courier New" w:cs="Courier New" w:eastAsia="Courier New" w:hAnsi="Courier New"/>
          <w:sz w:val="18"/>
          <w:szCs w:val="18"/>
          <w:color w:val="auto"/>
        </w:rPr>
        <w:t>The following purchases of goods and services were capitalized for the years ended December 31:</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40" w:type="dxa"/>
            <w:vAlign w:val="bottom"/>
          </w:tcPr>
          <w:p>
            <w:pPr>
              <w:spacing w:after="0"/>
              <w:rPr>
                <w:sz w:val="20"/>
                <w:szCs w:val="20"/>
                <w:color w:val="auto"/>
              </w:rPr>
            </w:pPr>
            <w:r>
              <w:rPr>
                <w:rFonts w:ascii="Courier New" w:cs="Courier New" w:eastAsia="Courier New" w:hAnsi="Courier New"/>
                <w:sz w:val="18"/>
                <w:szCs w:val="18"/>
                <w:color w:val="auto"/>
              </w:rPr>
              <w:t>2002</w:t>
            </w:r>
          </w:p>
        </w:tc>
        <w:tc>
          <w:tcPr>
            <w:tcW w:w="1580" w:type="dxa"/>
            <w:vAlign w:val="bottom"/>
          </w:tcPr>
          <w:p>
            <w:pPr>
              <w:jc w:val="right"/>
              <w:spacing w:after="0"/>
              <w:rPr>
                <w:sz w:val="20"/>
                <w:szCs w:val="20"/>
                <w:color w:val="auto"/>
              </w:rPr>
            </w:pPr>
            <w:r>
              <w:rPr>
                <w:rFonts w:ascii="Courier New" w:cs="Courier New" w:eastAsia="Courier New" w:hAnsi="Courier New"/>
                <w:sz w:val="18"/>
                <w:szCs w:val="18"/>
                <w:color w:val="auto"/>
                <w:w w:val="96"/>
              </w:rPr>
              <w:t>2001 ----------</w:t>
            </w:r>
          </w:p>
        </w:tc>
      </w:tr>
      <w:tr>
        <w:trPr>
          <w:trHeight w:val="235"/>
        </w:trPr>
        <w:tc>
          <w:tcPr>
            <w:tcW w:w="540" w:type="dxa"/>
            <w:vAlign w:val="bottom"/>
          </w:tcPr>
          <w:p>
            <w:pPr>
              <w:spacing w:after="0"/>
              <w:rPr>
                <w:sz w:val="20"/>
                <w:szCs w:val="20"/>
                <w:color w:val="auto"/>
              </w:rPr>
            </w:pPr>
            <w:r>
              <w:rPr>
                <w:rFonts w:ascii="Courier New" w:cs="Courier New" w:eastAsia="Courier New" w:hAnsi="Courier New"/>
                <w:sz w:val="8"/>
                <w:szCs w:val="8"/>
                <w:color w:val="auto"/>
                <w:w w:val="72"/>
              </w:rPr>
              <w:t>---------------</w:t>
            </w:r>
          </w:p>
        </w:tc>
        <w:tc>
          <w:tcPr>
            <w:tcW w:w="15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bl>
    <w:p>
      <w:pPr>
        <w:spacing w:after="0" w:line="238" w:lineRule="auto"/>
        <w:rPr>
          <w:sz w:val="20"/>
          <w:szCs w:val="20"/>
          <w:color w:val="auto"/>
        </w:rPr>
      </w:pPr>
      <w:r>
        <w:rPr>
          <w:rFonts w:ascii="Courier New" w:cs="Courier New" w:eastAsia="Courier New" w:hAnsi="Courier New"/>
          <w:sz w:val="18"/>
          <w:szCs w:val="18"/>
          <w:color w:val="auto"/>
        </w:rPr>
        <w:t>--------------------</w:t>
      </w:r>
    </w:p>
    <w:p>
      <w:pPr>
        <w:ind w:right="8099" w:firstLine="166"/>
        <w:spacing w:after="0" w:line="378" w:lineRule="auto"/>
        <w:tabs>
          <w:tab w:leader="none" w:pos="369"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(12 MONTHS) (11 MONTHS) BELL CANADA,</w:t>
      </w:r>
    </w:p>
    <w:p>
      <w:pPr>
        <w:sectPr>
          <w:pgSz w:w="11900" w:h="16890" w:orient="portrait"/>
          <w:cols w:equalWidth="0" w:num="1">
            <w:col w:w="10219"/>
          </w:cols>
          <w:pgMar w:left="240" w:top="488" w:right="1440" w:bottom="0" w:gutter="0" w:footer="0" w:header="0"/>
        </w:sectPr>
      </w:pPr>
    </w:p>
    <w:bookmarkStart w:id="138" w:name="page139"/>
    <w:bookmarkEnd w:id="138"/>
    <w:p>
      <w:pPr>
        <w:jc w:val="center"/>
        <w:ind w:right="8099"/>
        <w:spacing w:after="0"/>
        <w:rPr>
          <w:sz w:val="20"/>
          <w:szCs w:val="20"/>
          <w:color w:val="auto"/>
        </w:rPr>
      </w:pPr>
      <w:r>
        <w:rPr>
          <w:rFonts w:ascii="Courier New" w:cs="Courier New" w:eastAsia="Courier New" w:hAnsi="Courier New"/>
          <w:sz w:val="18"/>
          <w:szCs w:val="18"/>
          <w:color w:val="auto"/>
        </w:rPr>
        <w:t>AMDOCS BELL CANADA,</w:t>
      </w:r>
    </w:p>
    <w:p>
      <w:pPr>
        <w:spacing w:after="0" w:line="29"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8"/>
          <w:szCs w:val="18"/>
          <w:color w:val="auto"/>
        </w:rPr>
        <w:t>AMDOCS BCE AND AND</w:t>
      </w:r>
    </w:p>
    <w:p>
      <w:pPr>
        <w:jc w:val="center"/>
        <w:ind w:right="8099"/>
        <w:spacing w:after="0" w:line="238" w:lineRule="auto"/>
        <w:rPr>
          <w:sz w:val="20"/>
          <w:szCs w:val="20"/>
          <w:color w:val="auto"/>
        </w:rPr>
      </w:pPr>
      <w:r>
        <w:rPr>
          <w:rFonts w:ascii="Courier New" w:cs="Courier New" w:eastAsia="Courier New" w:hAnsi="Courier New"/>
          <w:sz w:val="18"/>
          <w:szCs w:val="18"/>
          <w:color w:val="auto"/>
        </w:rPr>
        <w:t>BCE AND AND</w:t>
      </w:r>
    </w:p>
    <w:p>
      <w:pPr>
        <w:jc w:val="center"/>
        <w:ind w:right="8099"/>
        <w:spacing w:after="0"/>
        <w:rPr>
          <w:sz w:val="20"/>
          <w:szCs w:val="20"/>
          <w:color w:val="auto"/>
        </w:rPr>
      </w:pPr>
      <w:r>
        <w:rPr>
          <w:rFonts w:ascii="Courier New" w:cs="Courier New" w:eastAsia="Courier New" w:hAnsi="Courier New"/>
          <w:sz w:val="18"/>
          <w:szCs w:val="18"/>
          <w:color w:val="auto"/>
        </w:rPr>
        <w:t>AFFILIATES</w:t>
      </w:r>
    </w:p>
    <w:p>
      <w:pPr>
        <w:jc w:val="center"/>
        <w:ind w:right="8099"/>
        <w:spacing w:after="0" w:line="238" w:lineRule="auto"/>
        <w:rPr>
          <w:sz w:val="20"/>
          <w:szCs w:val="20"/>
          <w:color w:val="auto"/>
        </w:rPr>
      </w:pPr>
      <w:r>
        <w:rPr>
          <w:rFonts w:ascii="Courier New" w:cs="Courier New" w:eastAsia="Courier New" w:hAnsi="Courier New"/>
          <w:sz w:val="18"/>
          <w:szCs w:val="18"/>
          <w:color w:val="auto"/>
        </w:rPr>
        <w:t>AFFILIATES</w:t>
      </w:r>
    </w:p>
    <w:p>
      <w:pPr>
        <w:jc w:val="center"/>
        <w:ind w:right="8099"/>
        <w:spacing w:after="0"/>
        <w:rPr>
          <w:sz w:val="20"/>
          <w:szCs w:val="20"/>
          <w:color w:val="auto"/>
        </w:rPr>
      </w:pPr>
      <w:r>
        <w:rPr>
          <w:rFonts w:ascii="Courier New" w:cs="Courier New" w:eastAsia="Courier New" w:hAnsi="Courier New"/>
          <w:sz w:val="18"/>
          <w:szCs w:val="18"/>
          <w:color w:val="auto"/>
        </w:rPr>
        <w:t>AFFILIATES</w:t>
      </w:r>
    </w:p>
    <w:p>
      <w:pPr>
        <w:spacing w:after="0" w:line="238" w:lineRule="auto"/>
        <w:rPr>
          <w:sz w:val="20"/>
          <w:szCs w:val="20"/>
          <w:color w:val="auto"/>
        </w:rPr>
      </w:pPr>
      <w:r>
        <w:rPr>
          <w:rFonts w:ascii="Courier New" w:cs="Courier New" w:eastAsia="Courier New" w:hAnsi="Courier New"/>
          <w:sz w:val="18"/>
          <w:szCs w:val="18"/>
          <w:color w:val="auto"/>
        </w:rPr>
        <w:t>AFFILIATES ---------</w:t>
      </w:r>
    </w:p>
    <w:p>
      <w:pPr>
        <w:ind w:left="420" w:hanging="412"/>
        <w:spacing w:after="0"/>
        <w:tabs>
          <w:tab w:leader="none" w:pos="420" w:val="left"/>
        </w:tabs>
        <w:numPr>
          <w:ilvl w:val="0"/>
          <w:numId w:val="1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 Capitalized</w:t>
      </w:r>
    </w:p>
    <w:p>
      <w:pPr>
        <w:ind w:left="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goods and</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services............</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28,027 153,827</w:t>
      </w: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17,234 100,879</w:t>
      </w:r>
    </w:p>
    <w:p>
      <w:pPr>
        <w:spacing w:after="0" w:line="372" w:lineRule="exact"/>
        <w:rPr>
          <w:sz w:val="20"/>
          <w:szCs w:val="20"/>
          <w:color w:val="auto"/>
        </w:rPr>
      </w:pPr>
    </w:p>
    <w:p>
      <w:pPr>
        <w:jc w:val="right"/>
        <w:ind w:right="5679"/>
        <w:spacing w:after="0"/>
        <w:rPr>
          <w:sz w:val="20"/>
          <w:szCs w:val="20"/>
          <w:color w:val="auto"/>
        </w:rPr>
      </w:pPr>
      <w:r>
        <w:rPr>
          <w:rFonts w:ascii="Courier New" w:cs="Courier New" w:eastAsia="Courier New" w:hAnsi="Courier New"/>
          <w:sz w:val="18"/>
          <w:szCs w:val="18"/>
          <w:color w:val="auto"/>
        </w:rPr>
        <w:t>F-51</w:t>
      </w:r>
    </w:p>
    <w:p>
      <w:pPr>
        <w:sectPr>
          <w:pgSz w:w="11900" w:h="16838" w:orient="portrait"/>
          <w:cols w:equalWidth="0" w:num="1">
            <w:col w:w="10219"/>
          </w:cols>
          <w:pgMar w:left="240" w:top="110" w:right="1440" w:bottom="1440" w:gutter="0" w:footer="0" w:header="0"/>
        </w:sectPr>
      </w:pPr>
    </w:p>
    <w:bookmarkStart w:id="139" w:name="page140"/>
    <w:bookmarkEnd w:id="139"/>
    <w:p>
      <w:pPr>
        <w:jc w:val="center"/>
        <w:ind w:right="1879"/>
        <w:spacing w:after="0"/>
        <w:rPr>
          <w:sz w:val="20"/>
          <w:szCs w:val="20"/>
          <w:color w:val="auto"/>
        </w:rPr>
      </w:pPr>
      <w:r>
        <w:rPr>
          <w:rFonts w:ascii="Courier New" w:cs="Courier New" w:eastAsia="Courier New" w:hAnsi="Courier New"/>
          <w:sz w:val="18"/>
          <w:szCs w:val="18"/>
          <w:color w:val="auto"/>
        </w:rPr>
        <w:t>CERTEN INC.</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NOTES TO THE FINANCIAL STATEMENTS -- (CONTINUED)</w:t>
      </w:r>
    </w:p>
    <w:p>
      <w:pPr>
        <w:spacing w:after="0" w:line="201" w:lineRule="exact"/>
        <w:rPr>
          <w:sz w:val="20"/>
          <w:szCs w:val="20"/>
          <w:color w:val="auto"/>
        </w:rPr>
      </w:pPr>
    </w:p>
    <w:p>
      <w:pPr>
        <w:ind w:left="540" w:hanging="532"/>
        <w:spacing w:after="0"/>
        <w:tabs>
          <w:tab w:leader="none" w:pos="540" w:val="left"/>
        </w:tabs>
        <w:numPr>
          <w:ilvl w:val="0"/>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ECONOMIC DEPENDENCE</w:t>
      </w:r>
    </w:p>
    <w:p>
      <w:pPr>
        <w:spacing w:after="0" w:line="201" w:lineRule="exact"/>
        <w:rPr>
          <w:sz w:val="20"/>
          <w:szCs w:val="20"/>
          <w:color w:val="auto"/>
        </w:rPr>
      </w:pPr>
    </w:p>
    <w:p>
      <w:pPr>
        <w:ind w:right="1879" w:firstLine="527"/>
        <w:spacing w:after="0" w:line="260" w:lineRule="auto"/>
        <w:rPr>
          <w:sz w:val="20"/>
          <w:szCs w:val="20"/>
          <w:color w:val="auto"/>
        </w:rPr>
      </w:pPr>
      <w:r>
        <w:rPr>
          <w:rFonts w:ascii="Courier New" w:cs="Courier New" w:eastAsia="Courier New" w:hAnsi="Courier New"/>
          <w:sz w:val="18"/>
          <w:szCs w:val="18"/>
          <w:color w:val="auto"/>
        </w:rPr>
        <w:t>Substantially all of Certen's revenue is generated from services rendered to Bell Canada and affiliates. The Master Outsourcing Services Agreement sets out the services to be provided to Bell Canada and extends to January 26, 2008, at which time the agreement may be extended. However, Bell Canada may terminate the agreement with one year's prior written notice to Certen and Bell Canada will incur a termination charge.</w:t>
      </w:r>
    </w:p>
    <w:p>
      <w:pPr>
        <w:spacing w:after="0" w:line="93" w:lineRule="exact"/>
        <w:rPr>
          <w:sz w:val="20"/>
          <w:szCs w:val="20"/>
          <w:color w:val="auto"/>
        </w:rPr>
      </w:pPr>
    </w:p>
    <w:p>
      <w:pPr>
        <w:ind w:left="220" w:right="6639" w:hanging="212"/>
        <w:spacing w:after="0" w:line="476" w:lineRule="auto"/>
        <w:tabs>
          <w:tab w:leader="none" w:pos="536"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COMMITMENTS AND CONTINGENCIES COMMITMENTS</w:t>
      </w:r>
    </w:p>
    <w:p>
      <w:pPr>
        <w:spacing w:after="0" w:line="1" w:lineRule="exact"/>
        <w:rPr>
          <w:sz w:val="20"/>
          <w:szCs w:val="20"/>
          <w:color w:val="auto"/>
        </w:rPr>
      </w:pPr>
    </w:p>
    <w:p>
      <w:pPr>
        <w:ind w:right="2739" w:firstLine="527"/>
        <w:spacing w:after="0" w:line="347" w:lineRule="auto"/>
        <w:rPr>
          <w:sz w:val="20"/>
          <w:szCs w:val="20"/>
          <w:color w:val="auto"/>
        </w:rPr>
      </w:pPr>
      <w:r>
        <w:rPr>
          <w:rFonts w:ascii="Courier New" w:cs="Courier New" w:eastAsia="Courier New" w:hAnsi="Courier New"/>
          <w:sz w:val="18"/>
          <w:szCs w:val="18"/>
          <w:color w:val="auto"/>
        </w:rPr>
        <w:t>At December 31, 2002, the minimum payments under operating leases, primarily consisting of rental payments, were as follows:</w:t>
      </w:r>
    </w:p>
    <w:p>
      <w:pPr>
        <w:spacing w:after="0" w:line="18" w:lineRule="exact"/>
        <w:rPr>
          <w:sz w:val="20"/>
          <w:szCs w:val="20"/>
          <w:color w:val="auto"/>
        </w:rPr>
      </w:pPr>
    </w:p>
    <w:p>
      <w:pPr>
        <w:ind w:left="2800"/>
        <w:spacing w:after="0"/>
        <w:rPr>
          <w:sz w:val="20"/>
          <w:szCs w:val="20"/>
          <w:color w:val="auto"/>
        </w:rPr>
      </w:pPr>
      <w:r>
        <w:rPr>
          <w:rFonts w:ascii="Courier New" w:cs="Courier New" w:eastAsia="Courier New" w:hAnsi="Courier New"/>
          <w:sz w:val="18"/>
          <w:szCs w:val="18"/>
          <w:color w:val="auto"/>
        </w:rPr>
        <w:t>$ -----</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2003........................................................</w:t>
      </w:r>
    </w:p>
    <w:p>
      <w:pPr>
        <w:jc w:val="center"/>
        <w:ind w:right="3899"/>
        <w:spacing w:after="0" w:line="238" w:lineRule="auto"/>
        <w:rPr>
          <w:sz w:val="20"/>
          <w:szCs w:val="20"/>
          <w:color w:val="auto"/>
        </w:rPr>
      </w:pPr>
      <w:r>
        <w:rPr>
          <w:rFonts w:ascii="Courier New" w:cs="Courier New" w:eastAsia="Courier New" w:hAnsi="Courier New"/>
          <w:sz w:val="18"/>
          <w:szCs w:val="18"/>
          <w:color w:val="auto"/>
        </w:rPr>
        <w:t>8,072</w:t>
      </w:r>
    </w:p>
    <w:p>
      <w:pPr>
        <w:spacing w:after="0"/>
        <w:rPr>
          <w:sz w:val="20"/>
          <w:szCs w:val="20"/>
          <w:color w:val="auto"/>
        </w:rPr>
      </w:pPr>
      <w:r>
        <w:rPr>
          <w:rFonts w:ascii="Courier New" w:cs="Courier New" w:eastAsia="Courier New" w:hAnsi="Courier New"/>
          <w:sz w:val="18"/>
          <w:szCs w:val="18"/>
          <w:color w:val="auto"/>
        </w:rPr>
        <w:t>2004........................................................</w:t>
      </w:r>
    </w:p>
    <w:p>
      <w:pPr>
        <w:jc w:val="center"/>
        <w:ind w:right="3899"/>
        <w:spacing w:after="0" w:line="238" w:lineRule="auto"/>
        <w:rPr>
          <w:sz w:val="20"/>
          <w:szCs w:val="20"/>
          <w:color w:val="auto"/>
        </w:rPr>
      </w:pPr>
      <w:r>
        <w:rPr>
          <w:rFonts w:ascii="Courier New" w:cs="Courier New" w:eastAsia="Courier New" w:hAnsi="Courier New"/>
          <w:sz w:val="18"/>
          <w:szCs w:val="18"/>
          <w:color w:val="auto"/>
        </w:rPr>
        <w:t>7,952</w:t>
      </w:r>
    </w:p>
    <w:p>
      <w:pPr>
        <w:spacing w:after="0"/>
        <w:rPr>
          <w:sz w:val="20"/>
          <w:szCs w:val="20"/>
          <w:color w:val="auto"/>
        </w:rPr>
      </w:pPr>
      <w:r>
        <w:rPr>
          <w:rFonts w:ascii="Courier New" w:cs="Courier New" w:eastAsia="Courier New" w:hAnsi="Courier New"/>
          <w:sz w:val="18"/>
          <w:szCs w:val="18"/>
          <w:color w:val="auto"/>
        </w:rPr>
        <w:t>2005........................................................</w:t>
      </w:r>
    </w:p>
    <w:p>
      <w:pPr>
        <w:jc w:val="center"/>
        <w:ind w:right="3899"/>
        <w:spacing w:after="0" w:line="238" w:lineRule="auto"/>
        <w:rPr>
          <w:sz w:val="20"/>
          <w:szCs w:val="20"/>
          <w:color w:val="auto"/>
        </w:rPr>
      </w:pPr>
      <w:r>
        <w:rPr>
          <w:rFonts w:ascii="Courier New" w:cs="Courier New" w:eastAsia="Courier New" w:hAnsi="Courier New"/>
          <w:sz w:val="18"/>
          <w:szCs w:val="18"/>
          <w:color w:val="auto"/>
        </w:rPr>
        <w:t>7,512</w:t>
      </w:r>
    </w:p>
    <w:p>
      <w:pPr>
        <w:spacing w:after="0"/>
        <w:rPr>
          <w:sz w:val="20"/>
          <w:szCs w:val="20"/>
          <w:color w:val="auto"/>
        </w:rPr>
      </w:pPr>
      <w:r>
        <w:rPr>
          <w:rFonts w:ascii="Courier New" w:cs="Courier New" w:eastAsia="Courier New" w:hAnsi="Courier New"/>
          <w:sz w:val="18"/>
          <w:szCs w:val="18"/>
          <w:color w:val="auto"/>
        </w:rPr>
        <w:t>2006........................................................</w:t>
      </w:r>
    </w:p>
    <w:p>
      <w:pPr>
        <w:jc w:val="center"/>
        <w:ind w:right="3899"/>
        <w:spacing w:after="0" w:line="238" w:lineRule="auto"/>
        <w:rPr>
          <w:sz w:val="20"/>
          <w:szCs w:val="20"/>
          <w:color w:val="auto"/>
        </w:rPr>
      </w:pPr>
      <w:r>
        <w:rPr>
          <w:rFonts w:ascii="Courier New" w:cs="Courier New" w:eastAsia="Courier New" w:hAnsi="Courier New"/>
          <w:sz w:val="18"/>
          <w:szCs w:val="18"/>
          <w:color w:val="auto"/>
        </w:rPr>
        <w:t>7,408</w:t>
      </w:r>
    </w:p>
    <w:p>
      <w:pPr>
        <w:spacing w:after="0"/>
        <w:rPr>
          <w:sz w:val="20"/>
          <w:szCs w:val="20"/>
          <w:color w:val="auto"/>
        </w:rPr>
      </w:pPr>
      <w:r>
        <w:rPr>
          <w:rFonts w:ascii="Courier New" w:cs="Courier New" w:eastAsia="Courier New" w:hAnsi="Courier New"/>
          <w:sz w:val="18"/>
          <w:szCs w:val="18"/>
          <w:color w:val="auto"/>
        </w:rPr>
        <w:t>2007........................................................</w:t>
      </w:r>
    </w:p>
    <w:p>
      <w:pPr>
        <w:ind w:left="3060"/>
        <w:spacing w:after="0"/>
        <w:rPr>
          <w:sz w:val="20"/>
          <w:szCs w:val="20"/>
          <w:color w:val="auto"/>
        </w:rPr>
      </w:pPr>
      <w:r>
        <w:rPr>
          <w:rFonts w:ascii="Courier New" w:cs="Courier New" w:eastAsia="Courier New" w:hAnsi="Courier New"/>
          <w:sz w:val="18"/>
          <w:szCs w:val="18"/>
          <w:color w:val="auto"/>
        </w:rPr>
        <w:t>--</w:t>
      </w:r>
    </w:p>
    <w:p>
      <w:pPr>
        <w:spacing w:after="0" w:line="372" w:lineRule="exact"/>
        <w:rPr>
          <w:sz w:val="20"/>
          <w:szCs w:val="20"/>
          <w:color w:val="auto"/>
        </w:rPr>
      </w:pPr>
    </w:p>
    <w:p>
      <w:pPr>
        <w:ind w:right="1779" w:firstLine="527"/>
        <w:spacing w:after="0" w:line="265" w:lineRule="auto"/>
        <w:rPr>
          <w:sz w:val="20"/>
          <w:szCs w:val="20"/>
          <w:color w:val="auto"/>
        </w:rPr>
      </w:pPr>
      <w:r>
        <w:rPr>
          <w:rFonts w:ascii="Courier New" w:cs="Courier New" w:eastAsia="Courier New" w:hAnsi="Courier New"/>
          <w:sz w:val="18"/>
          <w:szCs w:val="18"/>
          <w:color w:val="auto"/>
        </w:rPr>
        <w:t>Additionally, in 2003, Certen has contractual obligations to acquire intellectual property totaling US$7,000,000 and site licenses and services in the amount of US$58,545,000 from Amdocs. Certen also has contractual obligations in 2003 to acquire various services from other non-related parties totaling $7,683,000.</w:t>
      </w:r>
    </w:p>
    <w:p>
      <w:pPr>
        <w:spacing w:after="0" w:line="90" w:lineRule="exact"/>
        <w:rPr>
          <w:sz w:val="20"/>
          <w:szCs w:val="20"/>
          <w:color w:val="auto"/>
        </w:rPr>
      </w:pPr>
    </w:p>
    <w:p>
      <w:pPr>
        <w:ind w:right="1879" w:firstLine="527"/>
        <w:spacing w:after="0" w:line="292" w:lineRule="auto"/>
        <w:rPr>
          <w:sz w:val="20"/>
          <w:szCs w:val="20"/>
          <w:color w:val="auto"/>
        </w:rPr>
      </w:pPr>
      <w:r>
        <w:rPr>
          <w:rFonts w:ascii="Courier New" w:cs="Courier New" w:eastAsia="Courier New" w:hAnsi="Courier New"/>
          <w:sz w:val="18"/>
          <w:szCs w:val="18"/>
          <w:color w:val="auto"/>
        </w:rPr>
        <w:t>In the event Certen terminates for convenience the BCH Modernization program, the following amount in US dollars will become due to Amdocs according to the year in which the termination would occur:</w:t>
      </w:r>
    </w:p>
    <w:p>
      <w:pPr>
        <w:spacing w:after="0" w:line="66"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US$ ------</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2003........................................................</w:t>
      </w:r>
    </w:p>
    <w:p>
      <w:pPr>
        <w:jc w:val="center"/>
        <w:ind w:right="3899"/>
        <w:spacing w:after="0" w:line="238" w:lineRule="auto"/>
        <w:rPr>
          <w:sz w:val="20"/>
          <w:szCs w:val="20"/>
          <w:color w:val="auto"/>
        </w:rPr>
      </w:pPr>
      <w:r>
        <w:rPr>
          <w:rFonts w:ascii="Courier New" w:cs="Courier New" w:eastAsia="Courier New" w:hAnsi="Courier New"/>
          <w:sz w:val="18"/>
          <w:szCs w:val="18"/>
          <w:color w:val="auto"/>
        </w:rPr>
        <w:t>60,000</w:t>
      </w:r>
    </w:p>
    <w:p>
      <w:pPr>
        <w:spacing w:after="0"/>
        <w:rPr>
          <w:sz w:val="20"/>
          <w:szCs w:val="20"/>
          <w:color w:val="auto"/>
        </w:rPr>
      </w:pPr>
      <w:r>
        <w:rPr>
          <w:rFonts w:ascii="Courier New" w:cs="Courier New" w:eastAsia="Courier New" w:hAnsi="Courier New"/>
          <w:sz w:val="18"/>
          <w:szCs w:val="18"/>
          <w:color w:val="auto"/>
        </w:rPr>
        <w:t>2004........................................................</w:t>
      </w:r>
    </w:p>
    <w:p>
      <w:pPr>
        <w:jc w:val="center"/>
        <w:ind w:right="3899"/>
        <w:spacing w:after="0" w:line="238" w:lineRule="auto"/>
        <w:rPr>
          <w:sz w:val="20"/>
          <w:szCs w:val="20"/>
          <w:color w:val="auto"/>
        </w:rPr>
      </w:pPr>
      <w:r>
        <w:rPr>
          <w:rFonts w:ascii="Courier New" w:cs="Courier New" w:eastAsia="Courier New" w:hAnsi="Courier New"/>
          <w:sz w:val="18"/>
          <w:szCs w:val="18"/>
          <w:color w:val="auto"/>
        </w:rPr>
        <w:t>50,000</w:t>
      </w:r>
    </w:p>
    <w:p>
      <w:pPr>
        <w:spacing w:after="0"/>
        <w:rPr>
          <w:sz w:val="20"/>
          <w:szCs w:val="20"/>
          <w:color w:val="auto"/>
        </w:rPr>
      </w:pPr>
      <w:r>
        <w:rPr>
          <w:rFonts w:ascii="Courier New" w:cs="Courier New" w:eastAsia="Courier New" w:hAnsi="Courier New"/>
          <w:sz w:val="18"/>
          <w:szCs w:val="18"/>
          <w:color w:val="auto"/>
        </w:rPr>
        <w:t>2005........................................................</w:t>
      </w:r>
    </w:p>
    <w:p>
      <w:pPr>
        <w:jc w:val="center"/>
        <w:ind w:right="3899"/>
        <w:spacing w:after="0" w:line="238" w:lineRule="auto"/>
        <w:rPr>
          <w:sz w:val="20"/>
          <w:szCs w:val="20"/>
          <w:color w:val="auto"/>
        </w:rPr>
      </w:pPr>
      <w:r>
        <w:rPr>
          <w:rFonts w:ascii="Courier New" w:cs="Courier New" w:eastAsia="Courier New" w:hAnsi="Courier New"/>
          <w:sz w:val="18"/>
          <w:szCs w:val="18"/>
          <w:color w:val="auto"/>
        </w:rPr>
        <w:t>40,000</w:t>
      </w:r>
    </w:p>
    <w:p>
      <w:pPr>
        <w:spacing w:after="0"/>
        <w:rPr>
          <w:sz w:val="20"/>
          <w:szCs w:val="20"/>
          <w:color w:val="auto"/>
        </w:rPr>
      </w:pPr>
      <w:r>
        <w:rPr>
          <w:rFonts w:ascii="Courier New" w:cs="Courier New" w:eastAsia="Courier New" w:hAnsi="Courier New"/>
          <w:sz w:val="18"/>
          <w:szCs w:val="18"/>
          <w:color w:val="auto"/>
        </w:rPr>
        <w:t>2006........................................................</w:t>
      </w:r>
    </w:p>
    <w:p>
      <w:pPr>
        <w:ind w:left="2860"/>
        <w:spacing w:after="0"/>
        <w:rPr>
          <w:sz w:val="20"/>
          <w:szCs w:val="20"/>
          <w:color w:val="auto"/>
        </w:rPr>
      </w:pPr>
      <w:r>
        <w:rPr>
          <w:rFonts w:ascii="Courier New" w:cs="Courier New" w:eastAsia="Courier New" w:hAnsi="Courier New"/>
          <w:sz w:val="18"/>
          <w:szCs w:val="18"/>
          <w:color w:val="auto"/>
        </w:rPr>
        <w:t>30,000</w:t>
      </w:r>
    </w:p>
    <w:p>
      <w:pPr>
        <w:spacing w:after="0" w:line="37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CONTINGENCIES</w:t>
      </w:r>
    </w:p>
    <w:p>
      <w:pPr>
        <w:spacing w:after="0" w:line="201" w:lineRule="exact"/>
        <w:rPr>
          <w:sz w:val="20"/>
          <w:szCs w:val="20"/>
          <w:color w:val="auto"/>
        </w:rPr>
      </w:pPr>
    </w:p>
    <w:p>
      <w:pPr>
        <w:ind w:right="1779" w:firstLine="527"/>
        <w:spacing w:after="0" w:line="274" w:lineRule="auto"/>
        <w:rPr>
          <w:sz w:val="20"/>
          <w:szCs w:val="20"/>
          <w:color w:val="auto"/>
        </w:rPr>
      </w:pPr>
      <w:r>
        <w:rPr>
          <w:rFonts w:ascii="Courier New" w:cs="Courier New" w:eastAsia="Courier New" w:hAnsi="Courier New"/>
          <w:sz w:val="18"/>
          <w:szCs w:val="18"/>
          <w:color w:val="auto"/>
        </w:rPr>
        <w:t>In the normal course of operations, Certen has become involved in a claim. As the outcome of the claim and the estimated amount of the loss, if any, cannot be determined at this time, management has not made a provision for any potential eventual loss.</w:t>
      </w:r>
    </w:p>
    <w:p>
      <w:pPr>
        <w:spacing w:after="0" w:line="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F-52</w:t>
      </w:r>
    </w:p>
    <w:p>
      <w:pPr>
        <w:sectPr>
          <w:pgSz w:w="11900" w:h="16838" w:orient="portrait"/>
          <w:cols w:equalWidth="0" w:num="1">
            <w:col w:w="10219"/>
          </w:cols>
          <w:pgMar w:left="240" w:top="488" w:right="1440" w:bottom="1440" w:gutter="0" w:footer="0" w:header="0"/>
        </w:sectPr>
      </w:pPr>
    </w:p>
    <w:bookmarkStart w:id="140" w:name="page141"/>
    <w:bookmarkEnd w:id="140"/>
    <w:p>
      <w:pPr>
        <w:jc w:val="center"/>
        <w:ind w:right="1879"/>
        <w:spacing w:after="0"/>
        <w:rPr>
          <w:sz w:val="20"/>
          <w:szCs w:val="20"/>
          <w:color w:val="auto"/>
        </w:rPr>
      </w:pPr>
      <w:r>
        <w:rPr>
          <w:rFonts w:ascii="Courier New" w:cs="Courier New" w:eastAsia="Courier New" w:hAnsi="Courier New"/>
          <w:sz w:val="18"/>
          <w:szCs w:val="18"/>
          <w:color w:val="auto"/>
        </w:rPr>
        <w:t>CERTEN INC.</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NOTES TO THE FINANCIAL STATEMENTS -- (CONTINUED)</w:t>
      </w:r>
    </w:p>
    <w:p>
      <w:pPr>
        <w:spacing w:after="0" w:line="201" w:lineRule="exact"/>
        <w:rPr>
          <w:sz w:val="20"/>
          <w:szCs w:val="20"/>
          <w:color w:val="auto"/>
        </w:rPr>
      </w:pPr>
    </w:p>
    <w:p>
      <w:pPr>
        <w:ind w:left="540" w:right="2319" w:hanging="532"/>
        <w:spacing w:after="0" w:line="347" w:lineRule="auto"/>
        <w:tabs>
          <w:tab w:leader="none" w:pos="540"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RECONCILIATION OF RESULTS REPORTED IN ACCORDANCE WITH CANADIAN GAAP TO UNITED STATES GAAP</w:t>
      </w:r>
    </w:p>
    <w:p>
      <w:pPr>
        <w:spacing w:after="0" w:line="18" w:lineRule="exact"/>
        <w:rPr>
          <w:sz w:val="20"/>
          <w:szCs w:val="20"/>
          <w:color w:val="auto"/>
        </w:rPr>
      </w:pPr>
    </w:p>
    <w:p>
      <w:pPr>
        <w:jc w:val="both"/>
        <w:ind w:right="2619" w:firstLine="527"/>
        <w:spacing w:after="0" w:line="292" w:lineRule="auto"/>
        <w:rPr>
          <w:sz w:val="20"/>
          <w:szCs w:val="20"/>
          <w:color w:val="auto"/>
        </w:rPr>
      </w:pPr>
      <w:r>
        <w:rPr>
          <w:rFonts w:ascii="Courier New" w:cs="Courier New" w:eastAsia="Courier New" w:hAnsi="Courier New"/>
          <w:sz w:val="18"/>
          <w:szCs w:val="18"/>
          <w:color w:val="auto"/>
        </w:rPr>
        <w:t>The significant differences between Canadian and United States GAAP affecting Certen's net earnings and shareholders' equity are detailed as follows:</w:t>
      </w:r>
    </w:p>
    <w:p>
      <w:pPr>
        <w:spacing w:after="0" w:line="6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RECONCILIATION OF NET EARNINGS:</w:t>
      </w:r>
    </w:p>
    <w:p>
      <w:pPr>
        <w:spacing w:after="0" w:line="201" w:lineRule="exact"/>
        <w:rPr>
          <w:sz w:val="20"/>
          <w:szCs w:val="20"/>
          <w:color w:val="auto"/>
        </w:rPr>
      </w:pPr>
    </w:p>
    <w:p>
      <w:pPr>
        <w:jc w:val="center"/>
        <w:ind w:right="4399"/>
        <w:spacing w:after="0" w:line="278" w:lineRule="auto"/>
        <w:rPr>
          <w:sz w:val="20"/>
          <w:szCs w:val="20"/>
          <w:color w:val="auto"/>
        </w:rPr>
      </w:pPr>
      <w:r>
        <w:rPr>
          <w:rFonts w:ascii="Courier New" w:cs="Courier New" w:eastAsia="Courier New" w:hAnsi="Courier New"/>
          <w:sz w:val="16"/>
          <w:szCs w:val="16"/>
          <w:color w:val="auto"/>
        </w:rPr>
        <w:t>2002 2001 ----------- ----------- (12 MONTHS) (11 MONTHS) $ $ CANADIAN GAAP -- NET EARNINGS............................... 15,294 36,774 Adjustments: Accretion of convertible debentures due</w:t>
      </w:r>
    </w:p>
    <w:p>
      <w:pPr>
        <w:spacing w:after="0" w:line="1"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8"/>
          <w:szCs w:val="18"/>
          <w:color w:val="auto"/>
        </w:rPr>
        <w:t>to related</w:t>
      </w:r>
    </w:p>
    <w:p>
      <w:pPr>
        <w:spacing w:after="0" w:line="238" w:lineRule="auto"/>
        <w:rPr>
          <w:sz w:val="20"/>
          <w:szCs w:val="20"/>
          <w:color w:val="auto"/>
        </w:rPr>
      </w:pPr>
      <w:r>
        <w:rPr>
          <w:rFonts w:ascii="Courier New" w:cs="Courier New" w:eastAsia="Courier New" w:hAnsi="Courier New"/>
          <w:sz w:val="18"/>
          <w:szCs w:val="18"/>
          <w:color w:val="auto"/>
        </w:rPr>
        <w:t>party(a)...............................................</w:t>
      </w:r>
    </w:p>
    <w:p>
      <w:pPr>
        <w:jc w:val="center"/>
        <w:ind w:right="4419"/>
        <w:spacing w:after="0"/>
        <w:rPr>
          <w:sz w:val="20"/>
          <w:szCs w:val="20"/>
          <w:color w:val="auto"/>
        </w:rPr>
      </w:pPr>
      <w:r>
        <w:rPr>
          <w:rFonts w:ascii="Courier New" w:cs="Courier New" w:eastAsia="Courier New" w:hAnsi="Courier New"/>
          <w:sz w:val="18"/>
          <w:szCs w:val="18"/>
          <w:color w:val="auto"/>
        </w:rPr>
        <w:t>5,457 908 Capitalization of training</w:t>
      </w:r>
    </w:p>
    <w:p>
      <w:pPr>
        <w:jc w:val="center"/>
        <w:ind w:right="4419"/>
        <w:spacing w:after="0" w:line="238" w:lineRule="auto"/>
        <w:rPr>
          <w:sz w:val="20"/>
          <w:szCs w:val="20"/>
          <w:color w:val="auto"/>
        </w:rPr>
      </w:pPr>
      <w:r>
        <w:rPr>
          <w:rFonts w:ascii="Courier New" w:cs="Courier New" w:eastAsia="Courier New" w:hAnsi="Courier New"/>
          <w:sz w:val="18"/>
          <w:szCs w:val="18"/>
          <w:color w:val="auto"/>
        </w:rPr>
        <w:t>costs(b)....................... (3,243) --</w:t>
      </w:r>
    </w:p>
    <w:p>
      <w:pPr>
        <w:jc w:val="center"/>
        <w:ind w:right="4419"/>
        <w:spacing w:after="0"/>
        <w:rPr>
          <w:sz w:val="20"/>
          <w:szCs w:val="20"/>
          <w:color w:val="auto"/>
        </w:rPr>
      </w:pPr>
      <w:r>
        <w:rPr>
          <w:rFonts w:ascii="Courier New" w:cs="Courier New" w:eastAsia="Courier New" w:hAnsi="Courier New"/>
          <w:sz w:val="18"/>
          <w:szCs w:val="18"/>
          <w:color w:val="auto"/>
        </w:rPr>
        <w:t>Capitalization of</w:t>
      </w:r>
    </w:p>
    <w:p>
      <w:pPr>
        <w:jc w:val="center"/>
        <w:ind w:right="4419"/>
        <w:spacing w:after="0"/>
        <w:rPr>
          <w:sz w:val="20"/>
          <w:szCs w:val="20"/>
          <w:color w:val="auto"/>
        </w:rPr>
      </w:pPr>
      <w:r>
        <w:rPr>
          <w:rFonts w:ascii="Courier New" w:cs="Courier New" w:eastAsia="Courier New" w:hAnsi="Courier New"/>
          <w:sz w:val="16"/>
          <w:szCs w:val="16"/>
          <w:color w:val="auto"/>
        </w:rPr>
        <w:t>interest(c)............................. 2,609 79 ----</w:t>
      </w:r>
    </w:p>
    <w:p>
      <w:pPr>
        <w:spacing w:after="0" w:line="20"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8"/>
          <w:szCs w:val="18"/>
          <w:color w:val="auto"/>
        </w:rPr>
        <w:t>-- ------ UNITED STATES GAAP -- NET</w:t>
      </w:r>
    </w:p>
    <w:p>
      <w:pPr>
        <w:jc w:val="center"/>
        <w:ind w:right="4419"/>
        <w:spacing w:after="0" w:line="238" w:lineRule="auto"/>
        <w:rPr>
          <w:sz w:val="20"/>
          <w:szCs w:val="20"/>
          <w:color w:val="auto"/>
        </w:rPr>
      </w:pPr>
      <w:r>
        <w:rPr>
          <w:rFonts w:ascii="Courier New" w:cs="Courier New" w:eastAsia="Courier New" w:hAnsi="Courier New"/>
          <w:sz w:val="18"/>
          <w:szCs w:val="18"/>
          <w:color w:val="auto"/>
        </w:rPr>
        <w:t>EARNINGS.......................... 20,117 37,761</w:t>
      </w:r>
    </w:p>
    <w:p>
      <w:pPr>
        <w:jc w:val="center"/>
        <w:ind w:right="4419"/>
        <w:spacing w:after="0"/>
        <w:rPr>
          <w:sz w:val="20"/>
          <w:szCs w:val="20"/>
          <w:color w:val="auto"/>
        </w:rPr>
      </w:pPr>
      <w:r>
        <w:rPr>
          <w:rFonts w:ascii="Courier New" w:cs="Courier New" w:eastAsia="Courier New" w:hAnsi="Courier New"/>
          <w:sz w:val="18"/>
          <w:szCs w:val="18"/>
          <w:color w:val="auto"/>
        </w:rPr>
        <w:t>====== ======</w:t>
      </w:r>
    </w:p>
    <w:p>
      <w:pPr>
        <w:spacing w:after="0" w:line="37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RECONCILIATION OF SHAREHOLDERS' EQUITY:</w:t>
      </w:r>
    </w:p>
    <w:p>
      <w:pPr>
        <w:spacing w:after="0" w:line="201"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8"/>
          <w:szCs w:val="18"/>
          <w:color w:val="auto"/>
        </w:rPr>
        <w:t>2002 2001 ------- ------- $ $ CANADIAN GAAP --</w:t>
      </w:r>
    </w:p>
    <w:p>
      <w:pPr>
        <w:spacing w:after="0" w:line="29"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8"/>
          <w:szCs w:val="18"/>
          <w:color w:val="auto"/>
        </w:rPr>
        <w:t>SHAREHOLDERS' EQUITY....................... 191,197</w:t>
      </w:r>
    </w:p>
    <w:p>
      <w:pPr>
        <w:jc w:val="center"/>
        <w:ind w:right="4419"/>
        <w:spacing w:after="0" w:line="238" w:lineRule="auto"/>
        <w:rPr>
          <w:sz w:val="20"/>
          <w:szCs w:val="20"/>
          <w:color w:val="auto"/>
        </w:rPr>
      </w:pPr>
      <w:r>
        <w:rPr>
          <w:rFonts w:ascii="Courier New" w:cs="Courier New" w:eastAsia="Courier New" w:hAnsi="Courier New"/>
          <w:sz w:val="18"/>
          <w:szCs w:val="18"/>
          <w:color w:val="auto"/>
        </w:rPr>
        <w:t>103,228 Adjustments: Accretion on convertible</w:t>
      </w:r>
    </w:p>
    <w:p>
      <w:pPr>
        <w:jc w:val="center"/>
        <w:ind w:right="4419"/>
        <w:spacing w:after="0"/>
        <w:rPr>
          <w:sz w:val="20"/>
          <w:szCs w:val="20"/>
          <w:color w:val="auto"/>
        </w:rPr>
      </w:pPr>
      <w:r>
        <w:rPr>
          <w:rFonts w:ascii="Courier New" w:cs="Courier New" w:eastAsia="Courier New" w:hAnsi="Courier New"/>
          <w:sz w:val="18"/>
          <w:szCs w:val="18"/>
          <w:color w:val="auto"/>
        </w:rPr>
        <w:t>debentures due to related</w:t>
      </w:r>
    </w:p>
    <w:p>
      <w:pPr>
        <w:spacing w:after="0" w:line="238" w:lineRule="auto"/>
        <w:rPr>
          <w:sz w:val="20"/>
          <w:szCs w:val="20"/>
          <w:color w:val="auto"/>
        </w:rPr>
      </w:pPr>
      <w:r>
        <w:rPr>
          <w:rFonts w:ascii="Courier New" w:cs="Courier New" w:eastAsia="Courier New" w:hAnsi="Courier New"/>
          <w:sz w:val="18"/>
          <w:szCs w:val="18"/>
          <w:color w:val="auto"/>
        </w:rPr>
        <w:t>party(a)...............................................</w:t>
      </w:r>
    </w:p>
    <w:p>
      <w:pPr>
        <w:jc w:val="center"/>
        <w:ind w:right="4419"/>
        <w:spacing w:after="0"/>
        <w:rPr>
          <w:sz w:val="20"/>
          <w:szCs w:val="20"/>
          <w:color w:val="auto"/>
        </w:rPr>
      </w:pPr>
      <w:r>
        <w:rPr>
          <w:rFonts w:ascii="Courier New" w:cs="Courier New" w:eastAsia="Courier New" w:hAnsi="Courier New"/>
          <w:sz w:val="18"/>
          <w:szCs w:val="18"/>
          <w:color w:val="auto"/>
        </w:rPr>
        <w:t>6,365 908 Option on convertible debentures due to</w:t>
      </w:r>
    </w:p>
    <w:p>
      <w:pPr>
        <w:jc w:val="center"/>
        <w:ind w:right="4419"/>
        <w:spacing w:after="0" w:line="238" w:lineRule="auto"/>
        <w:rPr>
          <w:sz w:val="20"/>
          <w:szCs w:val="20"/>
          <w:color w:val="auto"/>
        </w:rPr>
      </w:pPr>
      <w:r>
        <w:rPr>
          <w:rFonts w:ascii="Courier New" w:cs="Courier New" w:eastAsia="Courier New" w:hAnsi="Courier New"/>
          <w:sz w:val="18"/>
          <w:szCs w:val="18"/>
          <w:color w:val="auto"/>
        </w:rPr>
        <w:t>related</w:t>
      </w:r>
    </w:p>
    <w:p>
      <w:pPr>
        <w:spacing w:after="0"/>
        <w:rPr>
          <w:sz w:val="20"/>
          <w:szCs w:val="20"/>
          <w:color w:val="auto"/>
        </w:rPr>
      </w:pPr>
      <w:r>
        <w:rPr>
          <w:rFonts w:ascii="Courier New" w:cs="Courier New" w:eastAsia="Courier New" w:hAnsi="Courier New"/>
          <w:sz w:val="18"/>
          <w:szCs w:val="18"/>
          <w:color w:val="auto"/>
        </w:rPr>
        <w:t>party(a)...............................................</w:t>
      </w:r>
    </w:p>
    <w:p>
      <w:pPr>
        <w:ind w:left="580"/>
        <w:spacing w:after="0" w:line="238" w:lineRule="auto"/>
        <w:rPr>
          <w:sz w:val="20"/>
          <w:szCs w:val="20"/>
          <w:color w:val="auto"/>
        </w:rPr>
      </w:pPr>
      <w:r>
        <w:rPr>
          <w:rFonts w:ascii="Courier New" w:cs="Courier New" w:eastAsia="Courier New" w:hAnsi="Courier New"/>
          <w:sz w:val="18"/>
          <w:szCs w:val="18"/>
          <w:color w:val="auto"/>
        </w:rPr>
        <w:t>(37,960) (18,659) Capitalization of training</w:t>
      </w:r>
    </w:p>
    <w:tbl>
      <w:tblPr>
        <w:tblLayout w:type="fixed"/>
        <w:tblInd w:w="60" w:type="dxa"/>
        <w:tblCellMar>
          <w:top w:w="0" w:type="dxa"/>
          <w:left w:w="0" w:type="dxa"/>
          <w:bottom w:w="0" w:type="dxa"/>
          <w:right w:w="0" w:type="dxa"/>
        </w:tblCellMar>
      </w:tblPr>
      <w:tr>
        <w:trPr>
          <w:trHeight w:val="349"/>
        </w:trPr>
        <w:tc>
          <w:tcPr>
            <w:tcW w:w="1480" w:type="dxa"/>
            <w:vAlign w:val="bottom"/>
          </w:tcPr>
          <w:p>
            <w:pPr>
              <w:jc w:val="right"/>
              <w:spacing w:after="0"/>
              <w:rPr>
                <w:sz w:val="20"/>
                <w:szCs w:val="20"/>
                <w:color w:val="auto"/>
              </w:rPr>
            </w:pPr>
            <w:r>
              <w:rPr>
                <w:rFonts w:ascii="Courier New" w:cs="Courier New" w:eastAsia="Courier New" w:hAnsi="Courier New"/>
                <w:sz w:val="12"/>
                <w:szCs w:val="12"/>
                <w:color w:val="auto"/>
                <w:w w:val="74"/>
                <w:vertAlign w:val="superscript"/>
              </w:rPr>
              <w:t>costs(b)</w:t>
            </w:r>
            <w:r>
              <w:rPr>
                <w:rFonts w:ascii="Courier New" w:cs="Courier New" w:eastAsia="Courier New" w:hAnsi="Courier New"/>
                <w:sz w:val="9"/>
                <w:szCs w:val="9"/>
                <w:color w:val="auto"/>
                <w:w w:val="74"/>
              </w:rPr>
              <w:t>.............................</w:t>
            </w:r>
          </w:p>
        </w:tc>
        <w:tc>
          <w:tcPr>
            <w:tcW w:w="2360" w:type="dxa"/>
            <w:vAlign w:val="bottom"/>
            <w:vMerge w:val="restart"/>
          </w:tcPr>
          <w:p>
            <w:pPr>
              <w:jc w:val="right"/>
              <w:spacing w:after="0"/>
              <w:rPr>
                <w:sz w:val="20"/>
                <w:szCs w:val="20"/>
                <w:color w:val="auto"/>
              </w:rPr>
            </w:pPr>
            <w:r>
              <w:rPr>
                <w:rFonts w:ascii="Courier New" w:cs="Courier New" w:eastAsia="Courier New" w:hAnsi="Courier New"/>
                <w:sz w:val="13"/>
                <w:szCs w:val="13"/>
                <w:color w:val="auto"/>
                <w:w w:val="71"/>
              </w:rPr>
              <w:t>.......................</w:t>
            </w:r>
            <w:r>
              <w:rPr>
                <w:rFonts w:ascii="Courier New" w:cs="Courier New" w:eastAsia="Courier New" w:hAnsi="Courier New"/>
                <w:sz w:val="23"/>
                <w:szCs w:val="23"/>
                <w:color w:val="auto"/>
                <w:w w:val="71"/>
                <w:vertAlign w:val="subscript"/>
              </w:rPr>
              <w:t>Capitalizationof</w:t>
            </w:r>
          </w:p>
        </w:tc>
        <w:tc>
          <w:tcPr>
            <w:tcW w:w="184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(3,243) --</w:t>
            </w:r>
          </w:p>
        </w:tc>
        <w:tc>
          <w:tcPr>
            <w:tcW w:w="0" w:type="dxa"/>
            <w:vAlign w:val="bottom"/>
          </w:tcPr>
          <w:p>
            <w:pPr>
              <w:spacing w:after="0"/>
              <w:rPr>
                <w:sz w:val="1"/>
                <w:szCs w:val="1"/>
                <w:color w:val="auto"/>
              </w:rPr>
            </w:pPr>
          </w:p>
        </w:tc>
      </w:tr>
      <w:tr>
        <w:trPr>
          <w:trHeight w:val="167"/>
        </w:trPr>
        <w:tc>
          <w:tcPr>
            <w:tcW w:w="1480" w:type="dxa"/>
            <w:vAlign w:val="bottom"/>
            <w:vMerge w:val="restart"/>
          </w:tcPr>
          <w:p>
            <w:pPr>
              <w:jc w:val="right"/>
              <w:ind w:right="247"/>
              <w:spacing w:after="0"/>
              <w:rPr>
                <w:sz w:val="20"/>
                <w:szCs w:val="20"/>
                <w:color w:val="auto"/>
              </w:rPr>
            </w:pPr>
            <w:r>
              <w:rPr>
                <w:rFonts w:ascii="Courier New" w:cs="Courier New" w:eastAsia="Courier New" w:hAnsi="Courier New"/>
                <w:sz w:val="18"/>
                <w:szCs w:val="18"/>
                <w:color w:val="auto"/>
                <w:w w:val="95"/>
              </w:rPr>
              <w:t>interest(c)</w:t>
            </w:r>
          </w:p>
        </w:tc>
        <w:tc>
          <w:tcPr>
            <w:tcW w:w="2360" w:type="dxa"/>
            <w:vAlign w:val="bottom"/>
            <w:vMerge w:val="continue"/>
          </w:tcPr>
          <w:p>
            <w:pPr>
              <w:spacing w:after="0"/>
              <w:rPr>
                <w:sz w:val="14"/>
                <w:szCs w:val="14"/>
                <w:color w:val="auto"/>
              </w:rPr>
            </w:pPr>
          </w:p>
        </w:tc>
        <w:tc>
          <w:tcPr>
            <w:tcW w:w="18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2,688 79 ----</w:t>
            </w:r>
          </w:p>
        </w:tc>
        <w:tc>
          <w:tcPr>
            <w:tcW w:w="0" w:type="dxa"/>
            <w:vAlign w:val="bottom"/>
          </w:tcPr>
          <w:p>
            <w:pPr>
              <w:spacing w:after="0"/>
              <w:rPr>
                <w:sz w:val="1"/>
                <w:szCs w:val="1"/>
                <w:color w:val="auto"/>
              </w:rPr>
            </w:pPr>
          </w:p>
        </w:tc>
      </w:tr>
      <w:tr>
        <w:trPr>
          <w:trHeight w:val="60"/>
        </w:trPr>
        <w:tc>
          <w:tcPr>
            <w:tcW w:w="1480" w:type="dxa"/>
            <w:vAlign w:val="bottom"/>
            <w:vMerge w:val="continue"/>
          </w:tcPr>
          <w:p>
            <w:pPr>
              <w:spacing w:after="0"/>
              <w:rPr>
                <w:sz w:val="5"/>
                <w:szCs w:val="5"/>
                <w:color w:val="auto"/>
              </w:rPr>
            </w:pPr>
          </w:p>
        </w:tc>
        <w:tc>
          <w:tcPr>
            <w:tcW w:w="2360" w:type="dxa"/>
            <w:vAlign w:val="bottom"/>
          </w:tcPr>
          <w:p>
            <w:pPr>
              <w:spacing w:after="0"/>
              <w:rPr>
                <w:sz w:val="5"/>
                <w:szCs w:val="5"/>
                <w:color w:val="auto"/>
              </w:rPr>
            </w:pPr>
          </w:p>
        </w:tc>
        <w:tc>
          <w:tcPr>
            <w:tcW w:w="1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5680" w:type="dxa"/>
            <w:vAlign w:val="bottom"/>
            <w:gridSpan w:val="3"/>
          </w:tcPr>
          <w:p>
            <w:pPr>
              <w:jc w:val="right"/>
              <w:ind w:right="272"/>
              <w:spacing w:after="0" w:line="203" w:lineRule="exact"/>
              <w:rPr>
                <w:sz w:val="20"/>
                <w:szCs w:val="20"/>
                <w:color w:val="auto"/>
              </w:rPr>
            </w:pPr>
            <w:r>
              <w:rPr>
                <w:rFonts w:ascii="Courier New" w:cs="Courier New" w:eastAsia="Courier New" w:hAnsi="Courier New"/>
                <w:sz w:val="18"/>
                <w:szCs w:val="18"/>
                <w:color w:val="auto"/>
              </w:rPr>
              <w:t>--- ------- UNITED STATES GAAP -- SHAREHOLDERS'</w:t>
            </w:r>
          </w:p>
        </w:tc>
        <w:tc>
          <w:tcPr>
            <w:tcW w:w="0" w:type="dxa"/>
            <w:vAlign w:val="bottom"/>
          </w:tcPr>
          <w:p>
            <w:pPr>
              <w:spacing w:after="0"/>
              <w:rPr>
                <w:sz w:val="1"/>
                <w:szCs w:val="1"/>
                <w:color w:val="auto"/>
              </w:rPr>
            </w:pPr>
          </w:p>
        </w:tc>
      </w:tr>
      <w:tr>
        <w:trPr>
          <w:trHeight w:val="203"/>
        </w:trPr>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w w:val="72"/>
              </w:rPr>
              <w:t>EQUITY..................</w:t>
            </w:r>
          </w:p>
        </w:tc>
        <w:tc>
          <w:tcPr>
            <w:tcW w:w="2360" w:type="dxa"/>
            <w:vAlign w:val="bottom"/>
          </w:tcPr>
          <w:p>
            <w:pPr>
              <w:jc w:val="right"/>
              <w:ind w:right="19"/>
              <w:spacing w:after="0" w:line="203" w:lineRule="exact"/>
              <w:rPr>
                <w:sz w:val="20"/>
                <w:szCs w:val="20"/>
                <w:color w:val="auto"/>
              </w:rPr>
            </w:pPr>
            <w:r>
              <w:rPr>
                <w:rFonts w:ascii="Courier New" w:cs="Courier New" w:eastAsia="Courier New" w:hAnsi="Courier New"/>
                <w:sz w:val="18"/>
                <w:szCs w:val="18"/>
                <w:color w:val="auto"/>
              </w:rPr>
              <w:t>159,047</w:t>
            </w:r>
          </w:p>
        </w:tc>
        <w:tc>
          <w:tcPr>
            <w:tcW w:w="18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6"/>
              </w:rPr>
              <w:t>85,556 =======</w:t>
            </w:r>
          </w:p>
        </w:tc>
        <w:tc>
          <w:tcPr>
            <w:tcW w:w="0" w:type="dxa"/>
            <w:vAlign w:val="bottom"/>
          </w:tcPr>
          <w:p>
            <w:pPr>
              <w:spacing w:after="0"/>
              <w:rPr>
                <w:sz w:val="1"/>
                <w:szCs w:val="1"/>
                <w:color w:val="auto"/>
              </w:rPr>
            </w:pPr>
          </w:p>
        </w:tc>
      </w:tr>
      <w:tr>
        <w:trPr>
          <w:trHeight w:val="296"/>
        </w:trPr>
        <w:tc>
          <w:tcPr>
            <w:tcW w:w="1480" w:type="dxa"/>
            <w:vAlign w:val="bottom"/>
          </w:tcPr>
          <w:p>
            <w:pPr>
              <w:spacing w:after="0"/>
              <w:rPr>
                <w:sz w:val="24"/>
                <w:szCs w:val="24"/>
                <w:color w:val="auto"/>
              </w:rPr>
            </w:pPr>
          </w:p>
        </w:tc>
        <w:tc>
          <w:tcPr>
            <w:tcW w:w="2360" w:type="dxa"/>
            <w:vAlign w:val="bottom"/>
          </w:tcPr>
          <w:p>
            <w:pPr>
              <w:jc w:val="right"/>
              <w:ind w:right="539"/>
              <w:spacing w:after="0"/>
              <w:rPr>
                <w:sz w:val="20"/>
                <w:szCs w:val="20"/>
                <w:color w:val="auto"/>
              </w:rPr>
            </w:pPr>
            <w:r>
              <w:rPr>
                <w:rFonts w:ascii="Courier New" w:cs="Courier New" w:eastAsia="Courier New" w:hAnsi="Courier New"/>
                <w:sz w:val="18"/>
                <w:szCs w:val="18"/>
                <w:color w:val="auto"/>
              </w:rPr>
              <w:t>=======</w:t>
            </w: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Accretion on convertible debentures due to related party</w:t>
      </w:r>
    </w:p>
    <w:p>
      <w:pPr>
        <w:spacing w:after="0" w:line="31" w:lineRule="exact"/>
        <w:rPr>
          <w:sz w:val="20"/>
          <w:szCs w:val="20"/>
          <w:color w:val="auto"/>
        </w:rPr>
      </w:pPr>
    </w:p>
    <w:p>
      <w:pPr>
        <w:ind w:left="540" w:right="1779"/>
        <w:spacing w:after="0" w:line="252" w:lineRule="auto"/>
        <w:rPr>
          <w:sz w:val="20"/>
          <w:szCs w:val="20"/>
          <w:color w:val="auto"/>
        </w:rPr>
      </w:pPr>
      <w:r>
        <w:rPr>
          <w:rFonts w:ascii="Courier New" w:cs="Courier New" w:eastAsia="Courier New" w:hAnsi="Courier New"/>
          <w:sz w:val="18"/>
          <w:szCs w:val="18"/>
          <w:color w:val="auto"/>
        </w:rPr>
        <w:t>Under Canadian GAAP the issuer of financial instruments that contain both a liability and an equity component must separate and classify the instruments according to their nature. Under United States GAAP, the issuer is not required to separate such financial instruments. Consequently, the accretion on convertible debentures due to related party is added back to United States GAAP net earnings.</w:t>
      </w:r>
    </w:p>
    <w:p>
      <w:pPr>
        <w:spacing w:after="0" w:line="1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 Capitalization of training costs</w:t>
      </w:r>
    </w:p>
    <w:p>
      <w:pPr>
        <w:spacing w:after="0" w:line="31" w:lineRule="exact"/>
        <w:rPr>
          <w:sz w:val="20"/>
          <w:szCs w:val="20"/>
          <w:color w:val="auto"/>
        </w:rPr>
      </w:pPr>
    </w:p>
    <w:p>
      <w:pPr>
        <w:ind w:left="540" w:right="1779"/>
        <w:spacing w:after="0" w:line="273" w:lineRule="auto"/>
        <w:rPr>
          <w:sz w:val="20"/>
          <w:szCs w:val="20"/>
          <w:color w:val="auto"/>
        </w:rPr>
      </w:pPr>
      <w:r>
        <w:rPr>
          <w:rFonts w:ascii="Courier New" w:cs="Courier New" w:eastAsia="Courier New" w:hAnsi="Courier New"/>
          <w:sz w:val="18"/>
          <w:szCs w:val="18"/>
          <w:color w:val="auto"/>
        </w:rPr>
        <w:t>Under Canadian GAAP, training costs incurred in the development of internal-use software is capitalized. Under United States GAAP, these costs are expensed as incurred.</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 Capitalization of interest expense</w:t>
      </w:r>
    </w:p>
    <w:p>
      <w:pPr>
        <w:spacing w:after="0" w:line="31" w:lineRule="exact"/>
        <w:rPr>
          <w:sz w:val="20"/>
          <w:szCs w:val="20"/>
          <w:color w:val="auto"/>
        </w:rPr>
      </w:pPr>
    </w:p>
    <w:p>
      <w:pPr>
        <w:ind w:left="540" w:right="1999"/>
        <w:spacing w:after="0" w:line="323" w:lineRule="auto"/>
        <w:rPr>
          <w:sz w:val="20"/>
          <w:szCs w:val="20"/>
          <w:color w:val="auto"/>
        </w:rPr>
      </w:pPr>
      <w:r>
        <w:rPr>
          <w:rFonts w:ascii="Courier New" w:cs="Courier New" w:eastAsia="Courier New" w:hAnsi="Courier New"/>
          <w:sz w:val="16"/>
          <w:szCs w:val="16"/>
          <w:color w:val="auto"/>
        </w:rPr>
        <w:t>Under United States GAAP interest expense related to internally developed capital assets must be capitalized. Canadian GAAP makes no such requirements and therefore, Certen has expensed all interest costs.</w:t>
      </w:r>
    </w:p>
    <w:p>
      <w:pPr>
        <w:spacing w:after="0" w:line="47" w:lineRule="exact"/>
        <w:rPr>
          <w:sz w:val="20"/>
          <w:szCs w:val="20"/>
          <w:color w:val="auto"/>
        </w:rPr>
      </w:pPr>
    </w:p>
    <w:p>
      <w:pPr>
        <w:ind w:left="540" w:hanging="532"/>
        <w:spacing w:after="0"/>
        <w:tabs>
          <w:tab w:leader="none" w:pos="540" w:val="left"/>
        </w:tabs>
        <w:numPr>
          <w:ilvl w:val="0"/>
          <w:numId w:val="1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SUBSEQUENT EVENTS</w:t>
      </w:r>
    </w:p>
    <w:p>
      <w:pPr>
        <w:spacing w:after="0" w:line="201" w:lineRule="exact"/>
        <w:rPr>
          <w:sz w:val="20"/>
          <w:szCs w:val="20"/>
          <w:color w:val="auto"/>
        </w:rPr>
      </w:pPr>
    </w:p>
    <w:p>
      <w:pPr>
        <w:ind w:right="1779" w:firstLine="527"/>
        <w:spacing w:after="0" w:line="292" w:lineRule="auto"/>
        <w:rPr>
          <w:sz w:val="20"/>
          <w:szCs w:val="20"/>
          <w:color w:val="auto"/>
        </w:rPr>
      </w:pPr>
      <w:r>
        <w:rPr>
          <w:rFonts w:ascii="Courier New" w:cs="Courier New" w:eastAsia="Courier New" w:hAnsi="Courier New"/>
          <w:sz w:val="18"/>
          <w:szCs w:val="18"/>
          <w:color w:val="auto"/>
        </w:rPr>
        <w:t>On July 1, 2003, 126 employees transferred from the Company to Bell Canada. Management is currently assessing the impact of such a transfer on the accrued benefit asset and accrued benefit liability.</w:t>
      </w:r>
    </w:p>
    <w:p>
      <w:pPr>
        <w:spacing w:after="0" w:line="66" w:lineRule="exact"/>
        <w:rPr>
          <w:sz w:val="20"/>
          <w:szCs w:val="20"/>
          <w:color w:val="auto"/>
        </w:rPr>
      </w:pPr>
    </w:p>
    <w:p>
      <w:pPr>
        <w:ind w:right="1779" w:firstLine="527"/>
        <w:spacing w:after="0" w:line="318" w:lineRule="auto"/>
        <w:rPr>
          <w:sz w:val="20"/>
          <w:szCs w:val="20"/>
          <w:color w:val="auto"/>
        </w:rPr>
      </w:pPr>
      <w:r>
        <w:rPr>
          <w:rFonts w:ascii="Courier New" w:cs="Courier New" w:eastAsia="Courier New" w:hAnsi="Courier New"/>
          <w:sz w:val="16"/>
          <w:szCs w:val="16"/>
          <w:color w:val="auto"/>
        </w:rPr>
        <w:t>On July 2, 2003, Amdocs Limited announced the completion of its acquisition of Bell Canada's ownership interest in Certen (subsequently renamed Amdocs Canadian Managed Services Inc.). As part of this transaction, Certen will extend the terms of its billing operations outsourcing agreement with Bell</w:t>
      </w:r>
    </w:p>
    <w:p>
      <w:pPr>
        <w:spacing w:after="0" w:line="5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F-53</w:t>
      </w:r>
    </w:p>
    <w:p>
      <w:pPr>
        <w:sectPr>
          <w:pgSz w:w="11900" w:h="16838" w:orient="portrait"/>
          <w:cols w:equalWidth="0" w:num="1">
            <w:col w:w="10219"/>
          </w:cols>
          <w:pgMar w:left="240" w:top="488" w:right="1440" w:bottom="0" w:gutter="0" w:footer="0" w:header="0"/>
        </w:sectPr>
      </w:pPr>
    </w:p>
    <w:bookmarkStart w:id="141" w:name="page142"/>
    <w:bookmarkEnd w:id="141"/>
    <w:p>
      <w:pPr>
        <w:jc w:val="center"/>
        <w:ind w:right="1879"/>
        <w:spacing w:after="0"/>
        <w:rPr>
          <w:sz w:val="20"/>
          <w:szCs w:val="20"/>
          <w:color w:val="auto"/>
        </w:rPr>
      </w:pPr>
      <w:r>
        <w:rPr>
          <w:rFonts w:ascii="Courier New" w:cs="Courier New" w:eastAsia="Courier New" w:hAnsi="Courier New"/>
          <w:sz w:val="18"/>
          <w:szCs w:val="18"/>
          <w:color w:val="auto"/>
        </w:rPr>
        <w:t>CERTEN INC.</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NOTES TO THE FINANCIAL STATEMENTS -- (CONTINUED)</w:t>
      </w:r>
    </w:p>
    <w:p>
      <w:pPr>
        <w:spacing w:after="0" w:line="201" w:lineRule="exact"/>
        <w:rPr>
          <w:sz w:val="20"/>
          <w:szCs w:val="20"/>
          <w:color w:val="auto"/>
        </w:rPr>
      </w:pPr>
    </w:p>
    <w:p>
      <w:pPr>
        <w:ind w:right="1999"/>
        <w:spacing w:after="0" w:line="347" w:lineRule="auto"/>
        <w:rPr>
          <w:sz w:val="20"/>
          <w:szCs w:val="20"/>
          <w:color w:val="auto"/>
        </w:rPr>
      </w:pPr>
      <w:r>
        <w:rPr>
          <w:rFonts w:ascii="Courier New" w:cs="Courier New" w:eastAsia="Courier New" w:hAnsi="Courier New"/>
          <w:sz w:val="18"/>
          <w:szCs w:val="18"/>
          <w:color w:val="auto"/>
        </w:rPr>
        <w:t>Canada by three years to December 2010 as per the Further Amended and Restated Master Outsourcing Services Agreement (FARMOSA).</w:t>
      </w:r>
    </w:p>
    <w:p>
      <w:pPr>
        <w:spacing w:after="0" w:line="18" w:lineRule="exact"/>
        <w:rPr>
          <w:sz w:val="20"/>
          <w:szCs w:val="20"/>
          <w:color w:val="auto"/>
        </w:rPr>
      </w:pPr>
    </w:p>
    <w:p>
      <w:pPr>
        <w:ind w:right="1879" w:firstLine="527"/>
        <w:spacing w:after="0" w:line="347" w:lineRule="auto"/>
        <w:rPr>
          <w:sz w:val="20"/>
          <w:szCs w:val="20"/>
          <w:color w:val="auto"/>
        </w:rPr>
      </w:pPr>
      <w:r>
        <w:rPr>
          <w:rFonts w:ascii="Courier New" w:cs="Courier New" w:eastAsia="Courier New" w:hAnsi="Courier New"/>
          <w:sz w:val="18"/>
          <w:szCs w:val="18"/>
          <w:color w:val="auto"/>
        </w:rPr>
        <w:t>Under the terms of the FARMOSA, Certen must maintain minimum service level standards.</w:t>
      </w:r>
    </w:p>
    <w:p>
      <w:pPr>
        <w:spacing w:after="0" w:line="1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F-54</w:t>
      </w:r>
    </w:p>
    <w:p>
      <w:pPr>
        <w:sectPr>
          <w:pgSz w:w="11900" w:h="16838" w:orient="portrait"/>
          <w:cols w:equalWidth="0" w:num="1">
            <w:col w:w="10219"/>
          </w:cols>
          <w:pgMar w:left="240" w:top="488" w:right="1440" w:bottom="1440" w:gutter="0" w:footer="0" w:header="0"/>
        </w:sectPr>
      </w:pPr>
    </w:p>
    <w:bookmarkStart w:id="142" w:name="page143"/>
    <w:bookmarkEnd w:id="142"/>
    <w:p>
      <w:pPr>
        <w:jc w:val="center"/>
        <w:ind w:right="1879"/>
        <w:spacing w:after="0"/>
        <w:rPr>
          <w:sz w:val="20"/>
          <w:szCs w:val="20"/>
          <w:color w:val="auto"/>
        </w:rPr>
      </w:pPr>
      <w:r>
        <w:rPr>
          <w:rFonts w:ascii="Courier New" w:cs="Courier New" w:eastAsia="Courier New" w:hAnsi="Courier New"/>
          <w:sz w:val="18"/>
          <w:szCs w:val="18"/>
          <w:color w:val="auto"/>
        </w:rPr>
        <w:t>CERTEN INC.</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6"/>
          <w:szCs w:val="16"/>
          <w:color w:val="auto"/>
        </w:rPr>
        <w:t>STATEMENT OF OPERATIONS AND RETAINED EARNINGS SIX-MONTH PERIOD ENDED JUNE 30,</w:t>
      </w:r>
    </w:p>
    <w:p>
      <w:pPr>
        <w:spacing w:after="0" w:line="5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2003</w:t>
      </w:r>
    </w:p>
    <w:p>
      <w:pPr>
        <w:jc w:val="center"/>
        <w:ind w:right="1779"/>
        <w:spacing w:after="0"/>
        <w:rPr>
          <w:sz w:val="20"/>
          <w:szCs w:val="20"/>
          <w:color w:val="auto"/>
        </w:rPr>
      </w:pPr>
      <w:r>
        <w:rPr>
          <w:rFonts w:ascii="Courier New" w:cs="Courier New" w:eastAsia="Courier New" w:hAnsi="Courier New"/>
          <w:sz w:val="18"/>
          <w:szCs w:val="18"/>
          <w:color w:val="auto"/>
        </w:rPr>
        <w:t>(IN THOUSANDS OF CANADIAN DOLLARS)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1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 -----------</w:t>
            </w:r>
          </w:p>
        </w:tc>
        <w:tc>
          <w:tcPr>
            <w:tcW w:w="4160" w:type="dxa"/>
            <w:vAlign w:val="bottom"/>
            <w:gridSpan w:val="4"/>
          </w:tcPr>
          <w:p>
            <w:pPr>
              <w:jc w:val="right"/>
              <w:ind w:right="872"/>
              <w:spacing w:after="0"/>
              <w:rPr>
                <w:sz w:val="20"/>
                <w:szCs w:val="20"/>
                <w:color w:val="auto"/>
              </w:rPr>
            </w:pPr>
            <w:r>
              <w:rPr>
                <w:rFonts w:ascii="Courier New" w:cs="Courier New" w:eastAsia="Courier New" w:hAnsi="Courier New"/>
                <w:sz w:val="18"/>
                <w:szCs w:val="18"/>
                <w:color w:val="auto"/>
              </w:rPr>
              <w:t>(UNAUDITED) REVENUE Billing</w:t>
            </w:r>
          </w:p>
        </w:tc>
        <w:tc>
          <w:tcPr>
            <w:tcW w:w="0" w:type="dxa"/>
            <w:vAlign w:val="bottom"/>
          </w:tcPr>
          <w:p>
            <w:pPr>
              <w:spacing w:after="0"/>
              <w:rPr>
                <w:sz w:val="1"/>
                <w:szCs w:val="1"/>
                <w:color w:val="auto"/>
              </w:rPr>
            </w:pPr>
          </w:p>
        </w:tc>
      </w:tr>
      <w:tr>
        <w:trPr>
          <w:trHeight w:val="203"/>
        </w:trPr>
        <w:tc>
          <w:tcPr>
            <w:tcW w:w="2120" w:type="dxa"/>
            <w:vAlign w:val="bottom"/>
            <w:gridSpan w:val="2"/>
          </w:tcPr>
          <w:p>
            <w:pPr>
              <w:ind w:left="120"/>
              <w:spacing w:after="0"/>
              <w:rPr>
                <w:sz w:val="20"/>
                <w:szCs w:val="20"/>
                <w:color w:val="auto"/>
              </w:rPr>
            </w:pPr>
            <w:r>
              <w:rPr>
                <w:rFonts w:ascii="Courier New" w:cs="Courier New" w:eastAsia="Courier New" w:hAnsi="Courier New"/>
                <w:sz w:val="9"/>
                <w:szCs w:val="9"/>
                <w:color w:val="auto"/>
                <w:w w:val="73"/>
              </w:rPr>
              <w:t>services..........................................</w:t>
            </w:r>
          </w:p>
        </w:tc>
        <w:tc>
          <w:tcPr>
            <w:tcW w:w="5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215,881</w:t>
            </w:r>
          </w:p>
        </w:tc>
        <w:tc>
          <w:tcPr>
            <w:tcW w:w="0" w:type="dxa"/>
            <w:vAlign w:val="bottom"/>
          </w:tcPr>
          <w:p>
            <w:pPr>
              <w:spacing w:after="0"/>
              <w:rPr>
                <w:sz w:val="1"/>
                <w:szCs w:val="1"/>
                <w:color w:val="auto"/>
              </w:rPr>
            </w:pPr>
          </w:p>
        </w:tc>
      </w:tr>
      <w:tr>
        <w:trPr>
          <w:trHeight w:val="203"/>
        </w:trPr>
        <w:tc>
          <w:tcPr>
            <w:tcW w:w="4480" w:type="dxa"/>
            <w:vAlign w:val="bottom"/>
            <w:gridSpan w:val="4"/>
          </w:tcPr>
          <w:p>
            <w:pPr>
              <w:ind w:left="120"/>
              <w:spacing w:after="0"/>
              <w:rPr>
                <w:sz w:val="20"/>
                <w:szCs w:val="20"/>
                <w:color w:val="auto"/>
              </w:rPr>
            </w:pPr>
            <w:r>
              <w:rPr>
                <w:rFonts w:ascii="Courier New" w:cs="Courier New" w:eastAsia="Courier New" w:hAnsi="Courier New"/>
                <w:sz w:val="16"/>
                <w:szCs w:val="16"/>
                <w:color w:val="auto"/>
                <w:w w:val="77"/>
              </w:rPr>
              <w:t>Professional services.....................................</w:t>
            </w: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9"/>
              </w:rPr>
              <w:t>11,799 -------</w:t>
            </w:r>
          </w:p>
        </w:tc>
        <w:tc>
          <w:tcPr>
            <w:tcW w:w="4900" w:type="dxa"/>
            <w:vAlign w:val="bottom"/>
            <w:gridSpan w:val="5"/>
          </w:tcPr>
          <w:p>
            <w:pPr>
              <w:jc w:val="right"/>
              <w:ind w:right="292"/>
              <w:spacing w:after="0" w:line="203" w:lineRule="exact"/>
              <w:rPr>
                <w:sz w:val="20"/>
                <w:szCs w:val="20"/>
                <w:color w:val="auto"/>
              </w:rPr>
            </w:pPr>
            <w:r>
              <w:rPr>
                <w:rFonts w:ascii="Courier New" w:cs="Courier New" w:eastAsia="Courier New" w:hAnsi="Courier New"/>
                <w:sz w:val="18"/>
                <w:szCs w:val="18"/>
                <w:color w:val="auto"/>
              </w:rPr>
              <w:t>227,680 Cost of services, selling and</w:t>
            </w:r>
          </w:p>
        </w:tc>
        <w:tc>
          <w:tcPr>
            <w:tcW w:w="0" w:type="dxa"/>
            <w:vAlign w:val="bottom"/>
          </w:tcPr>
          <w:p>
            <w:pPr>
              <w:spacing w:after="0"/>
              <w:rPr>
                <w:sz w:val="1"/>
                <w:szCs w:val="1"/>
                <w:color w:val="auto"/>
              </w:rPr>
            </w:pPr>
          </w:p>
        </w:tc>
      </w:tr>
      <w:tr>
        <w:trPr>
          <w:trHeight w:val="203"/>
        </w:trPr>
        <w:tc>
          <w:tcPr>
            <w:tcW w:w="270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w w:val="75"/>
              </w:rPr>
              <w:t>administrative expenses.......</w:t>
            </w:r>
          </w:p>
        </w:tc>
        <w:tc>
          <w:tcPr>
            <w:tcW w:w="3580" w:type="dxa"/>
            <w:vAlign w:val="bottom"/>
            <w:gridSpan w:val="3"/>
          </w:tcPr>
          <w:p>
            <w:pPr>
              <w:jc w:val="right"/>
              <w:ind w:right="72"/>
              <w:spacing w:after="0" w:line="203" w:lineRule="exact"/>
              <w:rPr>
                <w:sz w:val="20"/>
                <w:szCs w:val="20"/>
                <w:color w:val="auto"/>
              </w:rPr>
            </w:pPr>
            <w:r>
              <w:rPr>
                <w:rFonts w:ascii="Courier New" w:cs="Courier New" w:eastAsia="Courier New" w:hAnsi="Courier New"/>
                <w:sz w:val="18"/>
                <w:szCs w:val="18"/>
                <w:color w:val="auto"/>
              </w:rPr>
              <w:t>169,270 Net benefit plans</w:t>
            </w:r>
          </w:p>
        </w:tc>
        <w:tc>
          <w:tcPr>
            <w:tcW w:w="0" w:type="dxa"/>
            <w:vAlign w:val="bottom"/>
          </w:tcPr>
          <w:p>
            <w:pPr>
              <w:spacing w:after="0"/>
              <w:rPr>
                <w:sz w:val="1"/>
                <w:szCs w:val="1"/>
                <w:color w:val="auto"/>
              </w:rPr>
            </w:pPr>
          </w:p>
        </w:tc>
      </w:tr>
      <w:tr>
        <w:trPr>
          <w:trHeight w:val="296"/>
        </w:trPr>
        <w:tc>
          <w:tcPr>
            <w:tcW w:w="1380" w:type="dxa"/>
            <w:vAlign w:val="bottom"/>
          </w:tcPr>
          <w:p>
            <w:pPr>
              <w:ind w:left="220"/>
              <w:spacing w:after="0"/>
              <w:rPr>
                <w:sz w:val="20"/>
                <w:szCs w:val="20"/>
                <w:color w:val="auto"/>
              </w:rPr>
            </w:pPr>
            <w:r>
              <w:rPr>
                <w:rFonts w:ascii="Courier New" w:cs="Courier New" w:eastAsia="Courier New" w:hAnsi="Courier New"/>
                <w:sz w:val="5"/>
                <w:szCs w:val="5"/>
                <w:color w:val="auto"/>
                <w:w w:val="90"/>
              </w:rPr>
              <w:t>expense...................................</w:t>
            </w:r>
          </w:p>
        </w:tc>
        <w:tc>
          <w:tcPr>
            <w:tcW w:w="3100" w:type="dxa"/>
            <w:vAlign w:val="bottom"/>
            <w:gridSpan w:val="3"/>
            <w:vMerge w:val="restart"/>
          </w:tcPr>
          <w:p>
            <w:pPr>
              <w:jc w:val="center"/>
              <w:ind w:left="392"/>
              <w:spacing w:after="0"/>
              <w:rPr>
                <w:sz w:val="20"/>
                <w:szCs w:val="20"/>
                <w:color w:val="auto"/>
              </w:rPr>
            </w:pPr>
            <w:r>
              <w:rPr>
                <w:rFonts w:ascii="Courier New" w:cs="Courier New" w:eastAsia="Courier New" w:hAnsi="Courier New"/>
                <w:sz w:val="18"/>
                <w:szCs w:val="18"/>
                <w:color w:val="auto"/>
                <w:w w:val="97"/>
              </w:rPr>
              <w:t>Operating earnings before</w:t>
            </w:r>
          </w:p>
        </w:tc>
        <w:tc>
          <w:tcPr>
            <w:tcW w:w="100" w:type="dxa"/>
            <w:vAlign w:val="bottom"/>
          </w:tcPr>
          <w:p>
            <w:pPr>
              <w:spacing w:after="0"/>
              <w:rPr>
                <w:sz w:val="24"/>
                <w:szCs w:val="24"/>
                <w:color w:val="auto"/>
              </w:rPr>
            </w:pPr>
          </w:p>
        </w:tc>
        <w:tc>
          <w:tcPr>
            <w:tcW w:w="17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2,139 -------</w:t>
            </w:r>
          </w:p>
        </w:tc>
        <w:tc>
          <w:tcPr>
            <w:tcW w:w="0" w:type="dxa"/>
            <w:vAlign w:val="bottom"/>
          </w:tcPr>
          <w:p>
            <w:pPr>
              <w:spacing w:after="0"/>
              <w:rPr>
                <w:sz w:val="1"/>
                <w:szCs w:val="1"/>
                <w:color w:val="auto"/>
              </w:rPr>
            </w:pPr>
          </w:p>
        </w:tc>
      </w:tr>
      <w:tr>
        <w:trPr>
          <w:trHeight w:val="109"/>
        </w:trPr>
        <w:tc>
          <w:tcPr>
            <w:tcW w:w="1380" w:type="dxa"/>
            <w:vAlign w:val="bottom"/>
          </w:tcPr>
          <w:p>
            <w:pPr>
              <w:spacing w:after="0"/>
              <w:rPr>
                <w:sz w:val="9"/>
                <w:szCs w:val="9"/>
                <w:color w:val="auto"/>
              </w:rPr>
            </w:pPr>
          </w:p>
        </w:tc>
        <w:tc>
          <w:tcPr>
            <w:tcW w:w="310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1700" w:type="dxa"/>
            <w:vAlign w:val="bottom"/>
            <w:vMerge w:val="restart"/>
          </w:tcPr>
          <w:p>
            <w:pPr>
              <w:jc w:val="right"/>
              <w:ind w:right="872"/>
              <w:spacing w:after="0"/>
              <w:rPr>
                <w:sz w:val="20"/>
                <w:szCs w:val="20"/>
                <w:color w:val="auto"/>
              </w:rPr>
            </w:pPr>
            <w:r>
              <w:rPr>
                <w:rFonts w:ascii="Courier New" w:cs="Courier New" w:eastAsia="Courier New" w:hAnsi="Courier New"/>
                <w:sz w:val="18"/>
                <w:szCs w:val="18"/>
                <w:color w:val="auto"/>
              </w:rPr>
              <w:t>56,271</w:t>
            </w:r>
          </w:p>
        </w:tc>
        <w:tc>
          <w:tcPr>
            <w:tcW w:w="0" w:type="dxa"/>
            <w:vAlign w:val="bottom"/>
          </w:tcPr>
          <w:p>
            <w:pPr>
              <w:spacing w:after="0"/>
              <w:rPr>
                <w:sz w:val="1"/>
                <w:szCs w:val="1"/>
                <w:color w:val="auto"/>
              </w:rPr>
            </w:pPr>
          </w:p>
        </w:tc>
      </w:tr>
      <w:tr>
        <w:trPr>
          <w:trHeight w:val="203"/>
        </w:trPr>
        <w:tc>
          <w:tcPr>
            <w:tcW w:w="2700" w:type="dxa"/>
            <w:vAlign w:val="bottom"/>
            <w:gridSpan w:val="3"/>
          </w:tcPr>
          <w:p>
            <w:pPr>
              <w:ind w:left="1000"/>
              <w:spacing w:after="0"/>
              <w:rPr>
                <w:sz w:val="20"/>
                <w:szCs w:val="20"/>
                <w:color w:val="auto"/>
              </w:rPr>
            </w:pPr>
            <w:r>
              <w:rPr>
                <w:rFonts w:ascii="Courier New" w:cs="Courier New" w:eastAsia="Courier New" w:hAnsi="Courier New"/>
                <w:sz w:val="11"/>
                <w:szCs w:val="11"/>
                <w:color w:val="auto"/>
                <w:w w:val="74"/>
              </w:rPr>
              <w:t>undernoted........................</w:t>
            </w: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81"/>
        </w:trPr>
        <w:tc>
          <w:tcPr>
            <w:tcW w:w="2120" w:type="dxa"/>
            <w:vAlign w:val="bottom"/>
            <w:gridSpan w:val="2"/>
          </w:tcPr>
          <w:p>
            <w:pPr>
              <w:spacing w:after="0"/>
              <w:rPr>
                <w:sz w:val="20"/>
                <w:szCs w:val="20"/>
                <w:color w:val="auto"/>
              </w:rPr>
            </w:pPr>
            <w:r>
              <w:rPr>
                <w:rFonts w:ascii="Courier New" w:cs="Courier New" w:eastAsia="Courier New" w:hAnsi="Courier New"/>
                <w:sz w:val="4"/>
                <w:szCs w:val="4"/>
                <w:color w:val="auto"/>
                <w:w w:val="79"/>
                <w:vertAlign w:val="superscript"/>
              </w:rPr>
              <w:t>Amortization</w:t>
            </w:r>
            <w:r>
              <w:rPr>
                <w:rFonts w:ascii="Courier New" w:cs="Courier New" w:eastAsia="Courier New" w:hAnsi="Courier New"/>
                <w:sz w:val="4"/>
                <w:szCs w:val="4"/>
                <w:color w:val="auto"/>
                <w:w w:val="79"/>
                <w:vertAlign w:val="subscript"/>
              </w:rPr>
              <w:t>..............................................</w:t>
            </w:r>
            <w:r>
              <w:rPr>
                <w:rFonts w:ascii="Courier New" w:cs="Courier New" w:eastAsia="Courier New" w:hAnsi="Courier New"/>
                <w:sz w:val="2"/>
                <w:szCs w:val="2"/>
                <w:color w:val="auto"/>
                <w:w w:val="79"/>
              </w:rPr>
              <w:t>........................................</w:t>
            </w:r>
            <w:r>
              <w:rPr>
                <w:rFonts w:ascii="Courier New" w:cs="Courier New" w:eastAsia="Courier New" w:hAnsi="Courier New"/>
                <w:sz w:val="4"/>
                <w:szCs w:val="4"/>
                <w:color w:val="auto"/>
                <w:w w:val="79"/>
                <w:vertAlign w:val="subscript"/>
              </w:rPr>
              <w:t>.............................</w:t>
            </w:r>
            <w:r>
              <w:rPr>
                <w:rFonts w:ascii="Courier New" w:cs="Courier New" w:eastAsia="Courier New" w:hAnsi="Courier New"/>
                <w:sz w:val="4"/>
                <w:szCs w:val="4"/>
                <w:color w:val="auto"/>
                <w:w w:val="79"/>
                <w:vertAlign w:val="superscript"/>
              </w:rPr>
              <w:t>................................................</w:t>
            </w:r>
          </w:p>
        </w:tc>
        <w:tc>
          <w:tcPr>
            <w:tcW w:w="2360" w:type="dxa"/>
            <w:vAlign w:val="bottom"/>
            <w:gridSpan w:val="2"/>
            <w:vMerge w:val="restart"/>
          </w:tcPr>
          <w:p>
            <w:pPr>
              <w:jc w:val="center"/>
              <w:ind w:right="172"/>
              <w:spacing w:after="0"/>
              <w:rPr>
                <w:sz w:val="20"/>
                <w:szCs w:val="20"/>
                <w:color w:val="auto"/>
              </w:rPr>
            </w:pPr>
            <w:r>
              <w:rPr>
                <w:rFonts w:ascii="Courier New" w:cs="Courier New" w:eastAsia="Courier New" w:hAnsi="Courier New"/>
                <w:sz w:val="18"/>
                <w:szCs w:val="18"/>
                <w:color w:val="auto"/>
                <w:w w:val="97"/>
              </w:rPr>
              <w:t>56,453 Restructuring</w:t>
            </w: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380" w:type="dxa"/>
            <w:vAlign w:val="bottom"/>
            <w:vMerge w:val="restart"/>
          </w:tcPr>
          <w:p>
            <w:pPr>
              <w:ind w:left="160"/>
              <w:spacing w:after="0"/>
              <w:rPr>
                <w:sz w:val="20"/>
                <w:szCs w:val="20"/>
                <w:color w:val="auto"/>
              </w:rPr>
            </w:pPr>
            <w:r>
              <w:rPr>
                <w:rFonts w:ascii="Courier New" w:cs="Courier New" w:eastAsia="Courier New" w:hAnsi="Courier New"/>
                <w:sz w:val="18"/>
                <w:szCs w:val="18"/>
                <w:color w:val="auto"/>
              </w:rPr>
              <w:t>charge</w:t>
            </w:r>
          </w:p>
        </w:tc>
        <w:tc>
          <w:tcPr>
            <w:tcW w:w="740" w:type="dxa"/>
            <w:vAlign w:val="bottom"/>
          </w:tcPr>
          <w:p>
            <w:pPr>
              <w:spacing w:after="0"/>
              <w:rPr>
                <w:sz w:val="10"/>
                <w:szCs w:val="10"/>
                <w:color w:val="auto"/>
              </w:rPr>
            </w:pPr>
          </w:p>
        </w:tc>
        <w:tc>
          <w:tcPr>
            <w:tcW w:w="23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70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80 -------</w:t>
            </w:r>
          </w:p>
        </w:tc>
        <w:tc>
          <w:tcPr>
            <w:tcW w:w="0" w:type="dxa"/>
            <w:vAlign w:val="bottom"/>
          </w:tcPr>
          <w:p>
            <w:pPr>
              <w:spacing w:after="0"/>
              <w:rPr>
                <w:sz w:val="1"/>
                <w:szCs w:val="1"/>
                <w:color w:val="auto"/>
              </w:rPr>
            </w:pPr>
          </w:p>
        </w:tc>
      </w:tr>
      <w:tr>
        <w:trPr>
          <w:trHeight w:val="203"/>
        </w:trPr>
        <w:tc>
          <w:tcPr>
            <w:tcW w:w="1380" w:type="dxa"/>
            <w:vAlign w:val="bottom"/>
            <w:vMerge w:val="continue"/>
          </w:tcPr>
          <w:p>
            <w:pPr>
              <w:spacing w:after="0"/>
              <w:rPr>
                <w:sz w:val="17"/>
                <w:szCs w:val="17"/>
                <w:color w:val="auto"/>
              </w:rPr>
            </w:pP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780" w:type="dxa"/>
            <w:vAlign w:val="bottom"/>
            <w:vMerge w:val="restart"/>
          </w:tcPr>
          <w:p>
            <w:pPr>
              <w:jc w:val="center"/>
              <w:ind w:right="752"/>
              <w:spacing w:after="0"/>
              <w:rPr>
                <w:sz w:val="20"/>
                <w:szCs w:val="20"/>
                <w:color w:val="auto"/>
              </w:rPr>
            </w:pPr>
            <w:r>
              <w:rPr>
                <w:rFonts w:ascii="Courier New" w:cs="Courier New" w:eastAsia="Courier New" w:hAnsi="Courier New"/>
                <w:sz w:val="18"/>
                <w:szCs w:val="18"/>
                <w:color w:val="auto"/>
                <w:w w:val="96"/>
              </w:rPr>
              <w:t>Operating</w:t>
            </w:r>
          </w:p>
        </w:tc>
        <w:tc>
          <w:tcPr>
            <w:tcW w:w="100" w:type="dxa"/>
            <w:vAlign w:val="bottom"/>
          </w:tcPr>
          <w:p>
            <w:pPr>
              <w:spacing w:after="0"/>
              <w:rPr>
                <w:sz w:val="17"/>
                <w:szCs w:val="17"/>
                <w:color w:val="auto"/>
              </w:rPr>
            </w:pPr>
          </w:p>
        </w:tc>
        <w:tc>
          <w:tcPr>
            <w:tcW w:w="17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vMerge w:val="restart"/>
          </w:tcPr>
          <w:p>
            <w:pPr>
              <w:ind w:left="220"/>
              <w:spacing w:after="0"/>
              <w:rPr>
                <w:sz w:val="20"/>
                <w:szCs w:val="20"/>
                <w:color w:val="auto"/>
              </w:rPr>
            </w:pPr>
            <w:r>
              <w:rPr>
                <w:rFonts w:ascii="Courier New" w:cs="Courier New" w:eastAsia="Courier New" w:hAnsi="Courier New"/>
                <w:sz w:val="18"/>
                <w:szCs w:val="18"/>
                <w:color w:val="auto"/>
              </w:rPr>
              <w:t>loss</w:t>
            </w: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(262)</w:t>
            </w:r>
          </w:p>
        </w:tc>
        <w:tc>
          <w:tcPr>
            <w:tcW w:w="0" w:type="dxa"/>
            <w:vAlign w:val="bottom"/>
          </w:tcPr>
          <w:p>
            <w:pPr>
              <w:spacing w:after="0"/>
              <w:rPr>
                <w:sz w:val="1"/>
                <w:szCs w:val="1"/>
                <w:color w:val="auto"/>
              </w:rPr>
            </w:pPr>
          </w:p>
        </w:tc>
      </w:tr>
      <w:tr>
        <w:trPr>
          <w:trHeight w:val="203"/>
        </w:trPr>
        <w:tc>
          <w:tcPr>
            <w:tcW w:w="1380" w:type="dxa"/>
            <w:vAlign w:val="bottom"/>
            <w:vMerge w:val="continue"/>
          </w:tcPr>
          <w:p>
            <w:pPr>
              <w:spacing w:after="0"/>
              <w:rPr>
                <w:sz w:val="17"/>
                <w:szCs w:val="17"/>
                <w:color w:val="auto"/>
              </w:rPr>
            </w:pPr>
          </w:p>
        </w:tc>
        <w:tc>
          <w:tcPr>
            <w:tcW w:w="3200" w:type="dxa"/>
            <w:vAlign w:val="bottom"/>
            <w:gridSpan w:val="4"/>
            <w:vMerge w:val="restart"/>
          </w:tcPr>
          <w:p>
            <w:pPr>
              <w:jc w:val="center"/>
              <w:ind w:left="292"/>
              <w:spacing w:after="0"/>
              <w:rPr>
                <w:sz w:val="20"/>
                <w:szCs w:val="20"/>
                <w:color w:val="auto"/>
              </w:rPr>
            </w:pPr>
            <w:r>
              <w:rPr>
                <w:rFonts w:ascii="Courier New" w:cs="Courier New" w:eastAsia="Courier New" w:hAnsi="Courier New"/>
                <w:sz w:val="18"/>
                <w:szCs w:val="18"/>
                <w:color w:val="auto"/>
                <w:w w:val="97"/>
              </w:rPr>
              <w:t>Interest expense-long-term</w:t>
            </w:r>
          </w:p>
        </w:tc>
        <w:tc>
          <w:tcPr>
            <w:tcW w:w="17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1380" w:type="dxa"/>
            <w:vAlign w:val="bottom"/>
            <w:vMerge w:val="restart"/>
          </w:tcPr>
          <w:p>
            <w:pPr>
              <w:ind w:left="420"/>
              <w:spacing w:after="0"/>
              <w:rPr>
                <w:sz w:val="20"/>
                <w:szCs w:val="20"/>
                <w:color w:val="auto"/>
              </w:rPr>
            </w:pPr>
            <w:r>
              <w:rPr>
                <w:rFonts w:ascii="Courier New" w:cs="Courier New" w:eastAsia="Courier New" w:hAnsi="Courier New"/>
                <w:sz w:val="18"/>
                <w:szCs w:val="18"/>
                <w:color w:val="auto"/>
              </w:rPr>
              <w:t>debt</w:t>
            </w:r>
          </w:p>
        </w:tc>
        <w:tc>
          <w:tcPr>
            <w:tcW w:w="3200" w:type="dxa"/>
            <w:vAlign w:val="bottom"/>
            <w:gridSpan w:val="4"/>
            <w:vMerge w:val="continue"/>
          </w:tcPr>
          <w:p>
            <w:pPr>
              <w:spacing w:after="0"/>
              <w:rPr>
                <w:sz w:val="9"/>
                <w:szCs w:val="9"/>
                <w:color w:val="auto"/>
              </w:rPr>
            </w:pP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1380" w:type="dxa"/>
            <w:vAlign w:val="bottom"/>
            <w:vMerge w:val="continue"/>
          </w:tcPr>
          <w:p>
            <w:pPr>
              <w:spacing w:after="0"/>
              <w:rPr>
                <w:sz w:val="17"/>
                <w:szCs w:val="17"/>
                <w:color w:val="auto"/>
              </w:rPr>
            </w:pP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580" w:type="dxa"/>
            <w:vAlign w:val="bottom"/>
            <w:gridSpan w:val="3"/>
          </w:tcPr>
          <w:p>
            <w:pPr>
              <w:jc w:val="right"/>
              <w:ind w:right="292"/>
              <w:spacing w:after="0" w:line="203" w:lineRule="exact"/>
              <w:rPr>
                <w:sz w:val="20"/>
                <w:szCs w:val="20"/>
                <w:color w:val="auto"/>
              </w:rPr>
            </w:pPr>
            <w:r>
              <w:rPr>
                <w:rFonts w:ascii="Courier New" w:cs="Courier New" w:eastAsia="Courier New" w:hAnsi="Courier New"/>
                <w:sz w:val="18"/>
                <w:szCs w:val="18"/>
                <w:color w:val="auto"/>
              </w:rPr>
              <w:t>3,615 Accretion on</w:t>
            </w:r>
          </w:p>
        </w:tc>
        <w:tc>
          <w:tcPr>
            <w:tcW w:w="0" w:type="dxa"/>
            <w:vAlign w:val="bottom"/>
          </w:tcPr>
          <w:p>
            <w:pPr>
              <w:spacing w:after="0"/>
              <w:rPr>
                <w:sz w:val="1"/>
                <w:szCs w:val="1"/>
                <w:color w:val="auto"/>
              </w:rPr>
            </w:pPr>
          </w:p>
        </w:tc>
      </w:tr>
      <w:tr>
        <w:trPr>
          <w:trHeight w:val="203"/>
        </w:trPr>
        <w:tc>
          <w:tcPr>
            <w:tcW w:w="4580" w:type="dxa"/>
            <w:vAlign w:val="bottom"/>
            <w:gridSpan w:val="5"/>
          </w:tcPr>
          <w:p>
            <w:pPr>
              <w:ind w:left="60"/>
              <w:spacing w:after="0" w:line="203" w:lineRule="exact"/>
              <w:rPr>
                <w:sz w:val="20"/>
                <w:szCs w:val="20"/>
                <w:color w:val="auto"/>
              </w:rPr>
            </w:pPr>
            <w:r>
              <w:rPr>
                <w:rFonts w:ascii="Courier New" w:cs="Courier New" w:eastAsia="Courier New" w:hAnsi="Courier New"/>
                <w:sz w:val="18"/>
                <w:szCs w:val="18"/>
                <w:color w:val="auto"/>
                <w:w w:val="96"/>
              </w:rPr>
              <w:t>convertible debentures due to related party</w:t>
            </w:r>
          </w:p>
        </w:tc>
        <w:tc>
          <w:tcPr>
            <w:tcW w:w="1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 3,054 Other</w:t>
            </w:r>
          </w:p>
        </w:tc>
        <w:tc>
          <w:tcPr>
            <w:tcW w:w="0" w:type="dxa"/>
            <w:vAlign w:val="bottom"/>
          </w:tcPr>
          <w:p>
            <w:pPr>
              <w:spacing w:after="0"/>
              <w:rPr>
                <w:sz w:val="1"/>
                <w:szCs w:val="1"/>
                <w:color w:val="auto"/>
              </w:rPr>
            </w:pPr>
          </w:p>
        </w:tc>
      </w:tr>
      <w:tr>
        <w:trPr>
          <w:trHeight w:val="381"/>
        </w:trPr>
        <w:tc>
          <w:tcPr>
            <w:tcW w:w="1380" w:type="dxa"/>
            <w:vAlign w:val="bottom"/>
          </w:tcPr>
          <w:p>
            <w:pPr>
              <w:jc w:val="right"/>
              <w:spacing w:after="0"/>
              <w:rPr>
                <w:sz w:val="20"/>
                <w:szCs w:val="20"/>
                <w:color w:val="auto"/>
              </w:rPr>
            </w:pPr>
            <w:r>
              <w:rPr>
                <w:rFonts w:ascii="Courier New" w:cs="Courier New" w:eastAsia="Courier New" w:hAnsi="Courier New"/>
                <w:sz w:val="2"/>
                <w:szCs w:val="2"/>
                <w:color w:val="auto"/>
                <w:w w:val="94"/>
                <w:vertAlign w:val="superscript"/>
              </w:rPr>
              <w:t>income....................................</w:t>
            </w:r>
            <w:r>
              <w:rPr>
                <w:rFonts w:ascii="Courier New" w:cs="Courier New" w:eastAsia="Courier New" w:hAnsi="Courier New"/>
                <w:sz w:val="2"/>
                <w:szCs w:val="2"/>
                <w:color w:val="auto"/>
                <w:w w:val="94"/>
                <w:vertAlign w:val="subscript"/>
              </w:rPr>
              <w:t>....................................................</w:t>
            </w:r>
            <w:r>
              <w:rPr>
                <w:rFonts w:ascii="Courier New" w:cs="Courier New" w:eastAsia="Courier New" w:hAnsi="Courier New"/>
                <w:sz w:val="1"/>
                <w:szCs w:val="1"/>
                <w:color w:val="auto"/>
                <w:w w:val="94"/>
              </w:rPr>
              <w:t>...................................................</w:t>
            </w:r>
            <w:r>
              <w:rPr>
                <w:rFonts w:ascii="Courier New" w:cs="Courier New" w:eastAsia="Courier New" w:hAnsi="Courier New"/>
                <w:sz w:val="2"/>
                <w:szCs w:val="2"/>
                <w:color w:val="auto"/>
                <w:w w:val="94"/>
                <w:vertAlign w:val="superscript"/>
              </w:rPr>
              <w:t>................................................</w:t>
            </w:r>
          </w:p>
        </w:tc>
        <w:tc>
          <w:tcPr>
            <w:tcW w:w="7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5"/>
              </w:rPr>
              <w:t>(1,414)</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w w:val="74"/>
              </w:rPr>
              <w:t>-------</w:t>
            </w:r>
          </w:p>
        </w:tc>
        <w:tc>
          <w:tcPr>
            <w:tcW w:w="3580" w:type="dxa"/>
            <w:vAlign w:val="bottom"/>
            <w:gridSpan w:val="3"/>
            <w:vMerge w:val="restart"/>
          </w:tcPr>
          <w:p>
            <w:pPr>
              <w:jc w:val="right"/>
              <w:ind w:right="1232"/>
              <w:spacing w:after="0"/>
              <w:rPr>
                <w:sz w:val="20"/>
                <w:szCs w:val="20"/>
                <w:color w:val="auto"/>
              </w:rPr>
            </w:pPr>
            <w:r>
              <w:rPr>
                <w:rFonts w:ascii="Courier New" w:cs="Courier New" w:eastAsia="Courier New" w:hAnsi="Courier New"/>
                <w:sz w:val="18"/>
                <w:szCs w:val="18"/>
                <w:color w:val="auto"/>
              </w:rPr>
              <w:t>Loss before income</w:t>
            </w:r>
          </w:p>
        </w:tc>
        <w:tc>
          <w:tcPr>
            <w:tcW w:w="0" w:type="dxa"/>
            <w:vAlign w:val="bottom"/>
          </w:tcPr>
          <w:p>
            <w:pPr>
              <w:spacing w:after="0"/>
              <w:rPr>
                <w:sz w:val="1"/>
                <w:szCs w:val="1"/>
                <w:color w:val="auto"/>
              </w:rPr>
            </w:pPr>
          </w:p>
        </w:tc>
      </w:tr>
      <w:tr>
        <w:trPr>
          <w:trHeight w:val="24"/>
        </w:trPr>
        <w:tc>
          <w:tcPr>
            <w:tcW w:w="1380" w:type="dxa"/>
            <w:vAlign w:val="bottom"/>
            <w:vMerge w:val="restart"/>
          </w:tcPr>
          <w:p>
            <w:pPr>
              <w:ind w:left="160"/>
              <w:spacing w:after="0"/>
              <w:rPr>
                <w:sz w:val="20"/>
                <w:szCs w:val="20"/>
                <w:color w:val="auto"/>
              </w:rPr>
            </w:pPr>
            <w:r>
              <w:rPr>
                <w:rFonts w:ascii="Courier New" w:cs="Courier New" w:eastAsia="Courier New" w:hAnsi="Courier New"/>
                <w:sz w:val="18"/>
                <w:szCs w:val="18"/>
                <w:color w:val="auto"/>
              </w:rPr>
              <w:t>taxes</w:t>
            </w:r>
          </w:p>
        </w:tc>
        <w:tc>
          <w:tcPr>
            <w:tcW w:w="740" w:type="dxa"/>
            <w:vAlign w:val="bottom"/>
            <w:vMerge w:val="continue"/>
          </w:tcPr>
          <w:p>
            <w:pPr>
              <w:spacing w:after="0"/>
              <w:rPr>
                <w:sz w:val="2"/>
                <w:szCs w:val="2"/>
                <w:color w:val="auto"/>
              </w:rPr>
            </w:pPr>
          </w:p>
        </w:tc>
        <w:tc>
          <w:tcPr>
            <w:tcW w:w="580" w:type="dxa"/>
            <w:vAlign w:val="bottom"/>
          </w:tcPr>
          <w:p>
            <w:pPr>
              <w:spacing w:after="0"/>
              <w:rPr>
                <w:sz w:val="2"/>
                <w:szCs w:val="2"/>
                <w:color w:val="auto"/>
              </w:rPr>
            </w:pPr>
          </w:p>
        </w:tc>
        <w:tc>
          <w:tcPr>
            <w:tcW w:w="358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6"/>
        </w:trPr>
        <w:tc>
          <w:tcPr>
            <w:tcW w:w="138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2360" w:type="dxa"/>
            <w:vAlign w:val="bottom"/>
            <w:gridSpan w:val="2"/>
            <w:vMerge w:val="restart"/>
          </w:tcPr>
          <w:p>
            <w:pPr>
              <w:jc w:val="center"/>
              <w:ind w:right="172"/>
              <w:spacing w:after="0"/>
              <w:rPr>
                <w:sz w:val="20"/>
                <w:szCs w:val="20"/>
                <w:color w:val="auto"/>
              </w:rPr>
            </w:pPr>
            <w:r>
              <w:rPr>
                <w:rFonts w:ascii="Courier New" w:cs="Courier New" w:eastAsia="Courier New" w:hAnsi="Courier New"/>
                <w:sz w:val="18"/>
                <w:szCs w:val="18"/>
                <w:color w:val="auto"/>
                <w:w w:val="97"/>
              </w:rPr>
              <w:t>Income taxes</w:t>
            </w:r>
          </w:p>
        </w:tc>
        <w:tc>
          <w:tcPr>
            <w:tcW w:w="100" w:type="dxa"/>
            <w:vAlign w:val="bottom"/>
          </w:tcPr>
          <w:p>
            <w:pPr>
              <w:spacing w:after="0"/>
              <w:rPr>
                <w:sz w:val="24"/>
                <w:szCs w:val="24"/>
                <w:color w:val="auto"/>
              </w:rPr>
            </w:pPr>
          </w:p>
        </w:tc>
        <w:tc>
          <w:tcPr>
            <w:tcW w:w="170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7"/>
              </w:rPr>
              <w:t>(5,517) -------</w:t>
            </w:r>
          </w:p>
        </w:tc>
        <w:tc>
          <w:tcPr>
            <w:tcW w:w="0" w:type="dxa"/>
            <w:vAlign w:val="bottom"/>
          </w:tcPr>
          <w:p>
            <w:pPr>
              <w:spacing w:after="0"/>
              <w:rPr>
                <w:sz w:val="1"/>
                <w:szCs w:val="1"/>
                <w:color w:val="auto"/>
              </w:rPr>
            </w:pPr>
          </w:p>
        </w:tc>
      </w:tr>
      <w:tr>
        <w:trPr>
          <w:trHeight w:val="203"/>
        </w:trPr>
        <w:tc>
          <w:tcPr>
            <w:tcW w:w="1380" w:type="dxa"/>
            <w:vAlign w:val="bottom"/>
            <w:vMerge w:val="restart"/>
          </w:tcPr>
          <w:p>
            <w:pPr>
              <w:ind w:left="120"/>
              <w:spacing w:after="0"/>
              <w:rPr>
                <w:sz w:val="20"/>
                <w:szCs w:val="20"/>
                <w:color w:val="auto"/>
              </w:rPr>
            </w:pPr>
            <w:r>
              <w:rPr>
                <w:rFonts w:ascii="Courier New" w:cs="Courier New" w:eastAsia="Courier New" w:hAnsi="Courier New"/>
                <w:sz w:val="18"/>
                <w:szCs w:val="18"/>
                <w:color w:val="auto"/>
              </w:rPr>
              <w:t>Current</w:t>
            </w:r>
          </w:p>
        </w:tc>
        <w:tc>
          <w:tcPr>
            <w:tcW w:w="740" w:type="dxa"/>
            <w:vAlign w:val="bottom"/>
          </w:tcPr>
          <w:p>
            <w:pPr>
              <w:spacing w:after="0"/>
              <w:rPr>
                <w:sz w:val="17"/>
                <w:szCs w:val="17"/>
                <w:color w:val="auto"/>
              </w:rPr>
            </w:pPr>
          </w:p>
        </w:tc>
        <w:tc>
          <w:tcPr>
            <w:tcW w:w="23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vMerge w:val="continue"/>
          </w:tcPr>
          <w:p>
            <w:pPr>
              <w:spacing w:after="0"/>
              <w:rPr>
                <w:sz w:val="17"/>
                <w:szCs w:val="17"/>
                <w:color w:val="auto"/>
              </w:rPr>
            </w:pP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780" w:type="dxa"/>
            <w:vAlign w:val="bottom"/>
            <w:vMerge w:val="restart"/>
          </w:tcPr>
          <w:p>
            <w:pPr>
              <w:jc w:val="center"/>
              <w:ind w:right="752"/>
              <w:spacing w:after="0"/>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vMerge w:val="restart"/>
          </w:tcPr>
          <w:p>
            <w:pPr>
              <w:ind w:left="120"/>
              <w:spacing w:after="0"/>
              <w:rPr>
                <w:sz w:val="20"/>
                <w:szCs w:val="20"/>
                <w:color w:val="auto"/>
              </w:rPr>
            </w:pPr>
            <w:r>
              <w:rPr>
                <w:rFonts w:ascii="Courier New" w:cs="Courier New" w:eastAsia="Courier New" w:hAnsi="Courier New"/>
                <w:sz w:val="18"/>
                <w:szCs w:val="18"/>
                <w:color w:val="auto"/>
              </w:rPr>
              <w:t>Future</w:t>
            </w: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7"/>
        </w:trPr>
        <w:tc>
          <w:tcPr>
            <w:tcW w:w="1380" w:type="dxa"/>
            <w:vAlign w:val="bottom"/>
            <w:vMerge w:val="continue"/>
          </w:tcPr>
          <w:p>
            <w:pPr>
              <w:spacing w:after="0"/>
              <w:rPr>
                <w:sz w:val="24"/>
                <w:szCs w:val="24"/>
                <w:color w:val="auto"/>
              </w:rPr>
            </w:pPr>
          </w:p>
        </w:tc>
        <w:tc>
          <w:tcPr>
            <w:tcW w:w="7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(691)</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w w:val="74"/>
              </w:rPr>
              <w:t>-------</w:t>
            </w:r>
          </w:p>
        </w:tc>
        <w:tc>
          <w:tcPr>
            <w:tcW w:w="178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(691) -------</w:t>
            </w:r>
          </w:p>
        </w:tc>
        <w:tc>
          <w:tcPr>
            <w:tcW w:w="1800" w:type="dxa"/>
            <w:vAlign w:val="bottom"/>
            <w:gridSpan w:val="2"/>
            <w:vMerge w:val="restart"/>
          </w:tcPr>
          <w:p>
            <w:pPr>
              <w:jc w:val="right"/>
              <w:ind w:right="1392"/>
              <w:spacing w:after="0"/>
              <w:rPr>
                <w:sz w:val="20"/>
                <w:szCs w:val="20"/>
                <w:color w:val="auto"/>
              </w:rPr>
            </w:pPr>
            <w:r>
              <w:rPr>
                <w:rFonts w:ascii="Courier New" w:cs="Courier New" w:eastAsia="Courier New" w:hAnsi="Courier New"/>
                <w:sz w:val="18"/>
                <w:szCs w:val="18"/>
                <w:color w:val="auto"/>
                <w:w w:val="92"/>
              </w:rPr>
              <w:t>NET</w:t>
            </w:r>
          </w:p>
        </w:tc>
        <w:tc>
          <w:tcPr>
            <w:tcW w:w="0" w:type="dxa"/>
            <w:vAlign w:val="bottom"/>
          </w:tcPr>
          <w:p>
            <w:pPr>
              <w:spacing w:after="0"/>
              <w:rPr>
                <w:sz w:val="1"/>
                <w:szCs w:val="1"/>
                <w:color w:val="auto"/>
              </w:rPr>
            </w:pPr>
          </w:p>
        </w:tc>
      </w:tr>
      <w:tr>
        <w:trPr>
          <w:trHeight w:val="118"/>
        </w:trPr>
        <w:tc>
          <w:tcPr>
            <w:tcW w:w="138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580" w:type="dxa"/>
            <w:vAlign w:val="bottom"/>
          </w:tcPr>
          <w:p>
            <w:pPr>
              <w:spacing w:after="0"/>
              <w:rPr>
                <w:sz w:val="10"/>
                <w:szCs w:val="10"/>
                <w:color w:val="auto"/>
              </w:rPr>
            </w:pPr>
          </w:p>
        </w:tc>
        <w:tc>
          <w:tcPr>
            <w:tcW w:w="1780" w:type="dxa"/>
            <w:vAlign w:val="bottom"/>
            <w:vMerge w:val="continue"/>
          </w:tcPr>
          <w:p>
            <w:pPr>
              <w:spacing w:after="0"/>
              <w:rPr>
                <w:sz w:val="10"/>
                <w:szCs w:val="10"/>
                <w:color w:val="auto"/>
              </w:rPr>
            </w:pPr>
          </w:p>
        </w:tc>
        <w:tc>
          <w:tcPr>
            <w:tcW w:w="1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108"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9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period</w:t>
            </w:r>
          </w:p>
        </w:tc>
        <w:tc>
          <w:tcPr>
            <w:tcW w:w="5160" w:type="dxa"/>
            <w:vAlign w:val="bottom"/>
            <w:gridSpan w:val="2"/>
          </w:tcPr>
          <w:p>
            <w:pPr>
              <w:jc w:val="center"/>
              <w:ind w:right="852"/>
              <w:spacing w:after="0"/>
              <w:rPr>
                <w:sz w:val="20"/>
                <w:szCs w:val="20"/>
                <w:color w:val="auto"/>
              </w:rPr>
            </w:pPr>
            <w:r>
              <w:rPr>
                <w:rFonts w:ascii="Courier New" w:cs="Courier New" w:eastAsia="Courier New" w:hAnsi="Courier New"/>
                <w:sz w:val="18"/>
                <w:szCs w:val="18"/>
                <w:color w:val="auto"/>
                <w:w w:val="97"/>
              </w:rPr>
              <w:t>(6,208) Retained earnings, beginning of</w:t>
            </w:r>
          </w:p>
        </w:tc>
        <w:tc>
          <w:tcPr>
            <w:tcW w:w="0" w:type="dxa"/>
            <w:vAlign w:val="bottom"/>
          </w:tcPr>
          <w:p>
            <w:pPr>
              <w:spacing w:after="0"/>
              <w:rPr>
                <w:sz w:val="1"/>
                <w:szCs w:val="1"/>
                <w:color w:val="auto"/>
              </w:rPr>
            </w:pPr>
          </w:p>
        </w:tc>
      </w:tr>
      <w:tr>
        <w:trPr>
          <w:trHeight w:val="203"/>
        </w:trPr>
        <w:tc>
          <w:tcPr>
            <w:tcW w:w="940" w:type="dxa"/>
            <w:vAlign w:val="bottom"/>
            <w:vMerge w:val="continue"/>
          </w:tcPr>
          <w:p>
            <w:pPr>
              <w:spacing w:after="0"/>
              <w:rPr>
                <w:sz w:val="17"/>
                <w:szCs w:val="17"/>
                <w:color w:val="auto"/>
              </w:rPr>
            </w:pPr>
          </w:p>
        </w:tc>
        <w:tc>
          <w:tcPr>
            <w:tcW w:w="1740" w:type="dxa"/>
            <w:vAlign w:val="bottom"/>
            <w:vMerge w:val="restart"/>
          </w:tcPr>
          <w:p>
            <w:pPr>
              <w:spacing w:after="0"/>
              <w:rPr>
                <w:sz w:val="20"/>
                <w:szCs w:val="20"/>
                <w:color w:val="auto"/>
              </w:rPr>
            </w:pPr>
            <w:r>
              <w:rPr>
                <w:rFonts w:ascii="Courier New" w:cs="Courier New" w:eastAsia="Courier New" w:hAnsi="Courier New"/>
                <w:sz w:val="12"/>
                <w:szCs w:val="12"/>
                <w:color w:val="auto"/>
                <w:w w:val="71"/>
              </w:rPr>
              <w:t>......................</w:t>
            </w:r>
            <w:r>
              <w:rPr>
                <w:rFonts w:ascii="Courier New" w:cs="Courier New" w:eastAsia="Courier New" w:hAnsi="Courier New"/>
                <w:sz w:val="19"/>
                <w:szCs w:val="19"/>
                <w:color w:val="auto"/>
                <w:w w:val="71"/>
                <w:vertAlign w:val="subscript"/>
              </w:rPr>
              <w:t>ENDOFPERIOD</w:t>
            </w:r>
          </w:p>
        </w:tc>
        <w:tc>
          <w:tcPr>
            <w:tcW w:w="3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51,068 ------- RETAINED</w:t>
            </w:r>
          </w:p>
        </w:tc>
        <w:tc>
          <w:tcPr>
            <w:tcW w:w="0" w:type="dxa"/>
            <w:vAlign w:val="bottom"/>
          </w:tcPr>
          <w:p>
            <w:pPr>
              <w:spacing w:after="0"/>
              <w:rPr>
                <w:sz w:val="1"/>
                <w:szCs w:val="1"/>
                <w:color w:val="auto"/>
              </w:rPr>
            </w:pPr>
          </w:p>
        </w:tc>
      </w:tr>
      <w:tr>
        <w:trPr>
          <w:trHeight w:val="203"/>
        </w:trPr>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EARNINGS,</w:t>
            </w:r>
          </w:p>
        </w:tc>
        <w:tc>
          <w:tcPr>
            <w:tcW w:w="1740" w:type="dxa"/>
            <w:vAlign w:val="bottom"/>
            <w:vMerge w:val="continue"/>
          </w:tcPr>
          <w:p>
            <w:pPr>
              <w:jc w:val="right"/>
              <w:spacing w:after="0" w:line="178" w:lineRule="exact"/>
              <w:rPr>
                <w:sz w:val="20"/>
                <w:szCs w:val="20"/>
                <w:color w:val="auto"/>
              </w:rPr>
            </w:pPr>
            <w:r>
              <w:rPr>
                <w:rFonts w:ascii="Courier New" w:cs="Courier New" w:eastAsia="Courier New" w:hAnsi="Courier New"/>
                <w:sz w:val="18"/>
                <w:szCs w:val="18"/>
                <w:color w:val="auto"/>
              </w:rPr>
              <w:t>............................</w:t>
            </w:r>
          </w:p>
        </w:tc>
        <w:tc>
          <w:tcPr>
            <w:tcW w:w="3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44,860</w:t>
            </w:r>
          </w:p>
        </w:tc>
        <w:tc>
          <w:tcPr>
            <w:tcW w:w="0" w:type="dxa"/>
            <w:vAlign w:val="bottom"/>
          </w:tcPr>
          <w:p>
            <w:pPr>
              <w:spacing w:after="0"/>
              <w:rPr>
                <w:sz w:val="1"/>
                <w:szCs w:val="1"/>
                <w:color w:val="auto"/>
              </w:rPr>
            </w:pPr>
          </w:p>
        </w:tc>
      </w:tr>
      <w:tr>
        <w:trPr>
          <w:trHeight w:val="296"/>
        </w:trPr>
        <w:tc>
          <w:tcPr>
            <w:tcW w:w="9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420" w:type="dxa"/>
            <w:vAlign w:val="bottom"/>
          </w:tcPr>
          <w:p>
            <w:pPr>
              <w:jc w:val="right"/>
              <w:ind w:right="2592"/>
              <w:spacing w:after="0"/>
              <w:rPr>
                <w:sz w:val="20"/>
                <w:szCs w:val="20"/>
                <w:color w:val="auto"/>
              </w:rPr>
            </w:pPr>
            <w:r>
              <w:rPr>
                <w:rFonts w:ascii="Courier New" w:cs="Courier New" w:eastAsia="Courier New" w:hAnsi="Courier New"/>
                <w:sz w:val="18"/>
                <w:szCs w:val="18"/>
                <w:color w:val="auto"/>
                <w:w w:val="95"/>
              </w:rPr>
              <w:t>=======</w:t>
            </w:r>
          </w:p>
        </w:tc>
        <w:tc>
          <w:tcPr>
            <w:tcW w:w="0" w:type="dxa"/>
            <w:vAlign w:val="bottom"/>
          </w:tcPr>
          <w:p>
            <w:pPr>
              <w:spacing w:after="0"/>
              <w:rPr>
                <w:sz w:val="1"/>
                <w:szCs w:val="1"/>
                <w:color w:val="auto"/>
              </w:rPr>
            </w:pPr>
          </w:p>
        </w:tc>
      </w:tr>
      <w:tr>
        <w:trPr>
          <w:trHeight w:val="608"/>
        </w:trPr>
        <w:tc>
          <w:tcPr>
            <w:tcW w:w="9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420" w:type="dxa"/>
            <w:vAlign w:val="bottom"/>
          </w:tcPr>
          <w:p>
            <w:pPr>
              <w:jc w:val="right"/>
              <w:ind w:right="1592"/>
              <w:spacing w:after="0"/>
              <w:rPr>
                <w:sz w:val="20"/>
                <w:szCs w:val="20"/>
                <w:color w:val="auto"/>
              </w:rPr>
            </w:pPr>
            <w:r>
              <w:rPr>
                <w:rFonts w:ascii="Courier New" w:cs="Courier New" w:eastAsia="Courier New" w:hAnsi="Courier New"/>
                <w:sz w:val="18"/>
                <w:szCs w:val="18"/>
                <w:color w:val="auto"/>
              </w:rPr>
              <w:t>F-55</w:t>
            </w:r>
          </w:p>
        </w:tc>
        <w:tc>
          <w:tcPr>
            <w:tcW w:w="0" w:type="dxa"/>
            <w:vAlign w:val="bottom"/>
          </w:tcPr>
          <w:p>
            <w:pPr>
              <w:spacing w:after="0"/>
              <w:rPr>
                <w:sz w:val="1"/>
                <w:szCs w:val="1"/>
                <w:color w:val="auto"/>
              </w:rPr>
            </w:pPr>
          </w:p>
        </w:tc>
      </w:tr>
    </w:tbl>
    <w:p>
      <w:pPr>
        <w:sectPr>
          <w:pgSz w:w="11900" w:h="16838" w:orient="portrait"/>
          <w:cols w:equalWidth="0" w:num="1">
            <w:col w:w="10219"/>
          </w:cols>
          <w:pgMar w:left="240" w:top="691" w:right="1440" w:bottom="1440" w:gutter="0" w:footer="0" w:header="0"/>
        </w:sectPr>
      </w:pPr>
    </w:p>
    <w:bookmarkStart w:id="143" w:name="page144"/>
    <w:bookmarkEnd w:id="14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2060" w:type="dxa"/>
            <w:vAlign w:val="bottom"/>
          </w:tcPr>
          <w:p>
            <w:pPr>
              <w:spacing w:after="0"/>
              <w:rPr>
                <w:sz w:val="24"/>
                <w:szCs w:val="24"/>
                <w:color w:val="auto"/>
              </w:rPr>
            </w:pPr>
          </w:p>
        </w:tc>
        <w:tc>
          <w:tcPr>
            <w:tcW w:w="28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CERTEN INC.</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60" w:type="dxa"/>
            <w:vAlign w:val="bottom"/>
          </w:tcPr>
          <w:p>
            <w:pPr>
              <w:spacing w:after="0"/>
              <w:rPr>
                <w:sz w:val="24"/>
                <w:szCs w:val="24"/>
                <w:color w:val="auto"/>
              </w:rPr>
            </w:pPr>
          </w:p>
        </w:tc>
        <w:tc>
          <w:tcPr>
            <w:tcW w:w="400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BALANCE SHEET AS AT JUNE 30, 2003</w:t>
            </w:r>
          </w:p>
        </w:tc>
        <w:tc>
          <w:tcPr>
            <w:tcW w:w="0" w:type="dxa"/>
            <w:vAlign w:val="bottom"/>
          </w:tcPr>
          <w:p>
            <w:pPr>
              <w:spacing w:after="0"/>
              <w:rPr>
                <w:sz w:val="1"/>
                <w:szCs w:val="1"/>
                <w:color w:val="auto"/>
              </w:rPr>
            </w:pPr>
          </w:p>
        </w:tc>
      </w:tr>
      <w:tr>
        <w:trPr>
          <w:trHeight w:val="296"/>
        </w:trPr>
        <w:tc>
          <w:tcPr>
            <w:tcW w:w="2060" w:type="dxa"/>
            <w:vAlign w:val="bottom"/>
          </w:tcPr>
          <w:p>
            <w:pPr>
              <w:spacing w:after="0"/>
              <w:rPr>
                <w:sz w:val="24"/>
                <w:szCs w:val="24"/>
                <w:color w:val="auto"/>
              </w:rPr>
            </w:pPr>
          </w:p>
        </w:tc>
        <w:tc>
          <w:tcPr>
            <w:tcW w:w="40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(IN THOUSANDS OF CANADIAN DOLLARS)</w:t>
            </w:r>
          </w:p>
        </w:tc>
        <w:tc>
          <w:tcPr>
            <w:tcW w:w="0" w:type="dxa"/>
            <w:vAlign w:val="bottom"/>
          </w:tcPr>
          <w:p>
            <w:pPr>
              <w:spacing w:after="0"/>
              <w:rPr>
                <w:sz w:val="1"/>
                <w:szCs w:val="1"/>
                <w:color w:val="auto"/>
              </w:rPr>
            </w:pPr>
          </w:p>
        </w:tc>
      </w:tr>
      <w:tr>
        <w:trPr>
          <w:trHeight w:val="311"/>
        </w:trPr>
        <w:tc>
          <w:tcPr>
            <w:tcW w:w="2060" w:type="dxa"/>
            <w:vAlign w:val="bottom"/>
          </w:tcPr>
          <w:p>
            <w:pPr>
              <w:ind w:left="580"/>
              <w:spacing w:after="0"/>
              <w:rPr>
                <w:sz w:val="20"/>
                <w:szCs w:val="20"/>
                <w:color w:val="auto"/>
              </w:rPr>
            </w:pPr>
            <w:r>
              <w:rPr>
                <w:rFonts w:ascii="Courier New" w:cs="Courier New" w:eastAsia="Courier New" w:hAnsi="Courier New"/>
                <w:sz w:val="18"/>
                <w:szCs w:val="18"/>
                <w:color w:val="auto"/>
              </w:rPr>
              <w:t>$ -----------</w:t>
            </w:r>
          </w:p>
        </w:tc>
        <w:tc>
          <w:tcPr>
            <w:tcW w:w="4000" w:type="dxa"/>
            <w:vAlign w:val="bottom"/>
            <w:gridSpan w:val="2"/>
          </w:tcPr>
          <w:p>
            <w:pPr>
              <w:jc w:val="right"/>
              <w:ind w:right="432"/>
              <w:spacing w:after="0"/>
              <w:rPr>
                <w:sz w:val="20"/>
                <w:szCs w:val="20"/>
                <w:color w:val="auto"/>
              </w:rPr>
            </w:pPr>
            <w:r>
              <w:rPr>
                <w:rFonts w:ascii="Courier New" w:cs="Courier New" w:eastAsia="Courier New" w:hAnsi="Courier New"/>
                <w:sz w:val="18"/>
                <w:szCs w:val="18"/>
                <w:color w:val="auto"/>
                <w:w w:val="97"/>
              </w:rPr>
              <w:t>(UNAUDITED) ASSETS Current assets</w:t>
            </w:r>
          </w:p>
        </w:tc>
        <w:tc>
          <w:tcPr>
            <w:tcW w:w="0" w:type="dxa"/>
            <w:vAlign w:val="bottom"/>
          </w:tcPr>
          <w:p>
            <w:pPr>
              <w:spacing w:after="0"/>
              <w:rPr>
                <w:sz w:val="1"/>
                <w:szCs w:val="1"/>
                <w:color w:val="auto"/>
              </w:rPr>
            </w:pPr>
          </w:p>
        </w:tc>
      </w:tr>
      <w:tr>
        <w:trPr>
          <w:trHeight w:val="381"/>
        </w:trPr>
        <w:tc>
          <w:tcPr>
            <w:tcW w:w="2060" w:type="dxa"/>
            <w:vAlign w:val="bottom"/>
          </w:tcPr>
          <w:p>
            <w:pPr>
              <w:jc w:val="right"/>
              <w:spacing w:after="0"/>
              <w:rPr>
                <w:sz w:val="20"/>
                <w:szCs w:val="20"/>
                <w:color w:val="auto"/>
              </w:rPr>
            </w:pPr>
            <w:r>
              <w:rPr>
                <w:rFonts w:ascii="Courier New" w:cs="Courier New" w:eastAsia="Courier New" w:hAnsi="Courier New"/>
                <w:sz w:val="2"/>
                <w:szCs w:val="2"/>
                <w:color w:val="auto"/>
                <w:w w:val="80"/>
                <w:vertAlign w:val="superscript"/>
              </w:rPr>
              <w:t>Cash......................................................</w:t>
            </w:r>
            <w:r>
              <w:rPr>
                <w:rFonts w:ascii="Courier New" w:cs="Courier New" w:eastAsia="Courier New" w:hAnsi="Courier New"/>
                <w:sz w:val="2"/>
                <w:szCs w:val="2"/>
                <w:color w:val="auto"/>
                <w:w w:val="80"/>
                <w:vertAlign w:val="subscript"/>
              </w:rPr>
              <w:t>...........................................................................................................................</w:t>
            </w:r>
            <w:r>
              <w:rPr>
                <w:rFonts w:ascii="Courier New" w:cs="Courier New" w:eastAsia="Courier New" w:hAnsi="Courier New"/>
                <w:sz w:val="1"/>
                <w:szCs w:val="1"/>
                <w:color w:val="auto"/>
                <w:w w:val="80"/>
              </w:rPr>
              <w:t>...........................................</w:t>
            </w:r>
            <w:r>
              <w:rPr>
                <w:rFonts w:ascii="Courier New" w:cs="Courier New" w:eastAsia="Courier New" w:hAnsi="Courier New"/>
                <w:sz w:val="2"/>
                <w:szCs w:val="2"/>
                <w:color w:val="auto"/>
                <w:w w:val="80"/>
                <w:vertAlign w:val="superscript"/>
              </w:rPr>
              <w:t>........................................................................</w:t>
            </w:r>
            <w:r>
              <w:rPr>
                <w:rFonts w:ascii="Courier New" w:cs="Courier New" w:eastAsia="Courier New" w:hAnsi="Courier New"/>
                <w:sz w:val="2"/>
                <w:szCs w:val="2"/>
                <w:color w:val="auto"/>
                <w:w w:val="80"/>
                <w:vertAlign w:val="subscript"/>
              </w:rPr>
              <w:t>...............................</w:t>
            </w:r>
          </w:p>
        </w:tc>
        <w:tc>
          <w:tcPr>
            <w:tcW w:w="2840" w:type="dxa"/>
            <w:vAlign w:val="bottom"/>
            <w:vMerge w:val="restart"/>
          </w:tcPr>
          <w:p>
            <w:pPr>
              <w:jc w:val="center"/>
              <w:ind w:right="732"/>
              <w:spacing w:after="0"/>
              <w:rPr>
                <w:sz w:val="20"/>
                <w:szCs w:val="20"/>
                <w:color w:val="auto"/>
              </w:rPr>
            </w:pPr>
            <w:r>
              <w:rPr>
                <w:rFonts w:ascii="Courier New" w:cs="Courier New" w:eastAsia="Courier New" w:hAnsi="Courier New"/>
                <w:sz w:val="18"/>
                <w:szCs w:val="18"/>
                <w:color w:val="auto"/>
                <w:w w:val="97"/>
              </w:rPr>
              <w:t>34,358 Accounts</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60" w:type="dxa"/>
            <w:vAlign w:val="bottom"/>
            <w:vMerge w:val="restart"/>
          </w:tcPr>
          <w:p>
            <w:pPr>
              <w:jc w:val="right"/>
              <w:ind w:right="760"/>
              <w:spacing w:after="0"/>
              <w:rPr>
                <w:sz w:val="20"/>
                <w:szCs w:val="20"/>
                <w:color w:val="auto"/>
              </w:rPr>
            </w:pPr>
            <w:r>
              <w:rPr>
                <w:rFonts w:ascii="Courier New" w:cs="Courier New" w:eastAsia="Courier New" w:hAnsi="Courier New"/>
                <w:sz w:val="18"/>
                <w:szCs w:val="18"/>
                <w:color w:val="auto"/>
              </w:rPr>
              <w:t>receivable</w:t>
            </w:r>
          </w:p>
        </w:tc>
        <w:tc>
          <w:tcPr>
            <w:tcW w:w="2840" w:type="dxa"/>
            <w:vAlign w:val="bottom"/>
            <w:vMerge w:val="continue"/>
          </w:tcPr>
          <w:p>
            <w:pPr>
              <w:spacing w:after="0"/>
              <w:rPr>
                <w:sz w:val="10"/>
                <w:szCs w:val="10"/>
                <w:color w:val="auto"/>
              </w:rPr>
            </w:pPr>
          </w:p>
        </w:tc>
        <w:tc>
          <w:tcPr>
            <w:tcW w:w="11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4,891</w:t>
            </w:r>
          </w:p>
        </w:tc>
        <w:tc>
          <w:tcPr>
            <w:tcW w:w="0" w:type="dxa"/>
            <w:vAlign w:val="bottom"/>
          </w:tcPr>
          <w:p>
            <w:pPr>
              <w:spacing w:after="0"/>
              <w:rPr>
                <w:sz w:val="1"/>
                <w:szCs w:val="1"/>
                <w:color w:val="auto"/>
              </w:rPr>
            </w:pPr>
          </w:p>
        </w:tc>
      </w:tr>
      <w:tr>
        <w:trPr>
          <w:trHeight w:val="203"/>
        </w:trPr>
        <w:tc>
          <w:tcPr>
            <w:tcW w:w="2060" w:type="dxa"/>
            <w:vAlign w:val="bottom"/>
            <w:vMerge w:val="continue"/>
          </w:tcPr>
          <w:p>
            <w:pPr>
              <w:spacing w:after="0"/>
              <w:rPr>
                <w:sz w:val="17"/>
                <w:szCs w:val="17"/>
                <w:color w:val="auto"/>
              </w:rPr>
            </w:pPr>
          </w:p>
        </w:tc>
        <w:tc>
          <w:tcPr>
            <w:tcW w:w="2840" w:type="dxa"/>
            <w:vAlign w:val="bottom"/>
            <w:vMerge w:val="restart"/>
          </w:tcPr>
          <w:p>
            <w:pPr>
              <w:jc w:val="center"/>
              <w:ind w:right="752"/>
              <w:spacing w:after="0"/>
              <w:rPr>
                <w:sz w:val="20"/>
                <w:szCs w:val="20"/>
                <w:color w:val="auto"/>
              </w:rPr>
            </w:pPr>
            <w:r>
              <w:rPr>
                <w:rFonts w:ascii="Courier New" w:cs="Courier New" w:eastAsia="Courier New" w:hAnsi="Courier New"/>
                <w:sz w:val="18"/>
                <w:szCs w:val="18"/>
                <w:color w:val="auto"/>
                <w:w w:val="96"/>
              </w:rPr>
              <w:t>Other current</w:t>
            </w: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60" w:type="dxa"/>
            <w:vAlign w:val="bottom"/>
            <w:vMerge w:val="restart"/>
          </w:tcPr>
          <w:p>
            <w:pPr>
              <w:jc w:val="right"/>
              <w:ind w:right="440"/>
              <w:spacing w:after="0"/>
              <w:rPr>
                <w:sz w:val="20"/>
                <w:szCs w:val="20"/>
                <w:color w:val="auto"/>
              </w:rPr>
            </w:pPr>
            <w:r>
              <w:rPr>
                <w:rFonts w:ascii="Courier New" w:cs="Courier New" w:eastAsia="Courier New" w:hAnsi="Courier New"/>
                <w:sz w:val="18"/>
                <w:szCs w:val="18"/>
                <w:color w:val="auto"/>
              </w:rPr>
              <w:t>receivables</w:t>
            </w:r>
          </w:p>
        </w:tc>
        <w:tc>
          <w:tcPr>
            <w:tcW w:w="2840" w:type="dxa"/>
            <w:vAlign w:val="bottom"/>
            <w:vMerge w:val="continue"/>
          </w:tcPr>
          <w:p>
            <w:pPr>
              <w:spacing w:after="0"/>
              <w:rPr>
                <w:sz w:val="17"/>
                <w:szCs w:val="17"/>
                <w:color w:val="auto"/>
              </w:rPr>
            </w:pPr>
          </w:p>
        </w:tc>
        <w:tc>
          <w:tcPr>
            <w:tcW w:w="116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24,292</w:t>
            </w:r>
          </w:p>
        </w:tc>
        <w:tc>
          <w:tcPr>
            <w:tcW w:w="0" w:type="dxa"/>
            <w:vAlign w:val="bottom"/>
          </w:tcPr>
          <w:p>
            <w:pPr>
              <w:spacing w:after="0"/>
              <w:rPr>
                <w:sz w:val="1"/>
                <w:szCs w:val="1"/>
                <w:color w:val="auto"/>
              </w:rPr>
            </w:pPr>
          </w:p>
        </w:tc>
      </w:tr>
      <w:tr>
        <w:trPr>
          <w:trHeight w:val="203"/>
        </w:trPr>
        <w:tc>
          <w:tcPr>
            <w:tcW w:w="2060" w:type="dxa"/>
            <w:vAlign w:val="bottom"/>
            <w:vMerge w:val="continue"/>
          </w:tcPr>
          <w:p>
            <w:pPr>
              <w:spacing w:after="0"/>
              <w:rPr>
                <w:sz w:val="17"/>
                <w:szCs w:val="17"/>
                <w:color w:val="auto"/>
              </w:rPr>
            </w:pPr>
          </w:p>
        </w:tc>
        <w:tc>
          <w:tcPr>
            <w:tcW w:w="2840" w:type="dxa"/>
            <w:vAlign w:val="bottom"/>
            <w:vMerge w:val="restart"/>
          </w:tcPr>
          <w:p>
            <w:pPr>
              <w:jc w:val="center"/>
              <w:ind w:right="752"/>
              <w:spacing w:after="0"/>
              <w:rPr>
                <w:sz w:val="20"/>
                <w:szCs w:val="20"/>
                <w:color w:val="auto"/>
              </w:rPr>
            </w:pPr>
            <w:r>
              <w:rPr>
                <w:rFonts w:ascii="Courier New" w:cs="Courier New" w:eastAsia="Courier New" w:hAnsi="Courier New"/>
                <w:sz w:val="18"/>
                <w:szCs w:val="18"/>
                <w:color w:val="auto"/>
                <w:w w:val="95"/>
              </w:rPr>
              <w:t>Prepaid</w:t>
            </w: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60" w:type="dxa"/>
            <w:vAlign w:val="bottom"/>
            <w:vMerge w:val="restart"/>
          </w:tcPr>
          <w:p>
            <w:pPr>
              <w:jc w:val="right"/>
              <w:ind w:right="1140"/>
              <w:spacing w:after="0"/>
              <w:rPr>
                <w:sz w:val="20"/>
                <w:szCs w:val="20"/>
                <w:color w:val="auto"/>
              </w:rPr>
            </w:pPr>
            <w:r>
              <w:rPr>
                <w:rFonts w:ascii="Courier New" w:cs="Courier New" w:eastAsia="Courier New" w:hAnsi="Courier New"/>
                <w:sz w:val="18"/>
                <w:szCs w:val="18"/>
                <w:color w:val="auto"/>
              </w:rPr>
              <w:t>expense</w:t>
            </w:r>
          </w:p>
        </w:tc>
        <w:tc>
          <w:tcPr>
            <w:tcW w:w="2840" w:type="dxa"/>
            <w:vAlign w:val="bottom"/>
            <w:vMerge w:val="continue"/>
          </w:tcPr>
          <w:p>
            <w:pPr>
              <w:spacing w:after="0"/>
              <w:rPr>
                <w:sz w:val="17"/>
                <w:szCs w:val="17"/>
                <w:color w:val="auto"/>
              </w:rPr>
            </w:pPr>
          </w:p>
        </w:tc>
        <w:tc>
          <w:tcPr>
            <w:tcW w:w="11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7,471</w:t>
            </w:r>
          </w:p>
        </w:tc>
        <w:tc>
          <w:tcPr>
            <w:tcW w:w="0" w:type="dxa"/>
            <w:vAlign w:val="bottom"/>
          </w:tcPr>
          <w:p>
            <w:pPr>
              <w:spacing w:after="0"/>
              <w:rPr>
                <w:sz w:val="1"/>
                <w:szCs w:val="1"/>
                <w:color w:val="auto"/>
              </w:rPr>
            </w:pPr>
          </w:p>
        </w:tc>
      </w:tr>
      <w:tr>
        <w:trPr>
          <w:trHeight w:val="109"/>
        </w:trPr>
        <w:tc>
          <w:tcPr>
            <w:tcW w:w="2060" w:type="dxa"/>
            <w:vAlign w:val="bottom"/>
            <w:vMerge w:val="continue"/>
          </w:tcPr>
          <w:p>
            <w:pPr>
              <w:spacing w:after="0"/>
              <w:rPr>
                <w:sz w:val="9"/>
                <w:szCs w:val="9"/>
                <w:color w:val="auto"/>
              </w:rPr>
            </w:pPr>
          </w:p>
        </w:tc>
        <w:tc>
          <w:tcPr>
            <w:tcW w:w="28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8"/>
              </w:rPr>
              <w:t>71,012 Property, plant and</w:t>
            </w:r>
          </w:p>
        </w:tc>
        <w:tc>
          <w:tcPr>
            <w:tcW w:w="1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96"/>
        </w:trPr>
        <w:tc>
          <w:tcPr>
            <w:tcW w:w="2060" w:type="dxa"/>
            <w:vAlign w:val="bottom"/>
            <w:vMerge w:val="restart"/>
          </w:tcPr>
          <w:p>
            <w:pPr>
              <w:ind w:left="580"/>
              <w:spacing w:after="0"/>
              <w:rPr>
                <w:sz w:val="20"/>
                <w:szCs w:val="20"/>
                <w:color w:val="auto"/>
              </w:rPr>
            </w:pPr>
            <w:r>
              <w:rPr>
                <w:rFonts w:ascii="Courier New" w:cs="Courier New" w:eastAsia="Courier New" w:hAnsi="Courier New"/>
                <w:sz w:val="18"/>
                <w:szCs w:val="18"/>
                <w:color w:val="auto"/>
                <w:w w:val="74"/>
              </w:rPr>
              <w:t>equipment</w:t>
            </w:r>
            <w:r>
              <w:rPr>
                <w:rFonts w:ascii="Courier New" w:cs="Courier New" w:eastAsia="Courier New" w:hAnsi="Courier New"/>
                <w:sz w:val="35"/>
                <w:szCs w:val="35"/>
                <w:color w:val="auto"/>
                <w:w w:val="74"/>
                <w:vertAlign w:val="superscript"/>
              </w:rPr>
              <w:t>-------</w:t>
            </w:r>
          </w:p>
        </w:tc>
        <w:tc>
          <w:tcPr>
            <w:tcW w:w="2840" w:type="dxa"/>
            <w:vAlign w:val="bottom"/>
            <w:vMerge w:val="continue"/>
          </w:tcPr>
          <w:p>
            <w:pPr>
              <w:spacing w:after="0"/>
              <w:rPr>
                <w:sz w:val="24"/>
                <w:szCs w:val="24"/>
                <w:color w:val="auto"/>
              </w:rPr>
            </w:pPr>
          </w:p>
        </w:tc>
        <w:tc>
          <w:tcPr>
            <w:tcW w:w="1160" w:type="dxa"/>
            <w:vAlign w:val="bottom"/>
            <w:vMerge w:val="restart"/>
          </w:tcPr>
          <w:p>
            <w:pPr>
              <w:jc w:val="right"/>
              <w:ind w:right="432"/>
              <w:spacing w:after="0"/>
              <w:rPr>
                <w:sz w:val="20"/>
                <w:szCs w:val="20"/>
                <w:color w:val="auto"/>
              </w:rPr>
            </w:pPr>
            <w:r>
              <w:rPr>
                <w:rFonts w:ascii="Courier New" w:cs="Courier New" w:eastAsia="Courier New" w:hAnsi="Courier New"/>
                <w:sz w:val="18"/>
                <w:szCs w:val="18"/>
                <w:color w:val="auto"/>
                <w:w w:val="95"/>
              </w:rPr>
              <w:t>53,495</w:t>
            </w:r>
          </w:p>
        </w:tc>
        <w:tc>
          <w:tcPr>
            <w:tcW w:w="0" w:type="dxa"/>
            <w:vAlign w:val="bottom"/>
          </w:tcPr>
          <w:p>
            <w:pPr>
              <w:spacing w:after="0"/>
              <w:rPr>
                <w:sz w:val="1"/>
                <w:szCs w:val="1"/>
                <w:color w:val="auto"/>
              </w:rPr>
            </w:pPr>
          </w:p>
        </w:tc>
      </w:tr>
      <w:tr>
        <w:trPr>
          <w:trHeight w:val="219"/>
        </w:trPr>
        <w:tc>
          <w:tcPr>
            <w:tcW w:w="2060" w:type="dxa"/>
            <w:vAlign w:val="bottom"/>
            <w:vMerge w:val="continue"/>
          </w:tcPr>
          <w:p>
            <w:pPr>
              <w:spacing w:after="0"/>
              <w:rPr>
                <w:sz w:val="19"/>
                <w:szCs w:val="19"/>
                <w:color w:val="auto"/>
              </w:rPr>
            </w:pPr>
          </w:p>
        </w:tc>
        <w:tc>
          <w:tcPr>
            <w:tcW w:w="2840" w:type="dxa"/>
            <w:vAlign w:val="bottom"/>
            <w:vMerge w:val="restart"/>
          </w:tcPr>
          <w:p>
            <w:pPr>
              <w:jc w:val="center"/>
              <w:ind w:right="752"/>
              <w:spacing w:after="0"/>
              <w:rPr>
                <w:sz w:val="20"/>
                <w:szCs w:val="20"/>
                <w:color w:val="auto"/>
              </w:rPr>
            </w:pPr>
            <w:r>
              <w:rPr>
                <w:rFonts w:ascii="Courier New" w:cs="Courier New" w:eastAsia="Courier New" w:hAnsi="Courier New"/>
                <w:sz w:val="18"/>
                <w:szCs w:val="18"/>
                <w:color w:val="auto"/>
                <w:w w:val="96"/>
              </w:rPr>
              <w:t>Intangible</w:t>
            </w:r>
          </w:p>
        </w:tc>
        <w:tc>
          <w:tcPr>
            <w:tcW w:w="1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206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assets</w:t>
            </w:r>
          </w:p>
        </w:tc>
        <w:tc>
          <w:tcPr>
            <w:tcW w:w="2840" w:type="dxa"/>
            <w:vAlign w:val="bottom"/>
            <w:vMerge w:val="continue"/>
          </w:tcPr>
          <w:p>
            <w:pPr>
              <w:spacing w:after="0"/>
              <w:rPr>
                <w:sz w:val="16"/>
                <w:szCs w:val="16"/>
                <w:color w:val="auto"/>
              </w:rPr>
            </w:pPr>
          </w:p>
        </w:tc>
        <w:tc>
          <w:tcPr>
            <w:tcW w:w="11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384,277</w:t>
            </w:r>
          </w:p>
        </w:tc>
        <w:tc>
          <w:tcPr>
            <w:tcW w:w="0" w:type="dxa"/>
            <w:vAlign w:val="bottom"/>
          </w:tcPr>
          <w:p>
            <w:pPr>
              <w:spacing w:after="0"/>
              <w:rPr>
                <w:sz w:val="1"/>
                <w:szCs w:val="1"/>
                <w:color w:val="auto"/>
              </w:rPr>
            </w:pPr>
          </w:p>
        </w:tc>
      </w:tr>
      <w:tr>
        <w:trPr>
          <w:trHeight w:val="203"/>
        </w:trPr>
        <w:tc>
          <w:tcPr>
            <w:tcW w:w="2060" w:type="dxa"/>
            <w:vAlign w:val="bottom"/>
            <w:vMerge w:val="continue"/>
          </w:tcPr>
          <w:p>
            <w:pPr>
              <w:spacing w:after="0"/>
              <w:rPr>
                <w:sz w:val="17"/>
                <w:szCs w:val="17"/>
                <w:color w:val="auto"/>
              </w:rPr>
            </w:pPr>
          </w:p>
        </w:tc>
        <w:tc>
          <w:tcPr>
            <w:tcW w:w="2840" w:type="dxa"/>
            <w:vAlign w:val="bottom"/>
            <w:vMerge w:val="restart"/>
          </w:tcPr>
          <w:p>
            <w:pPr>
              <w:jc w:val="center"/>
              <w:ind w:right="752"/>
              <w:spacing w:after="0"/>
              <w:rPr>
                <w:sz w:val="20"/>
                <w:szCs w:val="20"/>
                <w:color w:val="auto"/>
              </w:rPr>
            </w:pPr>
            <w:r>
              <w:rPr>
                <w:rFonts w:ascii="Courier New" w:cs="Courier New" w:eastAsia="Courier New" w:hAnsi="Courier New"/>
                <w:sz w:val="18"/>
                <w:szCs w:val="18"/>
                <w:color w:val="auto"/>
                <w:w w:val="96"/>
              </w:rPr>
              <w:t>Future income</w:t>
            </w: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60" w:type="dxa"/>
            <w:vAlign w:val="bottom"/>
            <w:vMerge w:val="restart"/>
          </w:tcPr>
          <w:p>
            <w:pPr>
              <w:jc w:val="right"/>
              <w:ind w:right="1180"/>
              <w:spacing w:after="0"/>
              <w:rPr>
                <w:sz w:val="20"/>
                <w:szCs w:val="20"/>
                <w:color w:val="auto"/>
              </w:rPr>
            </w:pPr>
            <w:r>
              <w:rPr>
                <w:rFonts w:ascii="Courier New" w:cs="Courier New" w:eastAsia="Courier New" w:hAnsi="Courier New"/>
                <w:sz w:val="18"/>
                <w:szCs w:val="18"/>
                <w:color w:val="auto"/>
              </w:rPr>
              <w:t>taxes</w:t>
            </w:r>
          </w:p>
        </w:tc>
        <w:tc>
          <w:tcPr>
            <w:tcW w:w="2840" w:type="dxa"/>
            <w:vAlign w:val="bottom"/>
            <w:vMerge w:val="continue"/>
          </w:tcPr>
          <w:p>
            <w:pPr>
              <w:spacing w:after="0"/>
              <w:rPr>
                <w:sz w:val="17"/>
                <w:szCs w:val="17"/>
                <w:color w:val="auto"/>
              </w:rPr>
            </w:pPr>
          </w:p>
        </w:tc>
        <w:tc>
          <w:tcPr>
            <w:tcW w:w="116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10,082</w:t>
            </w:r>
          </w:p>
        </w:tc>
        <w:tc>
          <w:tcPr>
            <w:tcW w:w="0" w:type="dxa"/>
            <w:vAlign w:val="bottom"/>
          </w:tcPr>
          <w:p>
            <w:pPr>
              <w:spacing w:after="0"/>
              <w:rPr>
                <w:sz w:val="1"/>
                <w:szCs w:val="1"/>
                <w:color w:val="auto"/>
              </w:rPr>
            </w:pPr>
          </w:p>
        </w:tc>
      </w:tr>
      <w:tr>
        <w:trPr>
          <w:trHeight w:val="203"/>
        </w:trPr>
        <w:tc>
          <w:tcPr>
            <w:tcW w:w="2060" w:type="dxa"/>
            <w:vAlign w:val="bottom"/>
            <w:vMerge w:val="continue"/>
          </w:tcPr>
          <w:p>
            <w:pPr>
              <w:spacing w:after="0"/>
              <w:rPr>
                <w:sz w:val="17"/>
                <w:szCs w:val="17"/>
                <w:color w:val="auto"/>
              </w:rPr>
            </w:pPr>
          </w:p>
        </w:tc>
        <w:tc>
          <w:tcPr>
            <w:tcW w:w="2840" w:type="dxa"/>
            <w:vAlign w:val="bottom"/>
            <w:vMerge w:val="restart"/>
          </w:tcPr>
          <w:p>
            <w:pPr>
              <w:jc w:val="center"/>
              <w:ind w:right="732"/>
              <w:spacing w:after="0"/>
              <w:rPr>
                <w:sz w:val="20"/>
                <w:szCs w:val="20"/>
                <w:color w:val="auto"/>
              </w:rPr>
            </w:pPr>
            <w:r>
              <w:rPr>
                <w:rFonts w:ascii="Courier New" w:cs="Courier New" w:eastAsia="Courier New" w:hAnsi="Courier New"/>
                <w:sz w:val="18"/>
                <w:szCs w:val="18"/>
                <w:color w:val="auto"/>
                <w:w w:val="97"/>
              </w:rPr>
              <w:t>Accrued benefit</w:t>
            </w: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6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asset</w:t>
            </w:r>
          </w:p>
        </w:tc>
        <w:tc>
          <w:tcPr>
            <w:tcW w:w="284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60" w:type="dxa"/>
            <w:vAlign w:val="bottom"/>
            <w:vMerge w:val="continue"/>
          </w:tcPr>
          <w:p>
            <w:pPr>
              <w:spacing w:after="0"/>
              <w:rPr>
                <w:sz w:val="17"/>
                <w:szCs w:val="17"/>
                <w:color w:val="auto"/>
              </w:rPr>
            </w:pPr>
          </w:p>
        </w:tc>
        <w:tc>
          <w:tcPr>
            <w:tcW w:w="4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3,046 ------</w:t>
            </w:r>
          </w:p>
        </w:tc>
        <w:tc>
          <w:tcPr>
            <w:tcW w:w="0" w:type="dxa"/>
            <w:vAlign w:val="bottom"/>
          </w:tcPr>
          <w:p>
            <w:pPr>
              <w:spacing w:after="0"/>
              <w:rPr>
                <w:sz w:val="1"/>
                <w:szCs w:val="1"/>
                <w:color w:val="auto"/>
              </w:rPr>
            </w:pPr>
          </w:p>
        </w:tc>
      </w:tr>
      <w:tr>
        <w:trPr>
          <w:trHeight w:val="203"/>
        </w:trPr>
        <w:tc>
          <w:tcPr>
            <w:tcW w:w="606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- 521,912 ======= LIABILITIES Current liabilities</w:t>
            </w:r>
          </w:p>
        </w:tc>
        <w:tc>
          <w:tcPr>
            <w:tcW w:w="0" w:type="dxa"/>
            <w:vAlign w:val="bottom"/>
          </w:tcPr>
          <w:p>
            <w:pPr>
              <w:spacing w:after="0"/>
              <w:rPr>
                <w:sz w:val="1"/>
                <w:szCs w:val="1"/>
                <w:color w:val="auto"/>
              </w:rPr>
            </w:pPr>
          </w:p>
        </w:tc>
      </w:tr>
      <w:tr>
        <w:trPr>
          <w:trHeight w:val="203"/>
        </w:trPr>
        <w:tc>
          <w:tcPr>
            <w:tcW w:w="4900" w:type="dxa"/>
            <w:vAlign w:val="bottom"/>
            <w:gridSpan w:val="2"/>
          </w:tcPr>
          <w:p>
            <w:pPr>
              <w:jc w:val="center"/>
              <w:ind w:left="1140"/>
              <w:spacing w:after="0" w:line="203" w:lineRule="exact"/>
              <w:rPr>
                <w:sz w:val="20"/>
                <w:szCs w:val="20"/>
                <w:color w:val="auto"/>
              </w:rPr>
            </w:pPr>
            <w:r>
              <w:rPr>
                <w:rFonts w:ascii="Courier New" w:cs="Courier New" w:eastAsia="Courier New" w:hAnsi="Courier New"/>
                <w:sz w:val="18"/>
                <w:szCs w:val="18"/>
                <w:color w:val="auto"/>
                <w:w w:val="97"/>
              </w:rPr>
              <w:t>Accounts payable and accrued</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60" w:type="dxa"/>
            <w:vAlign w:val="bottom"/>
          </w:tcPr>
          <w:p>
            <w:pPr>
              <w:jc w:val="right"/>
              <w:spacing w:after="0"/>
              <w:rPr>
                <w:sz w:val="20"/>
                <w:szCs w:val="20"/>
                <w:color w:val="auto"/>
              </w:rPr>
            </w:pPr>
            <w:r>
              <w:rPr>
                <w:rFonts w:ascii="Courier New" w:cs="Courier New" w:eastAsia="Courier New" w:hAnsi="Courier New"/>
                <w:sz w:val="16"/>
                <w:szCs w:val="16"/>
                <w:color w:val="auto"/>
                <w:w w:val="73"/>
              </w:rPr>
              <w:t>liabilities..................</w:t>
            </w:r>
          </w:p>
        </w:tc>
        <w:tc>
          <w:tcPr>
            <w:tcW w:w="40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155,110 Income and other</w:t>
            </w:r>
          </w:p>
        </w:tc>
        <w:tc>
          <w:tcPr>
            <w:tcW w:w="0" w:type="dxa"/>
            <w:vAlign w:val="bottom"/>
          </w:tcPr>
          <w:p>
            <w:pPr>
              <w:spacing w:after="0"/>
              <w:rPr>
                <w:sz w:val="1"/>
                <w:szCs w:val="1"/>
                <w:color w:val="auto"/>
              </w:rPr>
            </w:pPr>
          </w:p>
        </w:tc>
      </w:tr>
      <w:tr>
        <w:trPr>
          <w:trHeight w:val="203"/>
        </w:trPr>
        <w:tc>
          <w:tcPr>
            <w:tcW w:w="2060" w:type="dxa"/>
            <w:vAlign w:val="bottom"/>
          </w:tcPr>
          <w:p>
            <w:pPr>
              <w:jc w:val="right"/>
              <w:spacing w:after="0"/>
              <w:rPr>
                <w:sz w:val="20"/>
                <w:szCs w:val="20"/>
                <w:color w:val="auto"/>
              </w:rPr>
            </w:pPr>
            <w:r>
              <w:rPr>
                <w:rFonts w:ascii="Courier New" w:cs="Courier New" w:eastAsia="Courier New" w:hAnsi="Courier New"/>
                <w:sz w:val="11"/>
                <w:szCs w:val="11"/>
                <w:color w:val="auto"/>
                <w:w w:val="75"/>
              </w:rPr>
              <w:t>taxes payable............................</w:t>
            </w:r>
          </w:p>
        </w:tc>
        <w:tc>
          <w:tcPr>
            <w:tcW w:w="4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8,241 Current</w:t>
            </w:r>
          </w:p>
        </w:tc>
        <w:tc>
          <w:tcPr>
            <w:tcW w:w="0" w:type="dxa"/>
            <w:vAlign w:val="bottom"/>
          </w:tcPr>
          <w:p>
            <w:pPr>
              <w:spacing w:after="0"/>
              <w:rPr>
                <w:sz w:val="1"/>
                <w:szCs w:val="1"/>
                <w:color w:val="auto"/>
              </w:rPr>
            </w:pPr>
          </w:p>
        </w:tc>
      </w:tr>
      <w:tr>
        <w:trPr>
          <w:trHeight w:val="203"/>
        </w:trPr>
        <w:tc>
          <w:tcPr>
            <w:tcW w:w="4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0"/>
              </w:rPr>
              <w:t>portion of loan payable...........................</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2,976</w:t>
            </w:r>
          </w:p>
        </w:tc>
        <w:tc>
          <w:tcPr>
            <w:tcW w:w="0" w:type="dxa"/>
            <w:vAlign w:val="bottom"/>
          </w:tcPr>
          <w:p>
            <w:pPr>
              <w:spacing w:after="0"/>
              <w:rPr>
                <w:sz w:val="1"/>
                <w:szCs w:val="1"/>
                <w:color w:val="auto"/>
              </w:rPr>
            </w:pPr>
          </w:p>
        </w:tc>
      </w:tr>
      <w:tr>
        <w:trPr>
          <w:trHeight w:val="203"/>
        </w:trPr>
        <w:tc>
          <w:tcPr>
            <w:tcW w:w="606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Current portion of obligation under capital</w:t>
            </w:r>
          </w:p>
        </w:tc>
        <w:tc>
          <w:tcPr>
            <w:tcW w:w="0" w:type="dxa"/>
            <w:vAlign w:val="bottom"/>
          </w:tcPr>
          <w:p>
            <w:pPr>
              <w:spacing w:after="0"/>
              <w:rPr>
                <w:sz w:val="1"/>
                <w:szCs w:val="1"/>
                <w:color w:val="auto"/>
              </w:rPr>
            </w:pPr>
          </w:p>
        </w:tc>
      </w:tr>
      <w:tr>
        <w:trPr>
          <w:trHeight w:val="203"/>
        </w:trPr>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leases........</w:t>
            </w:r>
          </w:p>
        </w:tc>
        <w:tc>
          <w:tcPr>
            <w:tcW w:w="2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27,740 Other current</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60" w:type="dxa"/>
            <w:vAlign w:val="bottom"/>
          </w:tcPr>
          <w:p>
            <w:pPr>
              <w:jc w:val="right"/>
              <w:spacing w:after="0"/>
              <w:rPr>
                <w:sz w:val="20"/>
                <w:szCs w:val="20"/>
                <w:color w:val="auto"/>
              </w:rPr>
            </w:pPr>
            <w:r>
              <w:rPr>
                <w:rFonts w:ascii="Courier New" w:cs="Courier New" w:eastAsia="Courier New" w:hAnsi="Courier New"/>
                <w:sz w:val="11"/>
                <w:szCs w:val="11"/>
                <w:color w:val="auto"/>
                <w:w w:val="70"/>
              </w:rPr>
              <w:t>liabilities.................................</w:t>
            </w:r>
          </w:p>
        </w:tc>
        <w:tc>
          <w:tcPr>
            <w:tcW w:w="4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4,920 ------</w:t>
            </w:r>
          </w:p>
        </w:tc>
        <w:tc>
          <w:tcPr>
            <w:tcW w:w="0" w:type="dxa"/>
            <w:vAlign w:val="bottom"/>
          </w:tcPr>
          <w:p>
            <w:pPr>
              <w:spacing w:after="0"/>
              <w:rPr>
                <w:sz w:val="1"/>
                <w:szCs w:val="1"/>
                <w:color w:val="auto"/>
              </w:rPr>
            </w:pPr>
          </w:p>
        </w:tc>
      </w:tr>
      <w:tr>
        <w:trPr>
          <w:trHeight w:val="203"/>
        </w:trPr>
        <w:tc>
          <w:tcPr>
            <w:tcW w:w="606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- 198,987 Convertible debentures due to related</w:t>
            </w:r>
          </w:p>
        </w:tc>
        <w:tc>
          <w:tcPr>
            <w:tcW w:w="0" w:type="dxa"/>
            <w:vAlign w:val="bottom"/>
          </w:tcPr>
          <w:p>
            <w:pPr>
              <w:spacing w:after="0"/>
              <w:rPr>
                <w:sz w:val="1"/>
                <w:szCs w:val="1"/>
                <w:color w:val="auto"/>
              </w:rPr>
            </w:pPr>
          </w:p>
        </w:tc>
      </w:tr>
      <w:tr>
        <w:trPr>
          <w:trHeight w:val="235"/>
        </w:trPr>
        <w:tc>
          <w:tcPr>
            <w:tcW w:w="2060" w:type="dxa"/>
            <w:vAlign w:val="bottom"/>
          </w:tcPr>
          <w:p>
            <w:pPr>
              <w:jc w:val="right"/>
              <w:spacing w:after="0"/>
              <w:rPr>
                <w:sz w:val="20"/>
                <w:szCs w:val="20"/>
                <w:color w:val="auto"/>
              </w:rPr>
            </w:pPr>
            <w:r>
              <w:rPr>
                <w:rFonts w:ascii="Courier New" w:cs="Courier New" w:eastAsia="Courier New" w:hAnsi="Courier New"/>
                <w:sz w:val="18"/>
                <w:szCs w:val="18"/>
                <w:color w:val="auto"/>
                <w:w w:val="85"/>
              </w:rPr>
              <w:t>party.................</w:t>
            </w:r>
          </w:p>
        </w:tc>
        <w:tc>
          <w:tcPr>
            <w:tcW w:w="2840" w:type="dxa"/>
            <w:vAlign w:val="bottom"/>
          </w:tcPr>
          <w:p>
            <w:pPr>
              <w:jc w:val="right"/>
              <w:spacing w:after="0"/>
              <w:rPr>
                <w:sz w:val="20"/>
                <w:szCs w:val="20"/>
                <w:color w:val="auto"/>
              </w:rPr>
            </w:pPr>
            <w:r>
              <w:rPr>
                <w:rFonts w:ascii="Courier New" w:cs="Courier New" w:eastAsia="Courier New" w:hAnsi="Courier New"/>
                <w:sz w:val="18"/>
                <w:szCs w:val="18"/>
                <w:color w:val="auto"/>
              </w:rPr>
              <w:t>36,281 Loan</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349"/>
        </w:trPr>
        <w:tc>
          <w:tcPr>
            <w:tcW w:w="1420" w:type="dxa"/>
            <w:vAlign w:val="bottom"/>
          </w:tcPr>
          <w:p>
            <w:pPr>
              <w:jc w:val="right"/>
              <w:spacing w:after="0"/>
              <w:rPr>
                <w:sz w:val="20"/>
                <w:szCs w:val="20"/>
                <w:color w:val="auto"/>
              </w:rPr>
            </w:pPr>
            <w:r>
              <w:rPr>
                <w:rFonts w:ascii="Courier New" w:cs="Courier New" w:eastAsia="Courier New" w:hAnsi="Courier New"/>
                <w:sz w:val="3"/>
                <w:szCs w:val="3"/>
                <w:color w:val="auto"/>
                <w:w w:val="83"/>
              </w:rPr>
              <w:t>payable</w:t>
            </w:r>
            <w:r>
              <w:rPr>
                <w:rFonts w:ascii="Courier New" w:cs="Courier New" w:eastAsia="Courier New" w:hAnsi="Courier New"/>
                <w:sz w:val="6"/>
                <w:szCs w:val="6"/>
                <w:color w:val="auto"/>
                <w:w w:val="83"/>
                <w:vertAlign w:val="subscript"/>
              </w:rPr>
              <w:t>.............................</w:t>
            </w:r>
            <w:r>
              <w:rPr>
                <w:rFonts w:ascii="Courier New" w:cs="Courier New" w:eastAsia="Courier New" w:hAnsi="Courier New"/>
                <w:sz w:val="3"/>
                <w:szCs w:val="3"/>
                <w:color w:val="auto"/>
                <w:w w:val="83"/>
              </w:rPr>
              <w:t>................................................</w:t>
            </w:r>
          </w:p>
        </w:tc>
        <w:tc>
          <w:tcPr>
            <w:tcW w:w="4580" w:type="dxa"/>
            <w:vAlign w:val="bottom"/>
            <w:gridSpan w:val="2"/>
            <w:vMerge w:val="restart"/>
          </w:tcPr>
          <w:p>
            <w:pPr>
              <w:jc w:val="center"/>
              <w:ind w:right="1332"/>
              <w:spacing w:after="0"/>
              <w:rPr>
                <w:sz w:val="20"/>
                <w:szCs w:val="20"/>
                <w:color w:val="auto"/>
              </w:rPr>
            </w:pPr>
            <w:r>
              <w:rPr>
                <w:rFonts w:ascii="Courier New" w:cs="Courier New" w:eastAsia="Courier New" w:hAnsi="Courier New"/>
                <w:sz w:val="18"/>
                <w:szCs w:val="18"/>
                <w:color w:val="auto"/>
                <w:w w:val="97"/>
              </w:rPr>
              <w:t>1,529 Obligation under capital</w:t>
            </w:r>
          </w:p>
        </w:tc>
        <w:tc>
          <w:tcPr>
            <w:tcW w:w="0" w:type="dxa"/>
            <w:vAlign w:val="bottom"/>
          </w:tcPr>
          <w:p>
            <w:pPr>
              <w:spacing w:after="0"/>
              <w:rPr>
                <w:sz w:val="1"/>
                <w:szCs w:val="1"/>
                <w:color w:val="auto"/>
              </w:rPr>
            </w:pPr>
          </w:p>
        </w:tc>
      </w:tr>
      <w:tr>
        <w:trPr>
          <w:trHeight w:val="24"/>
        </w:trPr>
        <w:tc>
          <w:tcPr>
            <w:tcW w:w="1420" w:type="dxa"/>
            <w:vAlign w:val="bottom"/>
            <w:vMerge w:val="restart"/>
          </w:tcPr>
          <w:p>
            <w:pPr>
              <w:jc w:val="right"/>
              <w:ind w:right="677"/>
              <w:spacing w:after="0"/>
              <w:rPr>
                <w:sz w:val="20"/>
                <w:szCs w:val="20"/>
                <w:color w:val="auto"/>
              </w:rPr>
            </w:pPr>
            <w:r>
              <w:rPr>
                <w:rFonts w:ascii="Courier New" w:cs="Courier New" w:eastAsia="Courier New" w:hAnsi="Courier New"/>
                <w:sz w:val="18"/>
                <w:szCs w:val="18"/>
                <w:color w:val="auto"/>
              </w:rPr>
              <w:t>leases</w:t>
            </w:r>
          </w:p>
        </w:tc>
        <w:tc>
          <w:tcPr>
            <w:tcW w:w="458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420" w:type="dxa"/>
            <w:vAlign w:val="bottom"/>
            <w:vMerge w:val="continue"/>
          </w:tcPr>
          <w:p>
            <w:pPr>
              <w:spacing w:after="0"/>
              <w:rPr>
                <w:sz w:val="17"/>
                <w:szCs w:val="17"/>
                <w:color w:val="auto"/>
              </w:rPr>
            </w:pPr>
          </w:p>
        </w:tc>
        <w:tc>
          <w:tcPr>
            <w:tcW w:w="2420" w:type="dxa"/>
            <w:vAlign w:val="bottom"/>
          </w:tcPr>
          <w:p>
            <w:pPr>
              <w:spacing w:after="0"/>
              <w:rPr>
                <w:sz w:val="17"/>
                <w:szCs w:val="17"/>
                <w:color w:val="auto"/>
              </w:rPr>
            </w:pPr>
          </w:p>
        </w:tc>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25,179 Future income</w:t>
            </w:r>
          </w:p>
        </w:tc>
        <w:tc>
          <w:tcPr>
            <w:tcW w:w="0" w:type="dxa"/>
            <w:vAlign w:val="bottom"/>
          </w:tcPr>
          <w:p>
            <w:pPr>
              <w:spacing w:after="0"/>
              <w:rPr>
                <w:sz w:val="1"/>
                <w:szCs w:val="1"/>
                <w:color w:val="auto"/>
              </w:rPr>
            </w:pPr>
          </w:p>
        </w:tc>
      </w:tr>
      <w:tr>
        <w:trPr>
          <w:trHeight w:val="381"/>
        </w:trPr>
        <w:tc>
          <w:tcPr>
            <w:tcW w:w="1420" w:type="dxa"/>
            <w:vAlign w:val="bottom"/>
          </w:tcPr>
          <w:p>
            <w:pPr>
              <w:jc w:val="right"/>
              <w:spacing w:after="0"/>
              <w:rPr>
                <w:sz w:val="20"/>
                <w:szCs w:val="20"/>
                <w:color w:val="auto"/>
              </w:rPr>
            </w:pPr>
            <w:r>
              <w:rPr>
                <w:rFonts w:ascii="Courier New" w:cs="Courier New" w:eastAsia="Courier New" w:hAnsi="Courier New"/>
                <w:sz w:val="3"/>
                <w:szCs w:val="3"/>
                <w:color w:val="auto"/>
                <w:w w:val="83"/>
              </w:rPr>
              <w:t>taxes.........................................</w:t>
            </w:r>
            <w:r>
              <w:rPr>
                <w:rFonts w:ascii="Courier New" w:cs="Courier New" w:eastAsia="Courier New" w:hAnsi="Courier New"/>
                <w:sz w:val="6"/>
                <w:szCs w:val="6"/>
                <w:color w:val="auto"/>
                <w:w w:val="83"/>
                <w:vertAlign w:val="subscript"/>
              </w:rPr>
              <w:t>...................................</w:t>
            </w:r>
          </w:p>
        </w:tc>
        <w:tc>
          <w:tcPr>
            <w:tcW w:w="2420" w:type="dxa"/>
            <w:vAlign w:val="bottom"/>
            <w:vMerge w:val="restart"/>
          </w:tcPr>
          <w:p>
            <w:pPr>
              <w:jc w:val="center"/>
              <w:ind w:left="672"/>
              <w:spacing w:after="0"/>
              <w:rPr>
                <w:sz w:val="20"/>
                <w:szCs w:val="20"/>
                <w:color w:val="auto"/>
              </w:rPr>
            </w:pPr>
            <w:r>
              <w:rPr>
                <w:rFonts w:ascii="Courier New" w:cs="Courier New" w:eastAsia="Courier New" w:hAnsi="Courier New"/>
                <w:sz w:val="18"/>
                <w:szCs w:val="18"/>
                <w:color w:val="auto"/>
                <w:w w:val="97"/>
              </w:rPr>
              <w:t>Accrued benefit</w:t>
            </w:r>
          </w:p>
        </w:tc>
        <w:tc>
          <w:tcPr>
            <w:tcW w:w="2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39,493</w:t>
            </w:r>
          </w:p>
        </w:tc>
        <w:tc>
          <w:tcPr>
            <w:tcW w:w="0" w:type="dxa"/>
            <w:vAlign w:val="bottom"/>
          </w:tcPr>
          <w:p>
            <w:pPr>
              <w:spacing w:after="0"/>
              <w:rPr>
                <w:sz w:val="1"/>
                <w:szCs w:val="1"/>
                <w:color w:val="auto"/>
              </w:rPr>
            </w:pPr>
          </w:p>
        </w:tc>
      </w:tr>
      <w:tr>
        <w:trPr>
          <w:trHeight w:val="118"/>
        </w:trPr>
        <w:tc>
          <w:tcPr>
            <w:tcW w:w="1420" w:type="dxa"/>
            <w:vAlign w:val="bottom"/>
            <w:vMerge w:val="restart"/>
          </w:tcPr>
          <w:p>
            <w:pPr>
              <w:jc w:val="right"/>
              <w:ind w:right="417"/>
              <w:spacing w:after="0"/>
              <w:rPr>
                <w:sz w:val="20"/>
                <w:szCs w:val="20"/>
                <w:color w:val="auto"/>
              </w:rPr>
            </w:pPr>
            <w:r>
              <w:rPr>
                <w:rFonts w:ascii="Courier New" w:cs="Courier New" w:eastAsia="Courier New" w:hAnsi="Courier New"/>
                <w:sz w:val="18"/>
                <w:szCs w:val="18"/>
                <w:color w:val="auto"/>
                <w:w w:val="94"/>
              </w:rPr>
              <w:t>liability</w:t>
            </w:r>
          </w:p>
        </w:tc>
        <w:tc>
          <w:tcPr>
            <w:tcW w:w="2420" w:type="dxa"/>
            <w:vAlign w:val="bottom"/>
            <w:vMerge w:val="continue"/>
          </w:tcPr>
          <w:p>
            <w:pPr>
              <w:spacing w:after="0"/>
              <w:rPr>
                <w:sz w:val="10"/>
                <w:szCs w:val="10"/>
                <w:color w:val="auto"/>
              </w:rPr>
            </w:pPr>
          </w:p>
        </w:tc>
        <w:tc>
          <w:tcPr>
            <w:tcW w:w="2160" w:type="dxa"/>
            <w:vAlign w:val="bottom"/>
            <w:vMerge w:val="restart"/>
          </w:tcPr>
          <w:p>
            <w:pPr>
              <w:ind w:left="900"/>
              <w:spacing w:after="0"/>
              <w:rPr>
                <w:sz w:val="20"/>
                <w:szCs w:val="20"/>
                <w:color w:val="auto"/>
              </w:rPr>
            </w:pPr>
            <w:r>
              <w:rPr>
                <w:rFonts w:ascii="Courier New" w:cs="Courier New" w:eastAsia="Courier New" w:hAnsi="Courier New"/>
                <w:sz w:val="18"/>
                <w:szCs w:val="18"/>
                <w:color w:val="auto"/>
                <w:w w:val="95"/>
              </w:rPr>
              <w:t>10,318 Other</w:t>
            </w:r>
          </w:p>
        </w:tc>
        <w:tc>
          <w:tcPr>
            <w:tcW w:w="0" w:type="dxa"/>
            <w:vAlign w:val="bottom"/>
          </w:tcPr>
          <w:p>
            <w:pPr>
              <w:spacing w:after="0"/>
              <w:rPr>
                <w:sz w:val="1"/>
                <w:szCs w:val="1"/>
                <w:color w:val="auto"/>
              </w:rPr>
            </w:pPr>
          </w:p>
        </w:tc>
      </w:tr>
      <w:tr>
        <w:trPr>
          <w:trHeight w:val="109"/>
        </w:trPr>
        <w:tc>
          <w:tcPr>
            <w:tcW w:w="1420" w:type="dxa"/>
            <w:vAlign w:val="bottom"/>
            <w:vMerge w:val="continue"/>
          </w:tcPr>
          <w:p>
            <w:pPr>
              <w:spacing w:after="0"/>
              <w:rPr>
                <w:sz w:val="9"/>
                <w:szCs w:val="9"/>
                <w:color w:val="auto"/>
              </w:rPr>
            </w:pPr>
          </w:p>
        </w:tc>
        <w:tc>
          <w:tcPr>
            <w:tcW w:w="2420" w:type="dxa"/>
            <w:vAlign w:val="bottom"/>
          </w:tcPr>
          <w:p>
            <w:pPr>
              <w:spacing w:after="0"/>
              <w:rPr>
                <w:sz w:val="9"/>
                <w:szCs w:val="9"/>
                <w:color w:val="auto"/>
              </w:rPr>
            </w:pPr>
          </w:p>
        </w:tc>
        <w:tc>
          <w:tcPr>
            <w:tcW w:w="2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38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3"/>
              </w:rPr>
              <w:t>long-term liabilities.................................</w:t>
            </w:r>
          </w:p>
        </w:tc>
        <w:tc>
          <w:tcPr>
            <w:tcW w:w="2160" w:type="dxa"/>
            <w:vAlign w:val="bottom"/>
            <w:vMerge w:val="restart"/>
          </w:tcPr>
          <w:p>
            <w:pPr>
              <w:spacing w:after="0"/>
              <w:rPr>
                <w:sz w:val="20"/>
                <w:szCs w:val="20"/>
                <w:color w:val="auto"/>
              </w:rPr>
            </w:pPr>
            <w:r>
              <w:rPr>
                <w:rFonts w:ascii="Courier New" w:cs="Courier New" w:eastAsia="Courier New" w:hAnsi="Courier New"/>
                <w:sz w:val="18"/>
                <w:szCs w:val="18"/>
                <w:color w:val="auto"/>
              </w:rPr>
              <w:t>Commitments and</w:t>
            </w:r>
          </w:p>
        </w:tc>
        <w:tc>
          <w:tcPr>
            <w:tcW w:w="0" w:type="dxa"/>
            <w:vAlign w:val="bottom"/>
          </w:tcPr>
          <w:p>
            <w:pPr>
              <w:spacing w:after="0"/>
              <w:rPr>
                <w:sz w:val="1"/>
                <w:szCs w:val="1"/>
                <w:color w:val="auto"/>
              </w:rPr>
            </w:pPr>
          </w:p>
        </w:tc>
      </w:tr>
      <w:tr>
        <w:trPr>
          <w:trHeight w:val="235"/>
        </w:trPr>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w w:val="92"/>
              </w:rPr>
              <w:t>25,136 -------</w:t>
            </w:r>
          </w:p>
        </w:tc>
        <w:tc>
          <w:tcPr>
            <w:tcW w:w="2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336,923 -------</w:t>
            </w:r>
          </w:p>
        </w:tc>
        <w:tc>
          <w:tcPr>
            <w:tcW w:w="2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Courier New" w:cs="Courier New" w:eastAsia="Courier New" w:hAnsi="Courier New"/>
          <w:sz w:val="16"/>
          <w:szCs w:val="16"/>
          <w:color w:val="auto"/>
        </w:rPr>
        <w:t>contingencies SHAREHOLDERS' EQUITY Option on convertible</w:t>
      </w:r>
    </w:p>
    <w:tbl>
      <w:tblPr>
        <w:tblLayout w:type="fixed"/>
        <w:tblInd w:w="120" w:type="dxa"/>
        <w:tblCellMar>
          <w:top w:w="0" w:type="dxa"/>
          <w:left w:w="0" w:type="dxa"/>
          <w:bottom w:w="0" w:type="dxa"/>
          <w:right w:w="0" w:type="dxa"/>
        </w:tblCellMar>
      </w:tblPr>
      <w:tr>
        <w:trPr>
          <w:trHeight w:val="192"/>
        </w:trPr>
        <w:tc>
          <w:tcPr>
            <w:tcW w:w="4000" w:type="dxa"/>
            <w:vAlign w:val="bottom"/>
            <w:gridSpan w:val="2"/>
          </w:tcPr>
          <w:p>
            <w:pPr>
              <w:jc w:val="right"/>
              <w:spacing w:after="0" w:line="192" w:lineRule="exact"/>
              <w:rPr>
                <w:sz w:val="20"/>
                <w:szCs w:val="20"/>
                <w:color w:val="auto"/>
              </w:rPr>
            </w:pPr>
            <w:r>
              <w:rPr>
                <w:rFonts w:ascii="Courier New" w:cs="Courier New" w:eastAsia="Courier New" w:hAnsi="Courier New"/>
                <w:sz w:val="18"/>
                <w:szCs w:val="18"/>
                <w:color w:val="auto"/>
              </w:rPr>
              <w:t>debentures due to related party.....</w:t>
            </w:r>
          </w:p>
        </w:tc>
        <w:tc>
          <w:tcPr>
            <w:tcW w:w="1900" w:type="dxa"/>
            <w:vAlign w:val="bottom"/>
          </w:tcPr>
          <w:p>
            <w:pPr>
              <w:jc w:val="right"/>
              <w:ind w:right="232"/>
              <w:spacing w:after="0" w:line="192" w:lineRule="exact"/>
              <w:rPr>
                <w:sz w:val="20"/>
                <w:szCs w:val="20"/>
                <w:color w:val="auto"/>
              </w:rPr>
            </w:pPr>
            <w:r>
              <w:rPr>
                <w:rFonts w:ascii="Courier New" w:cs="Courier New" w:eastAsia="Courier New" w:hAnsi="Courier New"/>
                <w:sz w:val="18"/>
                <w:szCs w:val="18"/>
                <w:color w:val="auto"/>
              </w:rPr>
              <w:t>37,960 Common</w:t>
            </w:r>
          </w:p>
        </w:tc>
        <w:tc>
          <w:tcPr>
            <w:tcW w:w="0" w:type="dxa"/>
            <w:vAlign w:val="bottom"/>
          </w:tcPr>
          <w:p>
            <w:pPr>
              <w:spacing w:after="0"/>
              <w:rPr>
                <w:sz w:val="1"/>
                <w:szCs w:val="1"/>
                <w:color w:val="auto"/>
              </w:rPr>
            </w:pPr>
          </w:p>
        </w:tc>
      </w:tr>
      <w:tr>
        <w:trPr>
          <w:trHeight w:val="203"/>
        </w:trPr>
        <w:tc>
          <w:tcPr>
            <w:tcW w:w="4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2"/>
              </w:rPr>
              <w:t>shares.............................................</w:t>
            </w: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gridSpan w:val="2"/>
          </w:tcPr>
          <w:p>
            <w:pPr>
              <w:jc w:val="right"/>
              <w:spacing w:after="0" w:line="202" w:lineRule="exact"/>
              <w:rPr>
                <w:sz w:val="20"/>
                <w:szCs w:val="20"/>
                <w:color w:val="auto"/>
              </w:rPr>
            </w:pPr>
            <w:r>
              <w:rPr>
                <w:rFonts w:ascii="Courier New" w:cs="Courier New" w:eastAsia="Courier New" w:hAnsi="Courier New"/>
                <w:sz w:val="13"/>
                <w:szCs w:val="13"/>
                <w:color w:val="auto"/>
                <w:w w:val="86"/>
              </w:rPr>
              <w:t>.........................................</w:t>
            </w:r>
            <w:r>
              <w:rPr>
                <w:rFonts w:ascii="Courier New" w:cs="Courier New" w:eastAsia="Courier New" w:hAnsi="Courier New"/>
                <w:sz w:val="23"/>
                <w:szCs w:val="23"/>
                <w:color w:val="auto"/>
                <w:w w:val="86"/>
                <w:vertAlign w:val="superscript"/>
              </w:rPr>
              <w:t>102,169Retained</w:t>
            </w:r>
          </w:p>
        </w:tc>
        <w:tc>
          <w:tcPr>
            <w:tcW w:w="19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44,860</w:t>
            </w:r>
          </w:p>
        </w:tc>
        <w:tc>
          <w:tcPr>
            <w:tcW w:w="0" w:type="dxa"/>
            <w:vAlign w:val="bottom"/>
          </w:tcPr>
          <w:p>
            <w:pPr>
              <w:spacing w:after="0"/>
              <w:rPr>
                <w:sz w:val="1"/>
                <w:szCs w:val="1"/>
                <w:color w:val="auto"/>
              </w:rPr>
            </w:pPr>
          </w:p>
        </w:tc>
      </w:tr>
      <w:tr>
        <w:trPr>
          <w:trHeight w:val="203"/>
        </w:trPr>
        <w:tc>
          <w:tcPr>
            <w:tcW w:w="3420" w:type="dxa"/>
            <w:vAlign w:val="bottom"/>
          </w:tcPr>
          <w:p>
            <w:pPr>
              <w:jc w:val="right"/>
              <w:ind w:right="2496"/>
              <w:spacing w:after="0" w:line="203" w:lineRule="exact"/>
              <w:rPr>
                <w:sz w:val="20"/>
                <w:szCs w:val="20"/>
                <w:color w:val="auto"/>
              </w:rPr>
            </w:pPr>
            <w:r>
              <w:rPr>
                <w:rFonts w:ascii="Courier New" w:cs="Courier New" w:eastAsia="Courier New" w:hAnsi="Courier New"/>
                <w:sz w:val="18"/>
                <w:szCs w:val="18"/>
                <w:color w:val="auto"/>
                <w:w w:val="94"/>
              </w:rPr>
              <w:t>earnings</w:t>
            </w:r>
          </w:p>
        </w:tc>
        <w:tc>
          <w:tcPr>
            <w:tcW w:w="580" w:type="dxa"/>
            <w:vAlign w:val="bottom"/>
          </w:tcPr>
          <w:p>
            <w:pPr>
              <w:spacing w:after="0"/>
              <w:rPr>
                <w:sz w:val="17"/>
                <w:szCs w:val="17"/>
                <w:color w:val="auto"/>
              </w:rPr>
            </w:pPr>
          </w:p>
        </w:tc>
        <w:tc>
          <w:tcPr>
            <w:tcW w:w="1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420" w:type="dxa"/>
            <w:vAlign w:val="bottom"/>
          </w:tcPr>
          <w:p>
            <w:pPr>
              <w:jc w:val="right"/>
              <w:ind w:right="36"/>
              <w:spacing w:after="0"/>
              <w:rPr>
                <w:sz w:val="20"/>
                <w:szCs w:val="20"/>
                <w:color w:val="auto"/>
              </w:rPr>
            </w:pPr>
            <w:r>
              <w:rPr>
                <w:rFonts w:ascii="Courier New" w:cs="Courier New" w:eastAsia="Courier New" w:hAnsi="Courier New"/>
                <w:sz w:val="18"/>
                <w:szCs w:val="18"/>
                <w:color w:val="auto"/>
              </w:rPr>
              <w:t>------- 184,989 -------</w:t>
            </w:r>
          </w:p>
        </w:tc>
        <w:tc>
          <w:tcPr>
            <w:tcW w:w="2480" w:type="dxa"/>
            <w:vAlign w:val="bottom"/>
            <w:gridSpan w:val="2"/>
          </w:tcPr>
          <w:p>
            <w:pPr>
              <w:jc w:val="right"/>
              <w:ind w:right="812"/>
              <w:spacing w:after="0"/>
              <w:rPr>
                <w:sz w:val="20"/>
                <w:szCs w:val="20"/>
                <w:color w:val="auto"/>
              </w:rPr>
            </w:pPr>
            <w:r>
              <w:rPr>
                <w:rFonts w:ascii="Courier New" w:cs="Courier New" w:eastAsia="Courier New" w:hAnsi="Courier New"/>
                <w:sz w:val="18"/>
                <w:szCs w:val="18"/>
                <w:color w:val="auto"/>
                <w:w w:val="96"/>
              </w:rPr>
              <w:t>521,912 =======</w:t>
            </w:r>
          </w:p>
        </w:tc>
        <w:tc>
          <w:tcPr>
            <w:tcW w:w="0" w:type="dxa"/>
            <w:vAlign w:val="bottom"/>
          </w:tcPr>
          <w:p>
            <w:pPr>
              <w:spacing w:after="0"/>
              <w:rPr>
                <w:sz w:val="1"/>
                <w:szCs w:val="1"/>
                <w:color w:val="auto"/>
              </w:rPr>
            </w:pPr>
          </w:p>
        </w:tc>
      </w:tr>
      <w:tr>
        <w:trPr>
          <w:trHeight w:val="608"/>
        </w:trPr>
        <w:tc>
          <w:tcPr>
            <w:tcW w:w="3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900" w:type="dxa"/>
            <w:vAlign w:val="bottom"/>
          </w:tcPr>
          <w:p>
            <w:pPr>
              <w:jc w:val="center"/>
              <w:ind w:right="1392"/>
              <w:spacing w:after="0"/>
              <w:rPr>
                <w:sz w:val="20"/>
                <w:szCs w:val="20"/>
                <w:color w:val="auto"/>
              </w:rPr>
            </w:pPr>
            <w:r>
              <w:rPr>
                <w:rFonts w:ascii="Courier New" w:cs="Courier New" w:eastAsia="Courier New" w:hAnsi="Courier New"/>
                <w:sz w:val="18"/>
                <w:szCs w:val="18"/>
                <w:color w:val="auto"/>
                <w:w w:val="97"/>
              </w:rPr>
              <w:t>F-56</w:t>
            </w:r>
          </w:p>
        </w:tc>
        <w:tc>
          <w:tcPr>
            <w:tcW w:w="0" w:type="dxa"/>
            <w:vAlign w:val="bottom"/>
          </w:tcPr>
          <w:p>
            <w:pPr>
              <w:spacing w:after="0"/>
              <w:rPr>
                <w:sz w:val="1"/>
                <w:szCs w:val="1"/>
                <w:color w:val="auto"/>
              </w:rPr>
            </w:pPr>
          </w:p>
        </w:tc>
      </w:tr>
    </w:tbl>
    <w:p>
      <w:pPr>
        <w:sectPr>
          <w:pgSz w:w="11900" w:h="16838" w:orient="portrait"/>
          <w:cols w:equalWidth="0" w:num="1">
            <w:col w:w="10219"/>
          </w:cols>
          <w:pgMar w:left="240" w:top="691" w:right="1440" w:bottom="1440" w:gutter="0" w:footer="0" w:header="0"/>
        </w:sectPr>
      </w:pPr>
    </w:p>
    <w:bookmarkStart w:id="144" w:name="page145"/>
    <w:bookmarkEnd w:id="144"/>
    <w:p>
      <w:pPr>
        <w:jc w:val="center"/>
        <w:ind w:right="1879"/>
        <w:spacing w:after="0"/>
        <w:rPr>
          <w:sz w:val="20"/>
          <w:szCs w:val="20"/>
          <w:color w:val="auto"/>
        </w:rPr>
      </w:pPr>
      <w:r>
        <w:rPr>
          <w:rFonts w:ascii="Courier New" w:cs="Courier New" w:eastAsia="Courier New" w:hAnsi="Courier New"/>
          <w:sz w:val="18"/>
          <w:szCs w:val="18"/>
          <w:color w:val="auto"/>
        </w:rPr>
        <w:t>CERTEN INC.</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STATEMENT OF CASH FLOWS SIX-MONTH PERIOD ENDED JUNE 30, 2003</w:t>
      </w:r>
    </w:p>
    <w:p>
      <w:pPr>
        <w:spacing w:after="0" w:line="5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(IN THOUSANDS OF CANADIAN DOLLARS)</w:t>
      </w:r>
    </w:p>
    <w:p>
      <w:pPr>
        <w:spacing w:after="0" w:line="169" w:lineRule="exact"/>
        <w:rPr>
          <w:sz w:val="20"/>
          <w:szCs w:val="20"/>
          <w:color w:val="auto"/>
        </w:rPr>
      </w:pPr>
    </w:p>
    <w:p>
      <w:pPr>
        <w:ind w:left="60" w:right="4479" w:firstLine="211"/>
        <w:spacing w:after="0" w:line="289" w:lineRule="auto"/>
        <w:tabs>
          <w:tab w:leader="none" w:pos="482"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(UNAUDITED) OPERATING ACTIVITIES Net loss..................................................</w:t>
      </w:r>
    </w:p>
    <w:p>
      <w:pPr>
        <w:jc w:val="center"/>
        <w:ind w:right="4419"/>
        <w:spacing w:after="0"/>
        <w:rPr>
          <w:sz w:val="20"/>
          <w:szCs w:val="20"/>
          <w:color w:val="auto"/>
        </w:rPr>
      </w:pPr>
      <w:r>
        <w:rPr>
          <w:rFonts w:ascii="Courier New" w:cs="Courier New" w:eastAsia="Courier New" w:hAnsi="Courier New"/>
          <w:sz w:val="18"/>
          <w:szCs w:val="18"/>
          <w:color w:val="auto"/>
        </w:rPr>
        <w:t>(6,208) Adjustments for:</w:t>
      </w:r>
    </w:p>
    <w:p>
      <w:pPr>
        <w:spacing w:after="0" w:line="238" w:lineRule="auto"/>
        <w:rPr>
          <w:sz w:val="20"/>
          <w:szCs w:val="20"/>
          <w:color w:val="auto"/>
        </w:rPr>
      </w:pPr>
      <w:r>
        <w:rPr>
          <w:rFonts w:ascii="Courier New" w:cs="Courier New" w:eastAsia="Courier New" w:hAnsi="Courier New"/>
          <w:sz w:val="18"/>
          <w:szCs w:val="18"/>
          <w:color w:val="auto"/>
        </w:rPr>
        <w:t>Amortization...........................................</w:t>
      </w:r>
    </w:p>
    <w:p>
      <w:pPr>
        <w:jc w:val="center"/>
        <w:ind w:right="4419"/>
        <w:spacing w:after="0"/>
        <w:rPr>
          <w:sz w:val="20"/>
          <w:szCs w:val="20"/>
          <w:color w:val="auto"/>
        </w:rPr>
      </w:pPr>
      <w:r>
        <w:rPr>
          <w:rFonts w:ascii="Courier New" w:cs="Courier New" w:eastAsia="Courier New" w:hAnsi="Courier New"/>
          <w:sz w:val="18"/>
          <w:szCs w:val="18"/>
          <w:color w:val="auto"/>
        </w:rPr>
        <w:t>56,453 Accretion on convertible debentures due to</w:t>
      </w:r>
    </w:p>
    <w:p>
      <w:pPr>
        <w:jc w:val="center"/>
        <w:ind w:right="4419"/>
        <w:spacing w:after="0" w:line="238" w:lineRule="auto"/>
        <w:rPr>
          <w:sz w:val="20"/>
          <w:szCs w:val="20"/>
          <w:color w:val="auto"/>
        </w:rPr>
      </w:pPr>
      <w:r>
        <w:rPr>
          <w:rFonts w:ascii="Courier New" w:cs="Courier New" w:eastAsia="Courier New" w:hAnsi="Courier New"/>
          <w:sz w:val="18"/>
          <w:szCs w:val="18"/>
          <w:color w:val="auto"/>
        </w:rPr>
        <w:t>related</w:t>
      </w:r>
    </w:p>
    <w:p>
      <w:pPr>
        <w:ind w:left="60"/>
        <w:spacing w:after="0"/>
        <w:rPr>
          <w:sz w:val="20"/>
          <w:szCs w:val="20"/>
          <w:color w:val="auto"/>
        </w:rPr>
      </w:pPr>
      <w:r>
        <w:rPr>
          <w:rFonts w:ascii="Courier New" w:cs="Courier New" w:eastAsia="Courier New" w:hAnsi="Courier New"/>
          <w:sz w:val="18"/>
          <w:szCs w:val="18"/>
          <w:color w:val="auto"/>
        </w:rPr>
        <w:t>party.................................................</w:t>
      </w:r>
    </w:p>
    <w:p>
      <w:pPr>
        <w:jc w:val="center"/>
        <w:ind w:right="4419"/>
        <w:spacing w:after="0" w:line="238" w:lineRule="auto"/>
        <w:rPr>
          <w:sz w:val="20"/>
          <w:szCs w:val="20"/>
          <w:color w:val="auto"/>
        </w:rPr>
      </w:pPr>
      <w:r>
        <w:rPr>
          <w:rFonts w:ascii="Courier New" w:cs="Courier New" w:eastAsia="Courier New" w:hAnsi="Courier New"/>
          <w:sz w:val="18"/>
          <w:szCs w:val="18"/>
          <w:color w:val="auto"/>
        </w:rPr>
        <w:t>3,054 Gain from sale of property, plant and</w:t>
      </w:r>
    </w:p>
    <w:p>
      <w:pPr>
        <w:jc w:val="center"/>
        <w:ind w:right="4419"/>
        <w:spacing w:after="0"/>
        <w:rPr>
          <w:sz w:val="20"/>
          <w:szCs w:val="20"/>
          <w:color w:val="auto"/>
        </w:rPr>
      </w:pPr>
      <w:r>
        <w:rPr>
          <w:rFonts w:ascii="Courier New" w:cs="Courier New" w:eastAsia="Courier New" w:hAnsi="Courier New"/>
          <w:sz w:val="18"/>
          <w:szCs w:val="18"/>
          <w:color w:val="auto"/>
        </w:rPr>
        <w:t>equipment........ (11) Future income</w:t>
      </w:r>
    </w:p>
    <w:p>
      <w:pPr>
        <w:jc w:val="center"/>
        <w:ind w:right="4419"/>
        <w:spacing w:after="0" w:line="238" w:lineRule="auto"/>
        <w:rPr>
          <w:sz w:val="20"/>
          <w:szCs w:val="20"/>
          <w:color w:val="auto"/>
        </w:rPr>
      </w:pPr>
      <w:r>
        <w:rPr>
          <w:rFonts w:ascii="Courier New" w:cs="Courier New" w:eastAsia="Courier New" w:hAnsi="Courier New"/>
          <w:sz w:val="18"/>
          <w:szCs w:val="18"/>
          <w:color w:val="auto"/>
        </w:rPr>
        <w:t>taxes.................................... 691 Net</w:t>
      </w:r>
    </w:p>
    <w:p>
      <w:pPr>
        <w:ind w:left="220"/>
        <w:spacing w:after="0"/>
        <w:rPr>
          <w:sz w:val="20"/>
          <w:szCs w:val="20"/>
          <w:color w:val="auto"/>
        </w:rPr>
      </w:pPr>
      <w:r>
        <w:rPr>
          <w:rFonts w:ascii="Courier New" w:cs="Courier New" w:eastAsia="Courier New" w:hAnsi="Courier New"/>
          <w:sz w:val="18"/>
          <w:szCs w:val="18"/>
          <w:color w:val="auto"/>
        </w:rPr>
        <w:t>benefit plans expense..............................</w:t>
      </w:r>
    </w:p>
    <w:p>
      <w:pPr>
        <w:ind w:left="580"/>
        <w:spacing w:after="0" w:line="238" w:lineRule="auto"/>
        <w:rPr>
          <w:sz w:val="20"/>
          <w:szCs w:val="20"/>
          <w:color w:val="auto"/>
        </w:rPr>
      </w:pPr>
      <w:r>
        <w:rPr>
          <w:rFonts w:ascii="Courier New" w:cs="Courier New" w:eastAsia="Courier New" w:hAnsi="Courier New"/>
          <w:sz w:val="18"/>
          <w:szCs w:val="18"/>
          <w:color w:val="auto"/>
        </w:rPr>
        <w:t>2,139 Net change in non-cash working capital</w:t>
      </w:r>
    </w:p>
    <w:tbl>
      <w:tblPr>
        <w:tblLayout w:type="fixed"/>
        <w:tblInd w:w="280" w:type="dxa"/>
        <w:tblCellMar>
          <w:top w:w="0" w:type="dxa"/>
          <w:left w:w="0" w:type="dxa"/>
          <w:bottom w:w="0" w:type="dxa"/>
          <w:right w:w="0" w:type="dxa"/>
        </w:tblCellMar>
      </w:tblPr>
      <w:tr>
        <w:trPr>
          <w:trHeight w:val="203"/>
        </w:trPr>
        <w:tc>
          <w:tcPr>
            <w:tcW w:w="2040" w:type="dxa"/>
            <w:vAlign w:val="bottom"/>
          </w:tcPr>
          <w:p>
            <w:pPr>
              <w:spacing w:after="0"/>
              <w:rPr>
                <w:sz w:val="20"/>
                <w:szCs w:val="20"/>
                <w:color w:val="auto"/>
              </w:rPr>
            </w:pPr>
            <w:r>
              <w:rPr>
                <w:rFonts w:ascii="Courier New" w:cs="Courier New" w:eastAsia="Courier New" w:hAnsi="Courier New"/>
                <w:sz w:val="18"/>
                <w:szCs w:val="18"/>
                <w:color w:val="auto"/>
                <w:w w:val="98"/>
              </w:rPr>
              <w:t>items..............</w:t>
            </w:r>
          </w:p>
        </w:tc>
        <w:tc>
          <w:tcPr>
            <w:tcW w:w="3220" w:type="dxa"/>
            <w:vAlign w:val="bottom"/>
          </w:tcPr>
          <w:p>
            <w:pPr>
              <w:jc w:val="right"/>
              <w:spacing w:after="0"/>
              <w:rPr>
                <w:sz w:val="20"/>
                <w:szCs w:val="20"/>
                <w:color w:val="auto"/>
              </w:rPr>
            </w:pPr>
            <w:r>
              <w:rPr>
                <w:rFonts w:ascii="Courier New" w:cs="Courier New" w:eastAsia="Courier New" w:hAnsi="Courier New"/>
                <w:sz w:val="18"/>
                <w:szCs w:val="18"/>
                <w:color w:val="auto"/>
                <w:w w:val="98"/>
              </w:rPr>
              <w:t>47,987 ------- 104,105 -------</w:t>
            </w:r>
          </w:p>
        </w:tc>
      </w:tr>
    </w:tbl>
    <w:p>
      <w:pPr>
        <w:jc w:val="center"/>
        <w:ind w:right="4419"/>
        <w:spacing w:after="0" w:line="238" w:lineRule="auto"/>
        <w:rPr>
          <w:sz w:val="20"/>
          <w:szCs w:val="20"/>
          <w:color w:val="auto"/>
        </w:rPr>
      </w:pPr>
      <w:r>
        <w:rPr>
          <w:rFonts w:ascii="Courier New" w:cs="Courier New" w:eastAsia="Courier New" w:hAnsi="Courier New"/>
          <w:sz w:val="18"/>
          <w:szCs w:val="18"/>
          <w:color w:val="auto"/>
        </w:rPr>
        <w:t>INVESTING ACTIVITIES Capital</w:t>
      </w:r>
    </w:p>
    <w:p>
      <w:pPr>
        <w:ind w:left="280"/>
        <w:spacing w:after="0"/>
        <w:rPr>
          <w:sz w:val="20"/>
          <w:szCs w:val="20"/>
          <w:color w:val="auto"/>
        </w:rPr>
      </w:pPr>
      <w:r>
        <w:rPr>
          <w:rFonts w:ascii="Courier New" w:cs="Courier New" w:eastAsia="Courier New" w:hAnsi="Courier New"/>
          <w:sz w:val="18"/>
          <w:szCs w:val="18"/>
          <w:color w:val="auto"/>
        </w:rPr>
        <w:t>expenditures......................................</w:t>
      </w:r>
    </w:p>
    <w:p>
      <w:pPr>
        <w:ind w:left="60"/>
        <w:spacing w:after="0" w:line="238" w:lineRule="auto"/>
        <w:rPr>
          <w:sz w:val="20"/>
          <w:szCs w:val="20"/>
          <w:color w:val="auto"/>
        </w:rPr>
      </w:pPr>
      <w:r>
        <w:rPr>
          <w:rFonts w:ascii="Courier New" w:cs="Courier New" w:eastAsia="Courier New" w:hAnsi="Courier New"/>
          <w:sz w:val="18"/>
          <w:szCs w:val="18"/>
          <w:color w:val="auto"/>
        </w:rPr>
        <w:t>(79,311) Proceeds from disposal of property, plant and</w:t>
      </w:r>
    </w:p>
    <w:tbl>
      <w:tblPr>
        <w:tblLayout w:type="fixed"/>
        <w:tblInd w:w="60" w:type="dxa"/>
        <w:tblCellMar>
          <w:top w:w="0" w:type="dxa"/>
          <w:left w:w="0" w:type="dxa"/>
          <w:bottom w:w="0" w:type="dxa"/>
          <w:right w:w="0" w:type="dxa"/>
        </w:tblCellMar>
      </w:tblPr>
      <w:tr>
        <w:trPr>
          <w:trHeight w:val="171"/>
        </w:trPr>
        <w:tc>
          <w:tcPr>
            <w:tcW w:w="1520" w:type="dxa"/>
            <w:vAlign w:val="bottom"/>
          </w:tcPr>
          <w:p>
            <w:pPr>
              <w:jc w:val="right"/>
              <w:ind w:right="28"/>
              <w:spacing w:after="0" w:line="171" w:lineRule="exact"/>
              <w:rPr>
                <w:sz w:val="20"/>
                <w:szCs w:val="20"/>
                <w:color w:val="auto"/>
              </w:rPr>
            </w:pPr>
            <w:r>
              <w:rPr>
                <w:rFonts w:ascii="Courier New" w:cs="Courier New" w:eastAsia="Courier New" w:hAnsi="Courier New"/>
                <w:sz w:val="18"/>
                <w:szCs w:val="18"/>
                <w:color w:val="auto"/>
              </w:rPr>
              <w:t>equipment...</w:t>
            </w:r>
          </w:p>
        </w:tc>
        <w:tc>
          <w:tcPr>
            <w:tcW w:w="4160" w:type="dxa"/>
            <w:vAlign w:val="bottom"/>
            <w:gridSpan w:val="2"/>
          </w:tcPr>
          <w:p>
            <w:pPr>
              <w:jc w:val="right"/>
              <w:ind w:right="52"/>
              <w:spacing w:after="0" w:line="171" w:lineRule="exact"/>
              <w:rPr>
                <w:sz w:val="20"/>
                <w:szCs w:val="20"/>
                <w:color w:val="auto"/>
              </w:rPr>
            </w:pPr>
            <w:r>
              <w:rPr>
                <w:rFonts w:ascii="Courier New" w:cs="Courier New" w:eastAsia="Courier New" w:hAnsi="Courier New"/>
                <w:sz w:val="18"/>
                <w:szCs w:val="18"/>
                <w:color w:val="auto"/>
                <w:w w:val="97"/>
              </w:rPr>
              <w:t>332 ------- (78,979) ------- FINANCING</w:t>
            </w:r>
          </w:p>
        </w:tc>
        <w:tc>
          <w:tcPr>
            <w:tcW w:w="0" w:type="dxa"/>
            <w:vAlign w:val="bottom"/>
          </w:tcPr>
          <w:p>
            <w:pPr>
              <w:spacing w:after="0"/>
              <w:rPr>
                <w:sz w:val="1"/>
                <w:szCs w:val="1"/>
                <w:color w:val="auto"/>
              </w:rPr>
            </w:pPr>
          </w:p>
        </w:tc>
      </w:tr>
      <w:tr>
        <w:trPr>
          <w:trHeight w:val="203"/>
        </w:trPr>
        <w:tc>
          <w:tcPr>
            <w:tcW w:w="500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ACTIVITIES Repayment of capital</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20" w:type="dxa"/>
            <w:vAlign w:val="bottom"/>
          </w:tcPr>
          <w:p>
            <w:pPr>
              <w:jc w:val="right"/>
              <w:spacing w:after="0"/>
              <w:rPr>
                <w:sz w:val="20"/>
                <w:szCs w:val="20"/>
                <w:color w:val="auto"/>
              </w:rPr>
            </w:pPr>
            <w:r>
              <w:rPr>
                <w:rFonts w:ascii="Courier New" w:cs="Courier New" w:eastAsia="Courier New" w:hAnsi="Courier New"/>
                <w:sz w:val="9"/>
                <w:szCs w:val="9"/>
                <w:color w:val="auto"/>
                <w:w w:val="75"/>
              </w:rPr>
              <w:t>leases...............................</w:t>
            </w:r>
          </w:p>
        </w:tc>
        <w:tc>
          <w:tcPr>
            <w:tcW w:w="4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(24,358) -------</w:t>
            </w:r>
          </w:p>
        </w:tc>
        <w:tc>
          <w:tcPr>
            <w:tcW w:w="0" w:type="dxa"/>
            <w:vAlign w:val="bottom"/>
          </w:tcPr>
          <w:p>
            <w:pPr>
              <w:spacing w:after="0"/>
              <w:rPr>
                <w:sz w:val="1"/>
                <w:szCs w:val="1"/>
                <w:color w:val="auto"/>
              </w:rPr>
            </w:pPr>
          </w:p>
        </w:tc>
      </w:tr>
      <w:tr>
        <w:trPr>
          <w:trHeight w:val="203"/>
        </w:trPr>
        <w:tc>
          <w:tcPr>
            <w:tcW w:w="500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Net increase in cash and cash</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20" w:type="dxa"/>
            <w:vAlign w:val="bottom"/>
          </w:tcPr>
          <w:p>
            <w:pPr>
              <w:jc w:val="right"/>
              <w:spacing w:after="0"/>
              <w:rPr>
                <w:sz w:val="20"/>
                <w:szCs w:val="20"/>
                <w:color w:val="auto"/>
              </w:rPr>
            </w:pPr>
            <w:r>
              <w:rPr>
                <w:rFonts w:ascii="Courier New" w:cs="Courier New" w:eastAsia="Courier New" w:hAnsi="Courier New"/>
                <w:sz w:val="11"/>
                <w:szCs w:val="11"/>
                <w:color w:val="auto"/>
                <w:w w:val="75"/>
              </w:rPr>
              <w:t>equivalents...................</w:t>
            </w:r>
          </w:p>
        </w:tc>
        <w:tc>
          <w:tcPr>
            <w:tcW w:w="416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768 Cash and cash</w:t>
            </w:r>
          </w:p>
        </w:tc>
        <w:tc>
          <w:tcPr>
            <w:tcW w:w="0" w:type="dxa"/>
            <w:vAlign w:val="bottom"/>
          </w:tcPr>
          <w:p>
            <w:pPr>
              <w:spacing w:after="0"/>
              <w:rPr>
                <w:sz w:val="1"/>
                <w:szCs w:val="1"/>
                <w:color w:val="auto"/>
              </w:rPr>
            </w:pPr>
          </w:p>
        </w:tc>
      </w:tr>
      <w:tr>
        <w:trPr>
          <w:trHeight w:val="203"/>
        </w:trPr>
        <w:tc>
          <w:tcPr>
            <w:tcW w:w="5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equivalents, beginning of period..............</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33,590</w:t>
            </w:r>
          </w:p>
        </w:tc>
        <w:tc>
          <w:tcPr>
            <w:tcW w:w="0" w:type="dxa"/>
            <w:vAlign w:val="bottom"/>
          </w:tcPr>
          <w:p>
            <w:pPr>
              <w:spacing w:after="0"/>
              <w:rPr>
                <w:sz w:val="1"/>
                <w:szCs w:val="1"/>
                <w:color w:val="auto"/>
              </w:rPr>
            </w:pPr>
          </w:p>
        </w:tc>
      </w:tr>
      <w:tr>
        <w:trPr>
          <w:trHeight w:val="203"/>
        </w:trPr>
        <w:tc>
          <w:tcPr>
            <w:tcW w:w="15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75"/>
                <w:vertAlign w:val="superscript"/>
              </w:rPr>
              <w:t>-------</w:t>
            </w:r>
            <w:r>
              <w:rPr>
                <w:rFonts w:ascii="Courier New" w:cs="Courier New" w:eastAsia="Courier New" w:hAnsi="Courier New"/>
                <w:sz w:val="10"/>
                <w:szCs w:val="10"/>
                <w:color w:val="auto"/>
                <w:w w:val="75"/>
              </w:rPr>
              <w:t>PERIOD....................</w:t>
            </w:r>
          </w:p>
        </w:tc>
        <w:tc>
          <w:tcPr>
            <w:tcW w:w="3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CASH AND CASH EQUIVALENTS, END OF</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3"/>
        </w:trPr>
        <w:tc>
          <w:tcPr>
            <w:tcW w:w="1520" w:type="dxa"/>
            <w:vAlign w:val="bottom"/>
            <w:vMerge w:val="continue"/>
          </w:tcPr>
          <w:p>
            <w:pPr>
              <w:spacing w:after="0"/>
              <w:rPr>
                <w:sz w:val="24"/>
                <w:szCs w:val="24"/>
                <w:color w:val="auto"/>
              </w:rPr>
            </w:pPr>
          </w:p>
        </w:tc>
        <w:tc>
          <w:tcPr>
            <w:tcW w:w="3480" w:type="dxa"/>
            <w:vAlign w:val="bottom"/>
          </w:tcPr>
          <w:p>
            <w:pPr>
              <w:jc w:val="right"/>
              <w:spacing w:after="0"/>
              <w:rPr>
                <w:sz w:val="20"/>
                <w:szCs w:val="20"/>
                <w:color w:val="auto"/>
              </w:rPr>
            </w:pPr>
            <w:r>
              <w:rPr>
                <w:rFonts w:ascii="Courier New" w:cs="Courier New" w:eastAsia="Courier New" w:hAnsi="Courier New"/>
                <w:sz w:val="18"/>
                <w:szCs w:val="18"/>
                <w:color w:val="auto"/>
              </w:rPr>
              <w:t>34,358 =======</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1"/>
        </w:trPr>
        <w:tc>
          <w:tcPr>
            <w:tcW w:w="1520" w:type="dxa"/>
            <w:vAlign w:val="bottom"/>
          </w:tcPr>
          <w:p>
            <w:pPr>
              <w:spacing w:after="0"/>
              <w:rPr>
                <w:sz w:val="24"/>
                <w:szCs w:val="24"/>
                <w:color w:val="auto"/>
              </w:rPr>
            </w:pPr>
          </w:p>
        </w:tc>
        <w:tc>
          <w:tcPr>
            <w:tcW w:w="348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F-57</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690" w:right="1440" w:bottom="1440" w:gutter="0" w:footer="0" w:header="0"/>
        </w:sectPr>
      </w:pPr>
    </w:p>
    <w:bookmarkStart w:id="145" w:name="page146"/>
    <w:bookmarkEnd w:id="145"/>
    <w:p>
      <w:pPr>
        <w:ind w:left="8340"/>
        <w:spacing w:after="0"/>
        <w:rPr>
          <w:sz w:val="20"/>
          <w:szCs w:val="20"/>
          <w:color w:val="auto"/>
        </w:rPr>
      </w:pPr>
      <w:r>
        <w:rPr>
          <w:rFonts w:ascii="Courier New" w:cs="Courier New" w:eastAsia="Courier New" w:hAnsi="Courier New"/>
          <w:sz w:val="18"/>
          <w:szCs w:val="18"/>
          <w:color w:val="auto"/>
        </w:rPr>
        <w:t>.</w:t>
      </w:r>
    </w:p>
    <w:p>
      <w:pPr>
        <w:spacing w:after="0" w:line="29" w:lineRule="exact"/>
        <w:rPr>
          <w:sz w:val="20"/>
          <w:szCs w:val="20"/>
          <w:color w:val="auto"/>
        </w:rPr>
      </w:pPr>
    </w:p>
    <w:p>
      <w:pPr>
        <w:ind w:left="8340"/>
        <w:spacing w:after="0"/>
        <w:rPr>
          <w:sz w:val="20"/>
          <w:szCs w:val="20"/>
          <w:color w:val="auto"/>
        </w:rPr>
      </w:pPr>
      <w:r>
        <w:rPr>
          <w:rFonts w:ascii="Courier New" w:cs="Courier New" w:eastAsia="Courier New" w:hAnsi="Courier New"/>
          <w:sz w:val="18"/>
          <w:szCs w:val="18"/>
          <w:color w:val="auto"/>
        </w:rPr>
        <w:t>.</w:t>
      </w:r>
    </w:p>
    <w:p>
      <w:pPr>
        <w:jc w:val="right"/>
        <w:ind w:right="274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jc w:val="right"/>
        <w:ind w:right="2740"/>
        <w:spacing w:after="0"/>
        <w:rPr>
          <w:sz w:val="20"/>
          <w:szCs w:val="20"/>
          <w:color w:val="auto"/>
        </w:rPr>
      </w:pPr>
      <w:r>
        <w:rPr>
          <w:rFonts w:ascii="Courier New" w:cs="Courier New" w:eastAsia="Courier New" w:hAnsi="Courier New"/>
          <w:sz w:val="18"/>
          <w:szCs w:val="18"/>
          <w:color w:val="auto"/>
        </w:rPr>
        <w:t>EXHIBIT 8</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SIGNIFICANT SUBSIDIARIES OF AMDOCS LIMITED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52" w:lineRule="exact"/>
        <w:rPr>
          <w:sz w:val="20"/>
          <w:szCs w:val="20"/>
          <w:color w:val="auto"/>
        </w:rPr>
      </w:pPr>
    </w:p>
    <w:p>
      <w:pPr>
        <w:jc w:val="center"/>
        <w:ind w:right="840"/>
        <w:spacing w:after="0"/>
        <w:tabs>
          <w:tab w:leader="none" w:pos="1460" w:val="left"/>
          <w:tab w:leader="none" w:pos="2100" w:val="left"/>
        </w:tabs>
        <w:rPr>
          <w:sz w:val="20"/>
          <w:szCs w:val="20"/>
          <w:color w:val="auto"/>
        </w:rPr>
      </w:pPr>
      <w:r>
        <w:rPr>
          <w:rFonts w:ascii="Courier New" w:cs="Courier New" w:eastAsia="Courier New" w:hAnsi="Courier New"/>
          <w:sz w:val="18"/>
          <w:szCs w:val="18"/>
          <w:color w:val="auto"/>
        </w:rPr>
        <w:t>LIST OF THE SUBSIDIARIES</w:t>
      </w:r>
      <w:r>
        <w:rPr>
          <w:sz w:val="20"/>
          <w:szCs w:val="20"/>
          <w:color w:val="auto"/>
        </w:rPr>
        <w:tab/>
      </w:r>
      <w:r>
        <w:rPr>
          <w:rFonts w:ascii="Courier New" w:cs="Courier New" w:eastAsia="Courier New" w:hAnsi="Courier New"/>
          <w:sz w:val="18"/>
          <w:szCs w:val="18"/>
          <w:color w:val="auto"/>
        </w:rPr>
        <w:t>JURISDICTION OF</w:t>
      </w:r>
      <w:r>
        <w:rPr>
          <w:sz w:val="20"/>
          <w:szCs w:val="20"/>
          <w:color w:val="auto"/>
        </w:rPr>
        <w:tab/>
      </w:r>
      <w:r>
        <w:rPr>
          <w:rFonts w:ascii="Courier New" w:cs="Courier New" w:eastAsia="Courier New" w:hAnsi="Courier New"/>
          <w:sz w:val="16"/>
          <w:szCs w:val="16"/>
          <w:color w:val="auto"/>
        </w:rPr>
        <w:t>BUSINESS NAME</w:t>
      </w:r>
    </w:p>
    <w:p>
      <w:pPr>
        <w:jc w:val="center"/>
        <w:ind w:right="200"/>
        <w:spacing w:after="0" w:line="238" w:lineRule="auto"/>
        <w:rPr>
          <w:sz w:val="20"/>
          <w:szCs w:val="20"/>
          <w:color w:val="auto"/>
        </w:rPr>
      </w:pPr>
      <w:r>
        <w:rPr>
          <w:rFonts w:ascii="Courier New" w:cs="Courier New" w:eastAsia="Courier New" w:hAnsi="Courier New"/>
          <w:sz w:val="18"/>
          <w:szCs w:val="18"/>
          <w:color w:val="auto"/>
        </w:rPr>
        <w:t>INCORPORATION OR</w:t>
      </w:r>
    </w:p>
    <w:p>
      <w:pPr>
        <w:jc w:val="center"/>
        <w:ind w:right="200"/>
        <w:spacing w:after="0"/>
        <w:rPr>
          <w:sz w:val="20"/>
          <w:szCs w:val="20"/>
          <w:color w:val="auto"/>
        </w:rPr>
      </w:pPr>
      <w:r>
        <w:rPr>
          <w:rFonts w:ascii="Courier New" w:cs="Courier New" w:eastAsia="Courier New" w:hAnsi="Courier New"/>
          <w:sz w:val="18"/>
          <w:szCs w:val="18"/>
          <w:color w:val="auto"/>
        </w:rPr>
        <w:t>ORGANIZATION</w:t>
      </w: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p>
    <w:p>
      <w:pPr>
        <w:ind w:left="120"/>
        <w:spacing w:after="0"/>
        <w:tabs>
          <w:tab w:leader="none" w:pos="4000" w:val="left"/>
          <w:tab w:leader="none" w:pos="7160" w:val="left"/>
        </w:tabs>
        <w:rPr>
          <w:sz w:val="20"/>
          <w:szCs w:val="20"/>
          <w:color w:val="auto"/>
        </w:rPr>
      </w:pPr>
      <w:r>
        <w:rPr>
          <w:rFonts w:ascii="Courier New" w:cs="Courier New" w:eastAsia="Courier New" w:hAnsi="Courier New"/>
          <w:sz w:val="18"/>
          <w:szCs w:val="18"/>
          <w:color w:val="auto"/>
        </w:rPr>
        <w:t>Amdocs (Brazil) Limitada</w:t>
      </w:r>
      <w:r>
        <w:rPr>
          <w:sz w:val="20"/>
          <w:szCs w:val="20"/>
          <w:color w:val="auto"/>
        </w:rPr>
        <w:tab/>
      </w:r>
      <w:r>
        <w:rPr>
          <w:rFonts w:ascii="Courier New" w:cs="Courier New" w:eastAsia="Courier New" w:hAnsi="Courier New"/>
          <w:sz w:val="18"/>
          <w:szCs w:val="18"/>
          <w:color w:val="auto"/>
        </w:rPr>
        <w:t>Brazil</w:t>
      </w:r>
      <w:r>
        <w:rPr>
          <w:sz w:val="20"/>
          <w:szCs w:val="20"/>
          <w:color w:val="auto"/>
        </w:rPr>
        <w:tab/>
      </w:r>
      <w:r>
        <w:rPr>
          <w:rFonts w:ascii="Courier New" w:cs="Courier New" w:eastAsia="Courier New" w:hAnsi="Courier New"/>
          <w:sz w:val="16"/>
          <w:szCs w:val="16"/>
          <w:color w:val="auto"/>
        </w:rPr>
        <w:t>Amdocs (Brazil) Limitada</w:t>
      </w: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p>
    <w:p>
      <w:pPr>
        <w:ind w:left="120"/>
        <w:spacing w:after="0"/>
        <w:tabs>
          <w:tab w:leader="none" w:pos="4000" w:val="left"/>
          <w:tab w:leader="none" w:pos="7160" w:val="left"/>
        </w:tabs>
        <w:rPr>
          <w:sz w:val="20"/>
          <w:szCs w:val="20"/>
          <w:color w:val="auto"/>
        </w:rPr>
      </w:pPr>
      <w:r>
        <w:rPr>
          <w:rFonts w:ascii="Courier New" w:cs="Courier New" w:eastAsia="Courier New" w:hAnsi="Courier New"/>
          <w:sz w:val="18"/>
          <w:szCs w:val="18"/>
          <w:color w:val="auto"/>
        </w:rPr>
        <w:t>Amdocs Canada, Inc.</w:t>
      </w:r>
      <w:r>
        <w:rPr>
          <w:sz w:val="20"/>
          <w:szCs w:val="20"/>
          <w:color w:val="auto"/>
        </w:rPr>
        <w:tab/>
      </w:r>
      <w:r>
        <w:rPr>
          <w:rFonts w:ascii="Courier New" w:cs="Courier New" w:eastAsia="Courier New" w:hAnsi="Courier New"/>
          <w:sz w:val="18"/>
          <w:szCs w:val="18"/>
          <w:color w:val="auto"/>
        </w:rPr>
        <w:t>Canada</w:t>
      </w:r>
      <w:r>
        <w:rPr>
          <w:sz w:val="20"/>
          <w:szCs w:val="20"/>
          <w:color w:val="auto"/>
        </w:rPr>
        <w:tab/>
      </w:r>
      <w:r>
        <w:rPr>
          <w:rFonts w:ascii="Courier New" w:cs="Courier New" w:eastAsia="Courier New" w:hAnsi="Courier New"/>
          <w:sz w:val="16"/>
          <w:szCs w:val="16"/>
          <w:color w:val="auto"/>
        </w:rPr>
        <w:t>Amdocs Canada, Inc.</w:t>
      </w: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p>
    <w:p>
      <w:pPr>
        <w:ind w:left="120"/>
        <w:spacing w:after="0"/>
        <w:tabs>
          <w:tab w:leader="none" w:pos="4000" w:val="left"/>
          <w:tab w:leader="none" w:pos="7160" w:val="left"/>
        </w:tabs>
        <w:rPr>
          <w:sz w:val="20"/>
          <w:szCs w:val="20"/>
          <w:color w:val="auto"/>
        </w:rPr>
      </w:pPr>
      <w:r>
        <w:rPr>
          <w:rFonts w:ascii="Courier New" w:cs="Courier New" w:eastAsia="Courier New" w:hAnsi="Courier New"/>
          <w:sz w:val="18"/>
          <w:szCs w:val="18"/>
          <w:color w:val="auto"/>
        </w:rPr>
        <w:t>Amdocs Holdings ULC</w:t>
      </w:r>
      <w:r>
        <w:rPr>
          <w:sz w:val="20"/>
          <w:szCs w:val="20"/>
          <w:color w:val="auto"/>
        </w:rPr>
        <w:tab/>
      </w:r>
      <w:r>
        <w:rPr>
          <w:rFonts w:ascii="Courier New" w:cs="Courier New" w:eastAsia="Courier New" w:hAnsi="Courier New"/>
          <w:sz w:val="18"/>
          <w:szCs w:val="18"/>
          <w:color w:val="auto"/>
        </w:rPr>
        <w:t>Canada</w:t>
      </w:r>
      <w:r>
        <w:rPr>
          <w:sz w:val="20"/>
          <w:szCs w:val="20"/>
          <w:color w:val="auto"/>
        </w:rPr>
        <w:tab/>
      </w:r>
      <w:r>
        <w:rPr>
          <w:rFonts w:ascii="Courier New" w:cs="Courier New" w:eastAsia="Courier New" w:hAnsi="Courier New"/>
          <w:sz w:val="16"/>
          <w:szCs w:val="16"/>
          <w:color w:val="auto"/>
        </w:rPr>
        <w:t>Amdocs Holding ULC</w:t>
      </w: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p>
    <w:p>
      <w:pPr>
        <w:ind w:left="120"/>
        <w:spacing w:after="0"/>
        <w:tabs>
          <w:tab w:leader="none" w:pos="4000" w:val="left"/>
          <w:tab w:leader="none" w:pos="7160" w:val="left"/>
        </w:tabs>
        <w:rPr>
          <w:sz w:val="20"/>
          <w:szCs w:val="20"/>
          <w:color w:val="auto"/>
        </w:rPr>
      </w:pPr>
      <w:r>
        <w:rPr>
          <w:rFonts w:ascii="Courier New" w:cs="Courier New" w:eastAsia="Courier New" w:hAnsi="Courier New"/>
          <w:sz w:val="18"/>
          <w:szCs w:val="18"/>
          <w:color w:val="auto"/>
        </w:rPr>
        <w:t>Amdocs Canada Managed Services,</w:t>
      </w:r>
      <w:r>
        <w:rPr>
          <w:sz w:val="20"/>
          <w:szCs w:val="20"/>
          <w:color w:val="auto"/>
        </w:rPr>
        <w:tab/>
      </w:r>
      <w:r>
        <w:rPr>
          <w:rFonts w:ascii="Courier New" w:cs="Courier New" w:eastAsia="Courier New" w:hAnsi="Courier New"/>
          <w:sz w:val="18"/>
          <w:szCs w:val="18"/>
          <w:color w:val="auto"/>
        </w:rPr>
        <w:t>Canada</w:t>
      </w:r>
      <w:r>
        <w:rPr>
          <w:sz w:val="20"/>
          <w:szCs w:val="20"/>
          <w:color w:val="auto"/>
        </w:rPr>
        <w:tab/>
      </w:r>
      <w:r>
        <w:rPr>
          <w:rFonts w:ascii="Courier New" w:cs="Courier New" w:eastAsia="Courier New" w:hAnsi="Courier New"/>
          <w:sz w:val="16"/>
          <w:szCs w:val="16"/>
          <w:color w:val="auto"/>
        </w:rPr>
        <w:t>Amdocs Canada Managed Services, Inc.</w:t>
      </w:r>
    </w:p>
    <w:p>
      <w:pPr>
        <w:ind w:left="320"/>
        <w:spacing w:after="0" w:line="238" w:lineRule="auto"/>
        <w:rPr>
          <w:sz w:val="20"/>
          <w:szCs w:val="20"/>
          <w:color w:val="auto"/>
        </w:rPr>
      </w:pPr>
      <w:r>
        <w:rPr>
          <w:rFonts w:ascii="Courier New" w:cs="Courier New" w:eastAsia="Courier New" w:hAnsi="Courier New"/>
          <w:sz w:val="18"/>
          <w:szCs w:val="18"/>
          <w:color w:val="auto"/>
        </w:rPr>
        <w:t>Inc. (f/k/a Certen Inc.)</w:t>
      </w: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p>
    <w:p>
      <w:pPr>
        <w:ind w:left="120"/>
        <w:spacing w:after="0"/>
        <w:tabs>
          <w:tab w:leader="none" w:pos="4000" w:val="left"/>
          <w:tab w:leader="none" w:pos="7160" w:val="left"/>
        </w:tabs>
        <w:rPr>
          <w:sz w:val="20"/>
          <w:szCs w:val="20"/>
          <w:color w:val="auto"/>
        </w:rPr>
      </w:pPr>
      <w:r>
        <w:rPr>
          <w:rFonts w:ascii="Courier New" w:cs="Courier New" w:eastAsia="Courier New" w:hAnsi="Courier New"/>
          <w:sz w:val="18"/>
          <w:szCs w:val="18"/>
          <w:color w:val="auto"/>
        </w:rPr>
        <w:t>Amdocs (CR) S.R.O.</w:t>
      </w:r>
      <w:r>
        <w:rPr>
          <w:sz w:val="20"/>
          <w:szCs w:val="20"/>
          <w:color w:val="auto"/>
        </w:rPr>
        <w:tab/>
      </w:r>
      <w:r>
        <w:rPr>
          <w:rFonts w:ascii="Courier New" w:cs="Courier New" w:eastAsia="Courier New" w:hAnsi="Courier New"/>
          <w:sz w:val="18"/>
          <w:szCs w:val="18"/>
          <w:color w:val="auto"/>
        </w:rPr>
        <w:t>Czech Republic</w:t>
      </w:r>
      <w:r>
        <w:rPr>
          <w:sz w:val="20"/>
          <w:szCs w:val="20"/>
          <w:color w:val="auto"/>
        </w:rPr>
        <w:tab/>
      </w:r>
      <w:r>
        <w:rPr>
          <w:rFonts w:ascii="Courier New" w:cs="Courier New" w:eastAsia="Courier New" w:hAnsi="Courier New"/>
          <w:sz w:val="16"/>
          <w:szCs w:val="16"/>
          <w:color w:val="auto"/>
        </w:rPr>
        <w:t>Amdocs (CR) S.R.O.</w:t>
      </w: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p>
    <w:p>
      <w:pPr>
        <w:ind w:left="120"/>
        <w:spacing w:after="0"/>
        <w:tabs>
          <w:tab w:leader="none" w:pos="4000" w:val="left"/>
          <w:tab w:leader="none" w:pos="7160" w:val="left"/>
        </w:tabs>
        <w:rPr>
          <w:sz w:val="20"/>
          <w:szCs w:val="20"/>
          <w:color w:val="auto"/>
        </w:rPr>
      </w:pPr>
      <w:r>
        <w:rPr>
          <w:rFonts w:ascii="Courier New" w:cs="Courier New" w:eastAsia="Courier New" w:hAnsi="Courier New"/>
          <w:sz w:val="18"/>
          <w:szCs w:val="18"/>
          <w:color w:val="auto"/>
        </w:rPr>
        <w:t>Amdocs (Denmark) ApS</w:t>
      </w:r>
      <w:r>
        <w:rPr>
          <w:sz w:val="20"/>
          <w:szCs w:val="20"/>
          <w:color w:val="auto"/>
        </w:rPr>
        <w:tab/>
      </w:r>
      <w:r>
        <w:rPr>
          <w:rFonts w:ascii="Courier New" w:cs="Courier New" w:eastAsia="Courier New" w:hAnsi="Courier New"/>
          <w:sz w:val="18"/>
          <w:szCs w:val="18"/>
          <w:color w:val="auto"/>
        </w:rPr>
        <w:t>Denmark</w:t>
      </w:r>
      <w:r>
        <w:rPr>
          <w:sz w:val="20"/>
          <w:szCs w:val="20"/>
          <w:color w:val="auto"/>
        </w:rPr>
        <w:tab/>
      </w:r>
      <w:r>
        <w:rPr>
          <w:rFonts w:ascii="Courier New" w:cs="Courier New" w:eastAsia="Courier New" w:hAnsi="Courier New"/>
          <w:sz w:val="16"/>
          <w:szCs w:val="16"/>
          <w:color w:val="auto"/>
        </w:rPr>
        <w:t>Amdocs (Denmark) ApS</w:t>
      </w: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p>
    <w:p>
      <w:pPr>
        <w:ind w:left="120"/>
        <w:spacing w:after="0"/>
        <w:tabs>
          <w:tab w:leader="none" w:pos="4000" w:val="left"/>
          <w:tab w:leader="none" w:pos="7160" w:val="left"/>
        </w:tabs>
        <w:rPr>
          <w:sz w:val="20"/>
          <w:szCs w:val="20"/>
          <w:color w:val="auto"/>
        </w:rPr>
      </w:pPr>
      <w:r>
        <w:rPr>
          <w:rFonts w:ascii="Courier New" w:cs="Courier New" w:eastAsia="Courier New" w:hAnsi="Courier New"/>
          <w:sz w:val="18"/>
          <w:szCs w:val="18"/>
          <w:color w:val="auto"/>
        </w:rPr>
        <w:t>Amdocs Software GmbH</w:t>
      </w:r>
      <w:r>
        <w:rPr>
          <w:sz w:val="20"/>
          <w:szCs w:val="20"/>
          <w:color w:val="auto"/>
        </w:rPr>
        <w:tab/>
      </w:r>
      <w:r>
        <w:rPr>
          <w:rFonts w:ascii="Courier New" w:cs="Courier New" w:eastAsia="Courier New" w:hAnsi="Courier New"/>
          <w:sz w:val="18"/>
          <w:szCs w:val="18"/>
          <w:color w:val="auto"/>
        </w:rPr>
        <w:t>Germany</w:t>
      </w:r>
      <w:r>
        <w:rPr>
          <w:sz w:val="20"/>
          <w:szCs w:val="20"/>
          <w:color w:val="auto"/>
        </w:rPr>
        <w:tab/>
      </w:r>
      <w:r>
        <w:rPr>
          <w:rFonts w:ascii="Courier New" w:cs="Courier New" w:eastAsia="Courier New" w:hAnsi="Courier New"/>
          <w:sz w:val="16"/>
          <w:szCs w:val="16"/>
          <w:color w:val="auto"/>
        </w:rPr>
        <w:t>Amdocs Software GmbH</w:t>
      </w: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p>
    <w:p>
      <w:pPr>
        <w:ind w:left="120"/>
        <w:spacing w:after="0"/>
        <w:tabs>
          <w:tab w:leader="none" w:pos="4000" w:val="left"/>
          <w:tab w:leader="none" w:pos="7160" w:val="left"/>
        </w:tabs>
        <w:rPr>
          <w:sz w:val="20"/>
          <w:szCs w:val="20"/>
          <w:color w:val="auto"/>
        </w:rPr>
      </w:pPr>
      <w:r>
        <w:rPr>
          <w:rFonts w:ascii="Courier New" w:cs="Courier New" w:eastAsia="Courier New" w:hAnsi="Courier New"/>
          <w:sz w:val="18"/>
          <w:szCs w:val="18"/>
          <w:color w:val="auto"/>
        </w:rPr>
        <w:t>Amdocs Software Solutions Kft</w:t>
      </w:r>
      <w:r>
        <w:rPr>
          <w:sz w:val="20"/>
          <w:szCs w:val="20"/>
          <w:color w:val="auto"/>
        </w:rPr>
        <w:tab/>
      </w:r>
      <w:r>
        <w:rPr>
          <w:rFonts w:ascii="Courier New" w:cs="Courier New" w:eastAsia="Courier New" w:hAnsi="Courier New"/>
          <w:sz w:val="18"/>
          <w:szCs w:val="18"/>
          <w:color w:val="auto"/>
        </w:rPr>
        <w:t>Hungary</w:t>
      </w:r>
      <w:r>
        <w:rPr>
          <w:sz w:val="20"/>
          <w:szCs w:val="20"/>
          <w:color w:val="auto"/>
        </w:rPr>
        <w:tab/>
      </w:r>
      <w:r>
        <w:rPr>
          <w:rFonts w:ascii="Courier New" w:cs="Courier New" w:eastAsia="Courier New" w:hAnsi="Courier New"/>
          <w:sz w:val="16"/>
          <w:szCs w:val="16"/>
          <w:color w:val="auto"/>
        </w:rPr>
        <w:t>Amdocs Software Solutions Kft</w:t>
      </w: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p>
    <w:p>
      <w:pPr>
        <w:ind w:left="120"/>
        <w:spacing w:after="0"/>
        <w:tabs>
          <w:tab w:leader="none" w:pos="4000" w:val="left"/>
          <w:tab w:leader="none" w:pos="7160" w:val="left"/>
        </w:tabs>
        <w:rPr>
          <w:sz w:val="20"/>
          <w:szCs w:val="20"/>
          <w:color w:val="auto"/>
        </w:rPr>
      </w:pPr>
      <w:r>
        <w:rPr>
          <w:rFonts w:ascii="Courier New" w:cs="Courier New" w:eastAsia="Courier New" w:hAnsi="Courier New"/>
          <w:sz w:val="18"/>
          <w:szCs w:val="18"/>
          <w:color w:val="auto"/>
        </w:rPr>
        <w:t>Amdocs Software Systems Ltd.</w:t>
      </w:r>
      <w:r>
        <w:rPr>
          <w:sz w:val="20"/>
          <w:szCs w:val="20"/>
          <w:color w:val="auto"/>
        </w:rPr>
        <w:tab/>
      </w:r>
      <w:r>
        <w:rPr>
          <w:rFonts w:ascii="Courier New" w:cs="Courier New" w:eastAsia="Courier New" w:hAnsi="Courier New"/>
          <w:sz w:val="18"/>
          <w:szCs w:val="18"/>
          <w:color w:val="auto"/>
        </w:rPr>
        <w:t>Ireland</w:t>
      </w:r>
      <w:r>
        <w:rPr>
          <w:sz w:val="20"/>
          <w:szCs w:val="20"/>
          <w:color w:val="auto"/>
        </w:rPr>
        <w:tab/>
      </w:r>
      <w:r>
        <w:rPr>
          <w:rFonts w:ascii="Courier New" w:cs="Courier New" w:eastAsia="Courier New" w:hAnsi="Courier New"/>
          <w:sz w:val="16"/>
          <w:szCs w:val="16"/>
          <w:color w:val="auto"/>
        </w:rPr>
        <w:t>Amdocs Software Systems Ltd.</w:t>
      </w: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4020" w:right="640" w:hanging="3897"/>
        <w:spacing w:after="0" w:line="238" w:lineRule="auto"/>
        <w:tabs>
          <w:tab w:leader="none" w:pos="4000" w:val="left"/>
        </w:tabs>
        <w:rPr>
          <w:sz w:val="20"/>
          <w:szCs w:val="20"/>
          <w:color w:val="auto"/>
        </w:rPr>
      </w:pPr>
      <w:r>
        <w:rPr>
          <w:rFonts w:ascii="Courier New" w:cs="Courier New" w:eastAsia="Courier New" w:hAnsi="Courier New"/>
          <w:sz w:val="18"/>
          <w:szCs w:val="18"/>
          <w:color w:val="auto"/>
        </w:rPr>
        <w:t>European Software Marketing Ltd.</w:t>
      </w:r>
      <w:r>
        <w:rPr>
          <w:sz w:val="20"/>
          <w:szCs w:val="20"/>
          <w:color w:val="auto"/>
        </w:rPr>
        <w:tab/>
      </w:r>
      <w:r>
        <w:rPr>
          <w:rFonts w:ascii="Courier New" w:cs="Courier New" w:eastAsia="Courier New" w:hAnsi="Courier New"/>
          <w:sz w:val="18"/>
          <w:szCs w:val="18"/>
          <w:color w:val="auto"/>
        </w:rPr>
        <w:t>Island of Guernsey, Channel European Software Marketing Ltd. Islands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p>
    <w:p>
      <w:pPr>
        <w:ind w:left="120"/>
        <w:spacing w:after="0"/>
        <w:tabs>
          <w:tab w:leader="none" w:pos="4000" w:val="left"/>
          <w:tab w:leader="none" w:pos="7160" w:val="left"/>
        </w:tabs>
        <w:rPr>
          <w:sz w:val="20"/>
          <w:szCs w:val="20"/>
          <w:color w:val="auto"/>
        </w:rPr>
      </w:pPr>
      <w:r>
        <w:rPr>
          <w:rFonts w:ascii="Courier New" w:cs="Courier New" w:eastAsia="Courier New" w:hAnsi="Courier New"/>
          <w:sz w:val="18"/>
          <w:szCs w:val="18"/>
          <w:color w:val="auto"/>
        </w:rPr>
        <w:t>Amdocs (Israel) Limited</w:t>
      </w:r>
      <w:r>
        <w:rPr>
          <w:sz w:val="20"/>
          <w:szCs w:val="20"/>
          <w:color w:val="auto"/>
        </w:rPr>
        <w:tab/>
      </w:r>
      <w:r>
        <w:rPr>
          <w:rFonts w:ascii="Courier New" w:cs="Courier New" w:eastAsia="Courier New" w:hAnsi="Courier New"/>
          <w:sz w:val="18"/>
          <w:szCs w:val="18"/>
          <w:color w:val="auto"/>
        </w:rPr>
        <w:t>Israel</w:t>
      </w:r>
      <w:r>
        <w:rPr>
          <w:sz w:val="20"/>
          <w:szCs w:val="20"/>
          <w:color w:val="auto"/>
        </w:rPr>
        <w:tab/>
      </w:r>
      <w:r>
        <w:rPr>
          <w:rFonts w:ascii="Courier New" w:cs="Courier New" w:eastAsia="Courier New" w:hAnsi="Courier New"/>
          <w:sz w:val="16"/>
          <w:szCs w:val="16"/>
          <w:color w:val="auto"/>
        </w:rPr>
        <w:t>Amdocs (Israel) Limited</w:t>
      </w: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p>
    <w:p>
      <w:pPr>
        <w:ind w:left="120"/>
        <w:spacing w:after="0"/>
        <w:tabs>
          <w:tab w:leader="none" w:pos="4000" w:val="left"/>
          <w:tab w:leader="none" w:pos="7160" w:val="left"/>
        </w:tabs>
        <w:rPr>
          <w:sz w:val="20"/>
          <w:szCs w:val="20"/>
          <w:color w:val="auto"/>
        </w:rPr>
      </w:pPr>
      <w:r>
        <w:rPr>
          <w:rFonts w:ascii="Courier New" w:cs="Courier New" w:eastAsia="Courier New" w:hAnsi="Courier New"/>
          <w:sz w:val="18"/>
          <w:szCs w:val="18"/>
          <w:color w:val="auto"/>
        </w:rPr>
        <w:t>Amdocs Development Limited</w:t>
      </w:r>
      <w:r>
        <w:rPr>
          <w:sz w:val="20"/>
          <w:szCs w:val="20"/>
          <w:color w:val="auto"/>
        </w:rPr>
        <w:tab/>
      </w:r>
      <w:r>
        <w:rPr>
          <w:rFonts w:ascii="Courier New" w:cs="Courier New" w:eastAsia="Courier New" w:hAnsi="Courier New"/>
          <w:sz w:val="18"/>
          <w:szCs w:val="18"/>
          <w:color w:val="auto"/>
        </w:rPr>
        <w:t>Republic of Cyprus</w:t>
      </w:r>
      <w:r>
        <w:rPr>
          <w:sz w:val="20"/>
          <w:szCs w:val="20"/>
          <w:color w:val="auto"/>
        </w:rPr>
        <w:tab/>
      </w:r>
      <w:r>
        <w:rPr>
          <w:rFonts w:ascii="Courier New" w:cs="Courier New" w:eastAsia="Courier New" w:hAnsi="Courier New"/>
          <w:sz w:val="16"/>
          <w:szCs w:val="16"/>
          <w:color w:val="auto"/>
        </w:rPr>
        <w:t>Amdocs Development Limited</w:t>
      </w: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p>
    <w:p>
      <w:pPr>
        <w:ind w:left="120"/>
        <w:spacing w:after="0"/>
        <w:tabs>
          <w:tab w:leader="none" w:pos="4000" w:val="left"/>
          <w:tab w:leader="none" w:pos="7160" w:val="left"/>
        </w:tabs>
        <w:rPr>
          <w:sz w:val="20"/>
          <w:szCs w:val="20"/>
          <w:color w:val="auto"/>
        </w:rPr>
      </w:pPr>
      <w:r>
        <w:rPr>
          <w:rFonts w:ascii="Courier New" w:cs="Courier New" w:eastAsia="Courier New" w:hAnsi="Courier New"/>
          <w:sz w:val="18"/>
          <w:szCs w:val="18"/>
          <w:color w:val="auto"/>
        </w:rPr>
        <w:t>Amdocs Champaign, Inc.</w:t>
      </w:r>
      <w:r>
        <w:rPr>
          <w:sz w:val="20"/>
          <w:szCs w:val="20"/>
          <w:color w:val="auto"/>
        </w:rPr>
        <w:tab/>
      </w:r>
      <w:r>
        <w:rPr>
          <w:rFonts w:ascii="Courier New" w:cs="Courier New" w:eastAsia="Courier New" w:hAnsi="Courier New"/>
          <w:sz w:val="18"/>
          <w:szCs w:val="18"/>
          <w:color w:val="auto"/>
        </w:rPr>
        <w:t>State of Delaware</w:t>
      </w:r>
      <w:r>
        <w:rPr>
          <w:sz w:val="20"/>
          <w:szCs w:val="20"/>
          <w:color w:val="auto"/>
        </w:rPr>
        <w:tab/>
      </w:r>
      <w:r>
        <w:rPr>
          <w:rFonts w:ascii="Courier New" w:cs="Courier New" w:eastAsia="Courier New" w:hAnsi="Courier New"/>
          <w:sz w:val="16"/>
          <w:szCs w:val="16"/>
          <w:color w:val="auto"/>
        </w:rPr>
        <w:t>Amdocs Champaign, Inc.</w:t>
      </w: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p>
    <w:p>
      <w:pPr>
        <w:ind w:left="120"/>
        <w:spacing w:after="0"/>
        <w:tabs>
          <w:tab w:leader="none" w:pos="4000" w:val="left"/>
          <w:tab w:leader="none" w:pos="7160" w:val="left"/>
        </w:tabs>
        <w:rPr>
          <w:sz w:val="20"/>
          <w:szCs w:val="20"/>
          <w:color w:val="auto"/>
        </w:rPr>
      </w:pPr>
      <w:r>
        <w:rPr>
          <w:rFonts w:ascii="Courier New" w:cs="Courier New" w:eastAsia="Courier New" w:hAnsi="Courier New"/>
          <w:sz w:val="18"/>
          <w:szCs w:val="18"/>
          <w:color w:val="auto"/>
        </w:rPr>
        <w:t>Amdocs, Inc.</w:t>
      </w:r>
      <w:r>
        <w:rPr>
          <w:sz w:val="20"/>
          <w:szCs w:val="20"/>
          <w:color w:val="auto"/>
        </w:rPr>
        <w:tab/>
      </w:r>
      <w:r>
        <w:rPr>
          <w:rFonts w:ascii="Courier New" w:cs="Courier New" w:eastAsia="Courier New" w:hAnsi="Courier New"/>
          <w:sz w:val="18"/>
          <w:szCs w:val="18"/>
          <w:color w:val="auto"/>
        </w:rPr>
        <w:t>State of Delaware</w:t>
      </w:r>
      <w:r>
        <w:rPr>
          <w:sz w:val="20"/>
          <w:szCs w:val="20"/>
          <w:color w:val="auto"/>
        </w:rPr>
        <w:tab/>
      </w:r>
      <w:r>
        <w:rPr>
          <w:rFonts w:ascii="Courier New" w:cs="Courier New" w:eastAsia="Courier New" w:hAnsi="Courier New"/>
          <w:sz w:val="16"/>
          <w:szCs w:val="16"/>
          <w:color w:val="auto"/>
        </w:rPr>
        <w:t>Amdocs, Inc.</w:t>
      </w: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p>
    <w:p>
      <w:pPr>
        <w:ind w:left="120"/>
        <w:spacing w:after="0"/>
        <w:tabs>
          <w:tab w:leader="none" w:pos="4000" w:val="left"/>
          <w:tab w:leader="none" w:pos="7160" w:val="left"/>
        </w:tabs>
        <w:rPr>
          <w:sz w:val="20"/>
          <w:szCs w:val="20"/>
          <w:color w:val="auto"/>
        </w:rPr>
      </w:pPr>
      <w:r>
        <w:rPr>
          <w:rFonts w:ascii="Courier New" w:cs="Courier New" w:eastAsia="Courier New" w:hAnsi="Courier New"/>
          <w:sz w:val="18"/>
          <w:szCs w:val="18"/>
          <w:color w:val="auto"/>
        </w:rPr>
        <w:t>Amdocs Services, Inc.</w:t>
      </w:r>
      <w:r>
        <w:rPr>
          <w:sz w:val="20"/>
          <w:szCs w:val="20"/>
          <w:color w:val="auto"/>
        </w:rPr>
        <w:tab/>
      </w:r>
      <w:r>
        <w:rPr>
          <w:rFonts w:ascii="Courier New" w:cs="Courier New" w:eastAsia="Courier New" w:hAnsi="Courier New"/>
          <w:sz w:val="18"/>
          <w:szCs w:val="18"/>
          <w:color w:val="auto"/>
        </w:rPr>
        <w:t>State of Delaware</w:t>
      </w:r>
      <w:r>
        <w:rPr>
          <w:sz w:val="20"/>
          <w:szCs w:val="20"/>
          <w:color w:val="auto"/>
        </w:rPr>
        <w:tab/>
      </w:r>
      <w:r>
        <w:rPr>
          <w:rFonts w:ascii="Courier New" w:cs="Courier New" w:eastAsia="Courier New" w:hAnsi="Courier New"/>
          <w:sz w:val="16"/>
          <w:szCs w:val="16"/>
          <w:color w:val="auto"/>
        </w:rPr>
        <w:t>Amdocs Services, Inc.</w:t>
      </w: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p>
    <w:p>
      <w:pPr>
        <w:ind w:left="120"/>
        <w:spacing w:after="0"/>
        <w:tabs>
          <w:tab w:leader="none" w:pos="4000" w:val="left"/>
          <w:tab w:leader="none" w:pos="7160" w:val="left"/>
        </w:tabs>
        <w:rPr>
          <w:sz w:val="20"/>
          <w:szCs w:val="20"/>
          <w:color w:val="auto"/>
        </w:rPr>
      </w:pPr>
      <w:r>
        <w:rPr>
          <w:rFonts w:ascii="Courier New" w:cs="Courier New" w:eastAsia="Courier New" w:hAnsi="Courier New"/>
          <w:sz w:val="18"/>
          <w:szCs w:val="18"/>
          <w:color w:val="auto"/>
        </w:rPr>
        <w:t>Amdocs Stamford, Inc.</w:t>
      </w:r>
      <w:r>
        <w:rPr>
          <w:sz w:val="20"/>
          <w:szCs w:val="20"/>
          <w:color w:val="auto"/>
        </w:rPr>
        <w:tab/>
      </w:r>
      <w:r>
        <w:rPr>
          <w:rFonts w:ascii="Courier New" w:cs="Courier New" w:eastAsia="Courier New" w:hAnsi="Courier New"/>
          <w:sz w:val="18"/>
          <w:szCs w:val="18"/>
          <w:color w:val="auto"/>
        </w:rPr>
        <w:t>State of Delaware</w:t>
      </w:r>
      <w:r>
        <w:rPr>
          <w:sz w:val="20"/>
          <w:szCs w:val="20"/>
          <w:color w:val="auto"/>
        </w:rPr>
        <w:tab/>
      </w:r>
      <w:r>
        <w:rPr>
          <w:rFonts w:ascii="Courier New" w:cs="Courier New" w:eastAsia="Courier New" w:hAnsi="Courier New"/>
          <w:sz w:val="16"/>
          <w:szCs w:val="16"/>
          <w:color w:val="auto"/>
        </w:rPr>
        <w:t>Amdocs Stamford, Inc.</w:t>
      </w: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p>
    <w:p>
      <w:pPr>
        <w:ind w:left="120"/>
        <w:spacing w:after="0"/>
        <w:tabs>
          <w:tab w:leader="none" w:pos="4000" w:val="left"/>
          <w:tab w:leader="none" w:pos="7160" w:val="left"/>
        </w:tabs>
        <w:rPr>
          <w:sz w:val="20"/>
          <w:szCs w:val="20"/>
          <w:color w:val="auto"/>
        </w:rPr>
      </w:pPr>
      <w:r>
        <w:rPr>
          <w:rFonts w:ascii="Courier New" w:cs="Courier New" w:eastAsia="Courier New" w:hAnsi="Courier New"/>
          <w:sz w:val="18"/>
          <w:szCs w:val="18"/>
          <w:color w:val="auto"/>
        </w:rPr>
        <w:t>Amdocs (USA), Inc.</w:t>
      </w:r>
      <w:r>
        <w:rPr>
          <w:sz w:val="20"/>
          <w:szCs w:val="20"/>
          <w:color w:val="auto"/>
        </w:rPr>
        <w:tab/>
      </w:r>
      <w:r>
        <w:rPr>
          <w:rFonts w:ascii="Courier New" w:cs="Courier New" w:eastAsia="Courier New" w:hAnsi="Courier New"/>
          <w:sz w:val="18"/>
          <w:szCs w:val="18"/>
          <w:color w:val="auto"/>
        </w:rPr>
        <w:t>State of Delaware</w:t>
      </w:r>
      <w:r>
        <w:rPr>
          <w:sz w:val="20"/>
          <w:szCs w:val="20"/>
          <w:color w:val="auto"/>
        </w:rPr>
        <w:tab/>
      </w:r>
      <w:r>
        <w:rPr>
          <w:rFonts w:ascii="Courier New" w:cs="Courier New" w:eastAsia="Courier New" w:hAnsi="Courier New"/>
          <w:sz w:val="16"/>
          <w:szCs w:val="16"/>
          <w:color w:val="auto"/>
        </w:rPr>
        <w:t>Amdocs (USA), Inc.</w:t>
      </w: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p>
    <w:p>
      <w:pPr>
        <w:ind w:left="120"/>
        <w:spacing w:after="0"/>
        <w:tabs>
          <w:tab w:leader="none" w:pos="4000" w:val="left"/>
          <w:tab w:leader="none" w:pos="7160" w:val="left"/>
        </w:tabs>
        <w:rPr>
          <w:sz w:val="20"/>
          <w:szCs w:val="20"/>
          <w:color w:val="auto"/>
        </w:rPr>
      </w:pPr>
      <w:r>
        <w:rPr>
          <w:rFonts w:ascii="Courier New" w:cs="Courier New" w:eastAsia="Courier New" w:hAnsi="Courier New"/>
          <w:sz w:val="18"/>
          <w:szCs w:val="18"/>
          <w:color w:val="auto"/>
        </w:rPr>
        <w:t>Canadian Directory Technology Ltd.</w:t>
      </w:r>
      <w:r>
        <w:rPr>
          <w:sz w:val="20"/>
          <w:szCs w:val="20"/>
          <w:color w:val="auto"/>
        </w:rPr>
        <w:tab/>
      </w:r>
      <w:r>
        <w:rPr>
          <w:rFonts w:ascii="Courier New" w:cs="Courier New" w:eastAsia="Courier New" w:hAnsi="Courier New"/>
          <w:sz w:val="18"/>
          <w:szCs w:val="18"/>
          <w:color w:val="auto"/>
        </w:rPr>
        <w:t>State of Delaware</w:t>
      </w:r>
      <w:r>
        <w:rPr>
          <w:sz w:val="20"/>
          <w:szCs w:val="20"/>
          <w:color w:val="auto"/>
        </w:rPr>
        <w:tab/>
      </w:r>
      <w:r>
        <w:rPr>
          <w:rFonts w:ascii="Courier New" w:cs="Courier New" w:eastAsia="Courier New" w:hAnsi="Courier New"/>
          <w:sz w:val="16"/>
          <w:szCs w:val="16"/>
          <w:color w:val="auto"/>
        </w:rPr>
        <w:t>Canadian Directory Technology Ltd.</w:t>
      </w: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p>
    <w:p>
      <w:pPr>
        <w:ind w:left="120"/>
        <w:spacing w:after="0"/>
        <w:tabs>
          <w:tab w:leader="none" w:pos="4000" w:val="left"/>
          <w:tab w:leader="none" w:pos="7160" w:val="left"/>
        </w:tabs>
        <w:rPr>
          <w:sz w:val="20"/>
          <w:szCs w:val="20"/>
          <w:color w:val="auto"/>
        </w:rPr>
      </w:pPr>
      <w:r>
        <w:rPr>
          <w:rFonts w:ascii="Courier New" w:cs="Courier New" w:eastAsia="Courier New" w:hAnsi="Courier New"/>
          <w:sz w:val="18"/>
          <w:szCs w:val="18"/>
          <w:color w:val="auto"/>
        </w:rPr>
        <w:t>Sypress, Inc.</w:t>
      </w:r>
      <w:r>
        <w:rPr>
          <w:sz w:val="20"/>
          <w:szCs w:val="20"/>
          <w:color w:val="auto"/>
        </w:rPr>
        <w:tab/>
      </w:r>
      <w:r>
        <w:rPr>
          <w:rFonts w:ascii="Courier New" w:cs="Courier New" w:eastAsia="Courier New" w:hAnsi="Courier New"/>
          <w:sz w:val="18"/>
          <w:szCs w:val="18"/>
          <w:color w:val="auto"/>
        </w:rPr>
        <w:t>State of Delaware</w:t>
      </w:r>
      <w:r>
        <w:rPr>
          <w:sz w:val="20"/>
          <w:szCs w:val="20"/>
          <w:color w:val="auto"/>
        </w:rPr>
        <w:tab/>
      </w:r>
      <w:r>
        <w:rPr>
          <w:rFonts w:ascii="Courier New" w:cs="Courier New" w:eastAsia="Courier New" w:hAnsi="Courier New"/>
          <w:sz w:val="16"/>
          <w:szCs w:val="16"/>
          <w:color w:val="auto"/>
        </w:rPr>
        <w:t>Sypress, Inc.</w:t>
      </w: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p>
    <w:p>
      <w:pPr>
        <w:ind w:left="120"/>
        <w:spacing w:after="0"/>
        <w:tabs>
          <w:tab w:leader="none" w:pos="4000" w:val="left"/>
          <w:tab w:leader="none" w:pos="7160" w:val="left"/>
        </w:tabs>
        <w:rPr>
          <w:sz w:val="20"/>
          <w:szCs w:val="20"/>
          <w:color w:val="auto"/>
        </w:rPr>
      </w:pPr>
      <w:r>
        <w:rPr>
          <w:rFonts w:ascii="Courier New" w:cs="Courier New" w:eastAsia="Courier New" w:hAnsi="Courier New"/>
          <w:sz w:val="18"/>
          <w:szCs w:val="18"/>
          <w:color w:val="auto"/>
        </w:rPr>
        <w:t>Amdocs Management Limited</w:t>
      </w:r>
      <w:r>
        <w:rPr>
          <w:sz w:val="20"/>
          <w:szCs w:val="20"/>
          <w:color w:val="auto"/>
        </w:rPr>
        <w:tab/>
      </w:r>
      <w:r>
        <w:rPr>
          <w:rFonts w:ascii="Courier New" w:cs="Courier New" w:eastAsia="Courier New" w:hAnsi="Courier New"/>
          <w:sz w:val="18"/>
          <w:szCs w:val="18"/>
          <w:color w:val="auto"/>
        </w:rPr>
        <w:t>United Kingdom</w:t>
      </w:r>
      <w:r>
        <w:rPr>
          <w:sz w:val="20"/>
          <w:szCs w:val="20"/>
          <w:color w:val="auto"/>
        </w:rPr>
        <w:tab/>
      </w:r>
      <w:r>
        <w:rPr>
          <w:rFonts w:ascii="Courier New" w:cs="Courier New" w:eastAsia="Courier New" w:hAnsi="Courier New"/>
          <w:sz w:val="16"/>
          <w:szCs w:val="16"/>
          <w:color w:val="auto"/>
        </w:rPr>
        <w:t>Amdocs Management Limited</w:t>
      </w: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p>
    <w:p>
      <w:pPr>
        <w:ind w:left="120"/>
        <w:spacing w:after="0"/>
        <w:tabs>
          <w:tab w:leader="none" w:pos="4000" w:val="left"/>
          <w:tab w:leader="none" w:pos="7160" w:val="left"/>
        </w:tabs>
        <w:rPr>
          <w:sz w:val="20"/>
          <w:szCs w:val="20"/>
          <w:color w:val="auto"/>
        </w:rPr>
      </w:pPr>
      <w:r>
        <w:rPr>
          <w:rFonts w:ascii="Courier New" w:cs="Courier New" w:eastAsia="Courier New" w:hAnsi="Courier New"/>
          <w:sz w:val="18"/>
          <w:szCs w:val="18"/>
          <w:color w:val="auto"/>
        </w:rPr>
        <w:t>Amdocs (UK) Limited</w:t>
      </w:r>
      <w:r>
        <w:rPr>
          <w:sz w:val="20"/>
          <w:szCs w:val="20"/>
          <w:color w:val="auto"/>
        </w:rPr>
        <w:tab/>
      </w:r>
      <w:r>
        <w:rPr>
          <w:rFonts w:ascii="Courier New" w:cs="Courier New" w:eastAsia="Courier New" w:hAnsi="Courier New"/>
          <w:sz w:val="18"/>
          <w:szCs w:val="18"/>
          <w:color w:val="auto"/>
        </w:rPr>
        <w:t>United Kingdom</w:t>
      </w:r>
      <w:r>
        <w:rPr>
          <w:sz w:val="20"/>
          <w:szCs w:val="20"/>
          <w:color w:val="auto"/>
        </w:rPr>
        <w:tab/>
      </w:r>
      <w:r>
        <w:rPr>
          <w:rFonts w:ascii="Courier New" w:cs="Courier New" w:eastAsia="Courier New" w:hAnsi="Courier New"/>
          <w:sz w:val="16"/>
          <w:szCs w:val="16"/>
          <w:color w:val="auto"/>
        </w:rPr>
        <w:t>Amdocs (UK) Limited</w:t>
      </w:r>
    </w:p>
    <w:p>
      <w:pPr>
        <w:spacing w:after="0"/>
        <w:rPr>
          <w:sz w:val="20"/>
          <w:szCs w:val="20"/>
          <w:color w:val="auto"/>
        </w:rPr>
      </w:pPr>
      <w:r>
        <w:rPr>
          <w:rFonts w:ascii="Courier New" w:cs="Courier New" w:eastAsia="Courier New" w:hAnsi="Courier New"/>
          <w:sz w:val="16"/>
          <w:szCs w:val="16"/>
          <w:color w:val="auto"/>
        </w:rPr>
        <w:t>- --------------------------------------------------------------------------------------------------------</w:t>
      </w:r>
    </w:p>
    <w:tbl>
      <w:tblPr>
        <w:tblLayout w:type="fixed"/>
        <w:tblInd w:w="0" w:type="dxa"/>
        <w:tblCellMar>
          <w:top w:w="0" w:type="dxa"/>
          <w:left w:w="0" w:type="dxa"/>
          <w:bottom w:w="0" w:type="dxa"/>
          <w:right w:w="0" w:type="dxa"/>
        </w:tblCellMar>
      </w:tblPr>
      <w:tr>
        <w:trPr>
          <w:trHeight w:val="192"/>
        </w:trPr>
        <w:tc>
          <w:tcPr>
            <w:tcW w:w="1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2"/>
              </w:rPr>
              <w:t>-</w:t>
            </w:r>
          </w:p>
        </w:tc>
        <w:tc>
          <w:tcPr>
            <w:tcW w:w="3740" w:type="dxa"/>
            <w:vAlign w:val="bottom"/>
          </w:tcPr>
          <w:p>
            <w:pPr>
              <w:spacing w:after="0" w:line="192" w:lineRule="exact"/>
              <w:rPr>
                <w:sz w:val="20"/>
                <w:szCs w:val="20"/>
                <w:color w:val="auto"/>
              </w:rPr>
            </w:pPr>
            <w:r>
              <w:rPr>
                <w:rFonts w:ascii="Courier New" w:cs="Courier New" w:eastAsia="Courier New" w:hAnsi="Courier New"/>
                <w:sz w:val="18"/>
                <w:szCs w:val="18"/>
                <w:color w:val="auto"/>
              </w:rPr>
              <w:t>European Support Limited</w:t>
            </w:r>
          </w:p>
        </w:tc>
        <w:tc>
          <w:tcPr>
            <w:tcW w:w="2740" w:type="dxa"/>
            <w:vAlign w:val="bottom"/>
          </w:tcPr>
          <w:p>
            <w:pPr>
              <w:ind w:left="160"/>
              <w:spacing w:after="0" w:line="192" w:lineRule="exact"/>
              <w:rPr>
                <w:sz w:val="20"/>
                <w:szCs w:val="20"/>
                <w:color w:val="auto"/>
              </w:rPr>
            </w:pPr>
            <w:r>
              <w:rPr>
                <w:rFonts w:ascii="Courier New" w:cs="Courier New" w:eastAsia="Courier New" w:hAnsi="Courier New"/>
                <w:sz w:val="18"/>
                <w:szCs w:val="18"/>
                <w:color w:val="auto"/>
              </w:rPr>
              <w:t>United Kingdom</w:t>
            </w:r>
          </w:p>
        </w:tc>
        <w:tc>
          <w:tcPr>
            <w:tcW w:w="4580" w:type="dxa"/>
            <w:vAlign w:val="bottom"/>
          </w:tcPr>
          <w:p>
            <w:pPr>
              <w:ind w:left="580"/>
              <w:spacing w:after="0" w:line="192" w:lineRule="exact"/>
              <w:rPr>
                <w:sz w:val="20"/>
                <w:szCs w:val="20"/>
                <w:color w:val="auto"/>
              </w:rPr>
            </w:pPr>
            <w:r>
              <w:rPr>
                <w:rFonts w:ascii="Courier New" w:cs="Courier New" w:eastAsia="Courier New" w:hAnsi="Courier New"/>
                <w:sz w:val="18"/>
                <w:szCs w:val="18"/>
                <w:color w:val="auto"/>
              </w:rPr>
              <w:t>European Support Limited</w:t>
            </w:r>
          </w:p>
        </w:tc>
        <w:tc>
          <w:tcPr>
            <w:tcW w:w="0" w:type="dxa"/>
            <w:vAlign w:val="bottom"/>
          </w:tcPr>
          <w:p>
            <w:pPr>
              <w:spacing w:after="0"/>
              <w:rPr>
                <w:sz w:val="1"/>
                <w:szCs w:val="1"/>
                <w:color w:val="auto"/>
              </w:rPr>
            </w:pPr>
          </w:p>
        </w:tc>
      </w:tr>
      <w:tr>
        <w:trPr>
          <w:trHeight w:val="203"/>
        </w:trPr>
        <w:tc>
          <w:tcPr>
            <w:tcW w:w="120" w:type="dxa"/>
            <w:vAlign w:val="bottom"/>
            <w:vMerge w:val="continue"/>
          </w:tcPr>
          <w:p>
            <w:pPr>
              <w:spacing w:after="0"/>
              <w:rPr>
                <w:sz w:val="17"/>
                <w:szCs w:val="17"/>
                <w:color w:val="auto"/>
              </w:rPr>
            </w:pPr>
          </w:p>
        </w:tc>
        <w:tc>
          <w:tcPr>
            <w:tcW w:w="110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c>
          <w:tcPr>
            <w:tcW w:w="0" w:type="dxa"/>
            <w:vAlign w:val="bottom"/>
          </w:tcPr>
          <w:p>
            <w:pPr>
              <w:spacing w:after="0"/>
              <w:rPr>
                <w:sz w:val="1"/>
                <w:szCs w:val="1"/>
                <w:color w:val="auto"/>
              </w:rPr>
            </w:pPr>
          </w:p>
        </w:tc>
      </w:tr>
      <w:tr>
        <w:trPr>
          <w:trHeight w:val="203"/>
        </w:trPr>
        <w:tc>
          <w:tcPr>
            <w:tcW w:w="1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2"/>
              </w:rPr>
              <w:t>-</w:t>
            </w:r>
          </w:p>
        </w:tc>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Directory Technology (Pty) Limited</w:t>
            </w:r>
          </w:p>
        </w:tc>
        <w:tc>
          <w:tcPr>
            <w:tcW w:w="27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Victoria, Australia</w:t>
            </w:r>
          </w:p>
        </w:tc>
        <w:tc>
          <w:tcPr>
            <w:tcW w:w="45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Directory Technology (Pty) Limited</w:t>
            </w:r>
          </w:p>
        </w:tc>
        <w:tc>
          <w:tcPr>
            <w:tcW w:w="0" w:type="dxa"/>
            <w:vAlign w:val="bottom"/>
          </w:tcPr>
          <w:p>
            <w:pPr>
              <w:spacing w:after="0"/>
              <w:rPr>
                <w:sz w:val="1"/>
                <w:szCs w:val="1"/>
                <w:color w:val="auto"/>
              </w:rPr>
            </w:pPr>
          </w:p>
        </w:tc>
      </w:tr>
      <w:tr>
        <w:trPr>
          <w:trHeight w:val="296"/>
        </w:trPr>
        <w:tc>
          <w:tcPr>
            <w:tcW w:w="120" w:type="dxa"/>
            <w:vAlign w:val="bottom"/>
            <w:vMerge w:val="continue"/>
          </w:tcPr>
          <w:p>
            <w:pPr>
              <w:spacing w:after="0"/>
              <w:rPr>
                <w:sz w:val="24"/>
                <w:szCs w:val="24"/>
                <w:color w:val="auto"/>
              </w:rPr>
            </w:pPr>
          </w:p>
        </w:tc>
        <w:tc>
          <w:tcPr>
            <w:tcW w:w="1106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8"/>
              </w:rPr>
              <w:t>--------------------------------------------------------------------------------------------------------</w:t>
            </w:r>
          </w:p>
        </w:tc>
        <w:tc>
          <w:tcPr>
            <w:tcW w:w="0" w:type="dxa"/>
            <w:vAlign w:val="bottom"/>
          </w:tcPr>
          <w:p>
            <w:pPr>
              <w:spacing w:after="0"/>
              <w:rPr>
                <w:sz w:val="1"/>
                <w:szCs w:val="1"/>
                <w:color w:val="auto"/>
              </w:rPr>
            </w:pPr>
          </w:p>
        </w:tc>
      </w:tr>
    </w:tbl>
    <w:p>
      <w:pPr>
        <w:sectPr>
          <w:pgSz w:w="11900" w:h="16838" w:orient="portrait"/>
          <w:cols w:equalWidth="0" w:num="1">
            <w:col w:w="11180"/>
          </w:cols>
          <w:pgMar w:left="240" w:top="312" w:right="479" w:bottom="1440" w:gutter="0" w:footer="0" w:header="0"/>
        </w:sectPr>
      </w:pPr>
    </w:p>
    <w:bookmarkStart w:id="146" w:name="page147"/>
    <w:bookmarkEnd w:id="146"/>
    <w:p>
      <w:pPr>
        <w:jc w:val="right"/>
        <w:ind w:right="1779"/>
        <w:spacing w:after="0"/>
        <w:rPr>
          <w:sz w:val="20"/>
          <w:szCs w:val="20"/>
          <w:color w:val="auto"/>
        </w:rPr>
      </w:pPr>
      <w:r>
        <w:rPr>
          <w:rFonts w:ascii="Courier New" w:cs="Courier New" w:eastAsia="Courier New" w:hAnsi="Courier New"/>
          <w:sz w:val="18"/>
          <w:szCs w:val="18"/>
          <w:color w:val="auto"/>
        </w:rPr>
        <w:t>EXHIBIT 12.1</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CERTIFICATIONS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Dov Baharav, certify that:</w:t>
      </w:r>
    </w:p>
    <w:p>
      <w:pPr>
        <w:spacing w:after="0" w:line="201" w:lineRule="exact"/>
        <w:rPr>
          <w:sz w:val="20"/>
          <w:szCs w:val="20"/>
          <w:color w:val="auto"/>
        </w:rPr>
      </w:pPr>
    </w:p>
    <w:p>
      <w:pPr>
        <w:ind w:left="860" w:hanging="325"/>
        <w:spacing w:after="0"/>
        <w:tabs>
          <w:tab w:leader="none" w:pos="860" w:val="left"/>
        </w:tabs>
        <w:numPr>
          <w:ilvl w:val="0"/>
          <w:numId w:val="1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this annual report on Form 20-F of Amdocs Limited;</w:t>
      </w:r>
    </w:p>
    <w:p>
      <w:pPr>
        <w:spacing w:after="0" w:line="201" w:lineRule="exact"/>
        <w:rPr>
          <w:rFonts w:ascii="Courier New" w:cs="Courier New" w:eastAsia="Courier New" w:hAnsi="Courier New"/>
          <w:sz w:val="18"/>
          <w:szCs w:val="18"/>
          <w:color w:val="auto"/>
        </w:rPr>
      </w:pPr>
    </w:p>
    <w:p>
      <w:pPr>
        <w:ind w:right="1779" w:firstLine="535"/>
        <w:spacing w:after="0" w:line="318" w:lineRule="auto"/>
        <w:tabs>
          <w:tab w:leader="none" w:pos="843" w:val="left"/>
        </w:tabs>
        <w:numPr>
          <w:ilvl w:val="0"/>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2" w:lineRule="exact"/>
        <w:rPr>
          <w:rFonts w:ascii="Courier New" w:cs="Courier New" w:eastAsia="Courier New" w:hAnsi="Courier New"/>
          <w:sz w:val="16"/>
          <w:szCs w:val="16"/>
          <w:color w:val="auto"/>
        </w:rPr>
      </w:pPr>
    </w:p>
    <w:p>
      <w:pPr>
        <w:ind w:right="1779" w:firstLine="535"/>
        <w:spacing w:after="0" w:line="274" w:lineRule="auto"/>
        <w:tabs>
          <w:tab w:leader="none" w:pos="843" w:val="left"/>
        </w:tabs>
        <w:numPr>
          <w:ilvl w:val="0"/>
          <w:numId w:val="1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81" w:lineRule="exact"/>
        <w:rPr>
          <w:rFonts w:ascii="Courier New" w:cs="Courier New" w:eastAsia="Courier New" w:hAnsi="Courier New"/>
          <w:sz w:val="18"/>
          <w:szCs w:val="18"/>
          <w:color w:val="auto"/>
        </w:rPr>
      </w:pPr>
    </w:p>
    <w:p>
      <w:pPr>
        <w:ind w:right="1999" w:firstLine="535"/>
        <w:spacing w:after="0" w:line="292" w:lineRule="auto"/>
        <w:tabs>
          <w:tab w:leader="none" w:pos="843" w:val="left"/>
        </w:tabs>
        <w:numPr>
          <w:ilvl w:val="0"/>
          <w:numId w:val="1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other certifying officer(s) and I are responsible for establishing and maintaining disclosure controls and procedures (as defined in Exchange Act Rules 13a-15(e) and 15d-15(e)) for the company and have:</w:t>
      </w:r>
    </w:p>
    <w:p>
      <w:pPr>
        <w:spacing w:after="0" w:line="66" w:lineRule="exact"/>
        <w:rPr>
          <w:rFonts w:ascii="Courier New" w:cs="Courier New" w:eastAsia="Courier New" w:hAnsi="Courier New"/>
          <w:sz w:val="18"/>
          <w:szCs w:val="18"/>
          <w:color w:val="auto"/>
        </w:rPr>
      </w:pPr>
    </w:p>
    <w:p>
      <w:pPr>
        <w:ind w:left="540" w:right="1779" w:firstLine="521"/>
        <w:spacing w:after="0" w:line="260" w:lineRule="auto"/>
        <w:tabs>
          <w:tab w:leader="none" w:pos="1488" w:val="left"/>
        </w:tabs>
        <w:numPr>
          <w:ilvl w:val="1"/>
          <w:numId w:val="1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92" w:lineRule="exact"/>
        <w:rPr>
          <w:rFonts w:ascii="Courier New" w:cs="Courier New" w:eastAsia="Courier New" w:hAnsi="Courier New"/>
          <w:sz w:val="18"/>
          <w:szCs w:val="18"/>
          <w:color w:val="auto"/>
        </w:rPr>
      </w:pPr>
    </w:p>
    <w:p>
      <w:pPr>
        <w:ind w:left="540" w:right="1879" w:firstLine="521"/>
        <w:spacing w:after="0" w:line="347" w:lineRule="auto"/>
        <w:tabs>
          <w:tab w:leader="none" w:pos="1488" w:val="left"/>
        </w:tabs>
        <w:numPr>
          <w:ilvl w:val="1"/>
          <w:numId w:val="1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[Paragraph omitted in accordance with SEC transition instructions contained in SEC Release 34-47986]</w:t>
      </w:r>
    </w:p>
    <w:p>
      <w:pPr>
        <w:spacing w:after="0" w:line="18" w:lineRule="exact"/>
        <w:rPr>
          <w:rFonts w:ascii="Courier New" w:cs="Courier New" w:eastAsia="Courier New" w:hAnsi="Courier New"/>
          <w:sz w:val="18"/>
          <w:szCs w:val="18"/>
          <w:color w:val="auto"/>
        </w:rPr>
      </w:pPr>
    </w:p>
    <w:p>
      <w:pPr>
        <w:ind w:left="540" w:right="1999" w:firstLine="521"/>
        <w:spacing w:after="0" w:line="318" w:lineRule="auto"/>
        <w:tabs>
          <w:tab w:leader="none" w:pos="1488" w:val="left"/>
        </w:tabs>
        <w:numPr>
          <w:ilvl w:val="1"/>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52" w:lineRule="exact"/>
        <w:rPr>
          <w:rFonts w:ascii="Courier New" w:cs="Courier New" w:eastAsia="Courier New" w:hAnsi="Courier New"/>
          <w:sz w:val="16"/>
          <w:szCs w:val="16"/>
          <w:color w:val="auto"/>
        </w:rPr>
      </w:pPr>
    </w:p>
    <w:p>
      <w:pPr>
        <w:ind w:left="540" w:right="1779" w:firstLine="521"/>
        <w:spacing w:after="0" w:line="265" w:lineRule="auto"/>
        <w:tabs>
          <w:tab w:leader="none" w:pos="1488" w:val="left"/>
        </w:tabs>
        <w:numPr>
          <w:ilvl w:val="1"/>
          <w:numId w:val="1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89" w:lineRule="exact"/>
        <w:rPr>
          <w:rFonts w:ascii="Courier New" w:cs="Courier New" w:eastAsia="Courier New" w:hAnsi="Courier New"/>
          <w:sz w:val="18"/>
          <w:szCs w:val="18"/>
          <w:color w:val="auto"/>
        </w:rPr>
      </w:pPr>
    </w:p>
    <w:p>
      <w:pPr>
        <w:ind w:right="1779" w:firstLine="535"/>
        <w:spacing w:after="0" w:line="274" w:lineRule="auto"/>
        <w:tabs>
          <w:tab w:leader="none" w:pos="843" w:val="left"/>
        </w:tabs>
        <w:numPr>
          <w:ilvl w:val="0"/>
          <w:numId w:val="1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81" w:lineRule="exact"/>
        <w:rPr>
          <w:rFonts w:ascii="Courier New" w:cs="Courier New" w:eastAsia="Courier New" w:hAnsi="Courier New"/>
          <w:sz w:val="18"/>
          <w:szCs w:val="18"/>
          <w:color w:val="auto"/>
        </w:rPr>
      </w:pPr>
    </w:p>
    <w:p>
      <w:pPr>
        <w:ind w:left="540" w:right="1779" w:firstLine="521"/>
        <w:spacing w:after="0" w:line="274" w:lineRule="auto"/>
        <w:tabs>
          <w:tab w:leader="none" w:pos="1488" w:val="left"/>
        </w:tabs>
        <w:numPr>
          <w:ilvl w:val="1"/>
          <w:numId w:val="1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81" w:lineRule="exact"/>
        <w:rPr>
          <w:rFonts w:ascii="Courier New" w:cs="Courier New" w:eastAsia="Courier New" w:hAnsi="Courier New"/>
          <w:sz w:val="18"/>
          <w:szCs w:val="18"/>
          <w:color w:val="auto"/>
        </w:rPr>
      </w:pPr>
    </w:p>
    <w:p>
      <w:pPr>
        <w:ind w:left="540" w:right="2099" w:firstLine="521"/>
        <w:spacing w:after="0" w:line="292" w:lineRule="auto"/>
        <w:tabs>
          <w:tab w:leader="none" w:pos="1488" w:val="left"/>
        </w:tabs>
        <w:numPr>
          <w:ilvl w:val="1"/>
          <w:numId w:val="1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fraud, whether or not material, that involves management or other employees who have a significant role in the company's internal control over financial reporting.</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December 24, 2003</w:t>
      </w: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DOV BAHARAV</w:t>
      </w:r>
    </w:p>
    <w:p>
      <w:pPr>
        <w:spacing w:after="0" w:line="29" w:lineRule="exact"/>
        <w:rPr>
          <w:sz w:val="20"/>
          <w:szCs w:val="20"/>
          <w:color w:val="auto"/>
        </w:rPr>
      </w:pPr>
    </w:p>
    <w:p>
      <w:pPr>
        <w:ind w:left="220" w:hanging="212"/>
        <w:spacing w:after="0"/>
        <w:tabs>
          <w:tab w:leader="none" w:pos="220" w:val="left"/>
        </w:tabs>
        <w:numPr>
          <w:ilvl w:val="0"/>
          <w:numId w:val="1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Dov Baharav,</w:t>
      </w:r>
    </w:p>
    <w:p>
      <w:pPr>
        <w:ind w:right="7579"/>
        <w:spacing w:after="0" w:line="37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Chief Executive Officer, Amdocs Management Limited</w:t>
      </w:r>
    </w:p>
    <w:p>
      <w:pPr>
        <w:sectPr>
          <w:pgSz w:w="11900" w:h="16838" w:orient="portrait"/>
          <w:cols w:equalWidth="0" w:num="1">
            <w:col w:w="10219"/>
          </w:cols>
          <w:pgMar w:left="240" w:top="515" w:right="1440" w:bottom="1440" w:gutter="0" w:footer="0" w:header="0"/>
        </w:sectPr>
      </w:pPr>
    </w:p>
    <w:bookmarkStart w:id="147" w:name="page148"/>
    <w:bookmarkEnd w:id="147"/>
    <w:p>
      <w:pPr>
        <w:jc w:val="right"/>
        <w:ind w:right="1779"/>
        <w:spacing w:after="0"/>
        <w:rPr>
          <w:sz w:val="20"/>
          <w:szCs w:val="20"/>
          <w:color w:val="auto"/>
        </w:rPr>
      </w:pPr>
      <w:r>
        <w:rPr>
          <w:rFonts w:ascii="Courier New" w:cs="Courier New" w:eastAsia="Courier New" w:hAnsi="Courier New"/>
          <w:sz w:val="18"/>
          <w:szCs w:val="18"/>
          <w:color w:val="auto"/>
        </w:rPr>
        <w:t>EXHIBIT 12.2</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CERTIFICATIONS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Ron Moskovitz, certify that:</w:t>
      </w:r>
    </w:p>
    <w:p>
      <w:pPr>
        <w:spacing w:after="0" w:line="201" w:lineRule="exact"/>
        <w:rPr>
          <w:sz w:val="20"/>
          <w:szCs w:val="20"/>
          <w:color w:val="auto"/>
        </w:rPr>
      </w:pPr>
    </w:p>
    <w:p>
      <w:pPr>
        <w:ind w:left="860" w:hanging="325"/>
        <w:spacing w:after="0"/>
        <w:tabs>
          <w:tab w:leader="none" w:pos="860" w:val="left"/>
        </w:tabs>
        <w:numPr>
          <w:ilvl w:val="0"/>
          <w:numId w:val="1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this annual report on Form 20-F of Amdocs Limited;</w:t>
      </w:r>
    </w:p>
    <w:p>
      <w:pPr>
        <w:spacing w:after="0" w:line="201" w:lineRule="exact"/>
        <w:rPr>
          <w:rFonts w:ascii="Courier New" w:cs="Courier New" w:eastAsia="Courier New" w:hAnsi="Courier New"/>
          <w:sz w:val="18"/>
          <w:szCs w:val="18"/>
          <w:color w:val="auto"/>
        </w:rPr>
      </w:pPr>
    </w:p>
    <w:p>
      <w:pPr>
        <w:ind w:right="1779" w:firstLine="535"/>
        <w:spacing w:after="0" w:line="318" w:lineRule="auto"/>
        <w:tabs>
          <w:tab w:leader="none" w:pos="843"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2" w:lineRule="exact"/>
        <w:rPr>
          <w:rFonts w:ascii="Courier New" w:cs="Courier New" w:eastAsia="Courier New" w:hAnsi="Courier New"/>
          <w:sz w:val="16"/>
          <w:szCs w:val="16"/>
          <w:color w:val="auto"/>
        </w:rPr>
      </w:pPr>
    </w:p>
    <w:p>
      <w:pPr>
        <w:ind w:right="1779" w:firstLine="535"/>
        <w:spacing w:after="0" w:line="274" w:lineRule="auto"/>
        <w:tabs>
          <w:tab w:leader="none" w:pos="843" w:val="left"/>
        </w:tabs>
        <w:numPr>
          <w:ilvl w:val="0"/>
          <w:numId w:val="1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81" w:lineRule="exact"/>
        <w:rPr>
          <w:rFonts w:ascii="Courier New" w:cs="Courier New" w:eastAsia="Courier New" w:hAnsi="Courier New"/>
          <w:sz w:val="18"/>
          <w:szCs w:val="18"/>
          <w:color w:val="auto"/>
        </w:rPr>
      </w:pPr>
    </w:p>
    <w:p>
      <w:pPr>
        <w:ind w:right="1999" w:firstLine="535"/>
        <w:spacing w:after="0" w:line="292" w:lineRule="auto"/>
        <w:tabs>
          <w:tab w:leader="none" w:pos="843" w:val="left"/>
        </w:tabs>
        <w:numPr>
          <w:ilvl w:val="0"/>
          <w:numId w:val="1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other certifying officer(s) and I are responsible for establishing and maintaining disclosure controls and procedures (as defined in Exchange Act Rules 13a-15(e) and 15d-15(e)) for the company and have:</w:t>
      </w:r>
    </w:p>
    <w:p>
      <w:pPr>
        <w:spacing w:after="0" w:line="66" w:lineRule="exact"/>
        <w:rPr>
          <w:rFonts w:ascii="Courier New" w:cs="Courier New" w:eastAsia="Courier New" w:hAnsi="Courier New"/>
          <w:sz w:val="18"/>
          <w:szCs w:val="18"/>
          <w:color w:val="auto"/>
        </w:rPr>
      </w:pPr>
    </w:p>
    <w:p>
      <w:pPr>
        <w:ind w:left="540" w:right="1779" w:firstLine="521"/>
        <w:spacing w:after="0" w:line="260" w:lineRule="auto"/>
        <w:tabs>
          <w:tab w:leader="none" w:pos="1488" w:val="left"/>
        </w:tabs>
        <w:numPr>
          <w:ilvl w:val="1"/>
          <w:numId w:val="1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92" w:lineRule="exact"/>
        <w:rPr>
          <w:rFonts w:ascii="Courier New" w:cs="Courier New" w:eastAsia="Courier New" w:hAnsi="Courier New"/>
          <w:sz w:val="18"/>
          <w:szCs w:val="18"/>
          <w:color w:val="auto"/>
        </w:rPr>
      </w:pPr>
    </w:p>
    <w:p>
      <w:pPr>
        <w:ind w:left="540" w:right="1879" w:firstLine="521"/>
        <w:spacing w:after="0" w:line="347" w:lineRule="auto"/>
        <w:tabs>
          <w:tab w:leader="none" w:pos="1488" w:val="left"/>
        </w:tabs>
        <w:numPr>
          <w:ilvl w:val="1"/>
          <w:numId w:val="1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[Paragraph omitted in accordance with SEC transition instructions contained in SEC Release 34-47986]</w:t>
      </w:r>
    </w:p>
    <w:p>
      <w:pPr>
        <w:spacing w:after="0" w:line="18" w:lineRule="exact"/>
        <w:rPr>
          <w:rFonts w:ascii="Courier New" w:cs="Courier New" w:eastAsia="Courier New" w:hAnsi="Courier New"/>
          <w:sz w:val="18"/>
          <w:szCs w:val="18"/>
          <w:color w:val="auto"/>
        </w:rPr>
      </w:pPr>
    </w:p>
    <w:p>
      <w:pPr>
        <w:ind w:left="540" w:right="1999" w:firstLine="521"/>
        <w:spacing w:after="0" w:line="318" w:lineRule="auto"/>
        <w:tabs>
          <w:tab w:leader="none" w:pos="1488" w:val="left"/>
        </w:tabs>
        <w:numPr>
          <w:ilvl w:val="1"/>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52" w:lineRule="exact"/>
        <w:rPr>
          <w:rFonts w:ascii="Courier New" w:cs="Courier New" w:eastAsia="Courier New" w:hAnsi="Courier New"/>
          <w:sz w:val="16"/>
          <w:szCs w:val="16"/>
          <w:color w:val="auto"/>
        </w:rPr>
      </w:pPr>
    </w:p>
    <w:p>
      <w:pPr>
        <w:ind w:left="540" w:right="1779" w:firstLine="521"/>
        <w:spacing w:after="0" w:line="265" w:lineRule="auto"/>
        <w:tabs>
          <w:tab w:leader="none" w:pos="1488" w:val="left"/>
        </w:tabs>
        <w:numPr>
          <w:ilvl w:val="1"/>
          <w:numId w:val="1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89" w:lineRule="exact"/>
        <w:rPr>
          <w:rFonts w:ascii="Courier New" w:cs="Courier New" w:eastAsia="Courier New" w:hAnsi="Courier New"/>
          <w:sz w:val="18"/>
          <w:szCs w:val="18"/>
          <w:color w:val="auto"/>
        </w:rPr>
      </w:pPr>
    </w:p>
    <w:p>
      <w:pPr>
        <w:ind w:right="1779" w:firstLine="535"/>
        <w:spacing w:after="0" w:line="274" w:lineRule="auto"/>
        <w:tabs>
          <w:tab w:leader="none" w:pos="843" w:val="left"/>
        </w:tabs>
        <w:numPr>
          <w:ilvl w:val="0"/>
          <w:numId w:val="1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81" w:lineRule="exact"/>
        <w:rPr>
          <w:rFonts w:ascii="Courier New" w:cs="Courier New" w:eastAsia="Courier New" w:hAnsi="Courier New"/>
          <w:sz w:val="18"/>
          <w:szCs w:val="18"/>
          <w:color w:val="auto"/>
        </w:rPr>
      </w:pPr>
    </w:p>
    <w:p>
      <w:pPr>
        <w:ind w:left="540" w:right="1779" w:firstLine="521"/>
        <w:spacing w:after="0" w:line="274" w:lineRule="auto"/>
        <w:tabs>
          <w:tab w:leader="none" w:pos="1488" w:val="left"/>
        </w:tabs>
        <w:numPr>
          <w:ilvl w:val="1"/>
          <w:numId w:val="1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81" w:lineRule="exact"/>
        <w:rPr>
          <w:rFonts w:ascii="Courier New" w:cs="Courier New" w:eastAsia="Courier New" w:hAnsi="Courier New"/>
          <w:sz w:val="18"/>
          <w:szCs w:val="18"/>
          <w:color w:val="auto"/>
        </w:rPr>
      </w:pPr>
    </w:p>
    <w:p>
      <w:pPr>
        <w:ind w:left="540" w:right="2099" w:firstLine="521"/>
        <w:spacing w:after="0" w:line="292" w:lineRule="auto"/>
        <w:tabs>
          <w:tab w:leader="none" w:pos="1488" w:val="left"/>
        </w:tabs>
        <w:numPr>
          <w:ilvl w:val="1"/>
          <w:numId w:val="1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fraud, whether or not material, that involves management or other employees who have a significant role in the company's internal control over financial reporting.</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December 24, 2003</w:t>
      </w: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RON MOSKOVITZ</w:t>
      </w:r>
    </w:p>
    <w:p>
      <w:pPr>
        <w:spacing w:after="0" w:line="29" w:lineRule="exact"/>
        <w:rPr>
          <w:sz w:val="20"/>
          <w:szCs w:val="20"/>
          <w:color w:val="auto"/>
        </w:rPr>
      </w:pPr>
    </w:p>
    <w:p>
      <w:pPr>
        <w:ind w:left="220" w:hanging="212"/>
        <w:spacing w:after="0"/>
        <w:tabs>
          <w:tab w:leader="none" w:pos="220" w:val="left"/>
        </w:tabs>
        <w:numPr>
          <w:ilvl w:val="0"/>
          <w:numId w:val="1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Ron Moskovitz,</w:t>
      </w:r>
    </w:p>
    <w:p>
      <w:pPr>
        <w:ind w:right="7579"/>
        <w:spacing w:after="0" w:line="37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Chief Financial Officer, Amdocs Management Limited</w:t>
      </w:r>
    </w:p>
    <w:p>
      <w:pPr>
        <w:sectPr>
          <w:pgSz w:w="11900" w:h="16838" w:orient="portrait"/>
          <w:cols w:equalWidth="0" w:num="1">
            <w:col w:w="10219"/>
          </w:cols>
          <w:pgMar w:left="240" w:top="515" w:right="1440" w:bottom="1440" w:gutter="0" w:footer="0" w:header="0"/>
        </w:sectPr>
      </w:pPr>
    </w:p>
    <w:bookmarkStart w:id="148" w:name="page149"/>
    <w:bookmarkEnd w:id="148"/>
    <w:p>
      <w:pPr>
        <w:jc w:val="right"/>
        <w:ind w:right="1779"/>
        <w:spacing w:after="0"/>
        <w:rPr>
          <w:sz w:val="20"/>
          <w:szCs w:val="20"/>
          <w:color w:val="auto"/>
        </w:rPr>
      </w:pPr>
      <w:r>
        <w:rPr>
          <w:rFonts w:ascii="Courier New" w:cs="Courier New" w:eastAsia="Courier New" w:hAnsi="Courier New"/>
          <w:sz w:val="18"/>
          <w:szCs w:val="18"/>
          <w:color w:val="auto"/>
        </w:rPr>
        <w:t>EXHIBIT 13.1</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CERTIFICATION PURSUANT TO 18 U.S.C. SECTION 1350,</w:t>
      </w:r>
    </w:p>
    <w:p>
      <w:pPr>
        <w:spacing w:after="0" w:line="29"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AS ADOPTED PURSUANT TO</w:t>
      </w:r>
    </w:p>
    <w:p>
      <w:pPr>
        <w:jc w:val="center"/>
        <w:ind w:right="1879"/>
        <w:spacing w:after="0"/>
        <w:rPr>
          <w:sz w:val="20"/>
          <w:szCs w:val="20"/>
          <w:color w:val="auto"/>
        </w:rPr>
      </w:pPr>
      <w:r>
        <w:rPr>
          <w:rFonts w:ascii="Courier New" w:cs="Courier New" w:eastAsia="Courier New" w:hAnsi="Courier New"/>
          <w:sz w:val="18"/>
          <w:szCs w:val="18"/>
          <w:color w:val="auto"/>
        </w:rPr>
        <w:t>SECTION 906 OF THE SARBANES-OXLEY ACT OF 2002</w:t>
      </w:r>
    </w:p>
    <w:p>
      <w:pPr>
        <w:spacing w:after="0" w:line="169" w:lineRule="exact"/>
        <w:rPr>
          <w:sz w:val="20"/>
          <w:szCs w:val="20"/>
          <w:color w:val="auto"/>
        </w:rPr>
      </w:pPr>
    </w:p>
    <w:p>
      <w:pPr>
        <w:ind w:right="1879" w:firstLine="527"/>
        <w:spacing w:after="0" w:line="278" w:lineRule="auto"/>
        <w:rPr>
          <w:sz w:val="20"/>
          <w:szCs w:val="20"/>
          <w:color w:val="auto"/>
        </w:rPr>
      </w:pPr>
      <w:r>
        <w:rPr>
          <w:rFonts w:ascii="Courier New" w:cs="Courier New" w:eastAsia="Courier New" w:hAnsi="Courier New"/>
          <w:sz w:val="16"/>
          <w:szCs w:val="16"/>
          <w:color w:val="auto"/>
        </w:rPr>
        <w:t>In connection with the annual report on Form 20-F of Amdocs Limited (the "Company") for the period ended September 30, 2003 as filed with the Securities and Exchange Commission on the date hereof (the "Report"), the undersigned, Dov Baharav, Chief Executive Officer of the Company, hereby certifies, pursuant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18 U.S.C. Section 1350, that to the best of his knowledge and belief:</w:t>
      </w:r>
    </w:p>
    <w:p>
      <w:pPr>
        <w:spacing w:after="0" w:line="169" w:lineRule="exact"/>
        <w:rPr>
          <w:sz w:val="20"/>
          <w:szCs w:val="20"/>
          <w:color w:val="auto"/>
        </w:rPr>
      </w:pPr>
    </w:p>
    <w:p>
      <w:pPr>
        <w:ind w:left="540" w:right="1999" w:firstLine="521"/>
        <w:spacing w:after="0" w:line="347" w:lineRule="auto"/>
        <w:tabs>
          <w:tab w:leader="none" w:pos="1488"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 fully complies with the requirements of Section 13(a) or 15(d) of the Securities Exchange Act of 1934; and</w:t>
      </w:r>
    </w:p>
    <w:p>
      <w:pPr>
        <w:spacing w:after="0" w:line="18" w:lineRule="exact"/>
        <w:rPr>
          <w:rFonts w:ascii="Courier New" w:cs="Courier New" w:eastAsia="Courier New" w:hAnsi="Courier New"/>
          <w:sz w:val="18"/>
          <w:szCs w:val="18"/>
          <w:color w:val="auto"/>
        </w:rPr>
      </w:pPr>
    </w:p>
    <w:p>
      <w:pPr>
        <w:ind w:left="540" w:right="1779" w:firstLine="521"/>
        <w:spacing w:after="0" w:line="292" w:lineRule="auto"/>
        <w:tabs>
          <w:tab w:leader="none" w:pos="1488"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contained in the Report fairly presents, in all material respects, the financial condition and results of operations of the Company.</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December 24, 2003</w:t>
      </w: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DOV BAHARAV</w:t>
      </w:r>
    </w:p>
    <w:p>
      <w:pPr>
        <w:spacing w:after="0" w:line="29" w:lineRule="exact"/>
        <w:rPr>
          <w:sz w:val="20"/>
          <w:szCs w:val="20"/>
          <w:color w:val="auto"/>
        </w:rPr>
      </w:pPr>
    </w:p>
    <w:p>
      <w:pPr>
        <w:ind w:left="220" w:hanging="212"/>
        <w:spacing w:after="0"/>
        <w:tabs>
          <w:tab w:leader="none" w:pos="220"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Dov Baharav</w:t>
      </w:r>
    </w:p>
    <w:p>
      <w:pPr>
        <w:ind w:right="7579"/>
        <w:spacing w:after="0" w:line="37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Chief Executive Officer Amdocs Management Limited</w:t>
      </w:r>
    </w:p>
    <w:p>
      <w:pPr>
        <w:sectPr>
          <w:pgSz w:w="11900" w:h="16838" w:orient="portrait"/>
          <w:cols w:equalWidth="0" w:num="1">
            <w:col w:w="10219"/>
          </w:cols>
          <w:pgMar w:left="240" w:top="515" w:right="1440" w:bottom="1440" w:gutter="0" w:footer="0" w:header="0"/>
        </w:sectPr>
      </w:pPr>
    </w:p>
    <w:bookmarkStart w:id="149" w:name="page150"/>
    <w:bookmarkEnd w:id="149"/>
    <w:p>
      <w:pPr>
        <w:jc w:val="right"/>
        <w:ind w:right="1779"/>
        <w:spacing w:after="0"/>
        <w:rPr>
          <w:sz w:val="20"/>
          <w:szCs w:val="20"/>
          <w:color w:val="auto"/>
        </w:rPr>
      </w:pPr>
      <w:r>
        <w:rPr>
          <w:rFonts w:ascii="Courier New" w:cs="Courier New" w:eastAsia="Courier New" w:hAnsi="Courier New"/>
          <w:sz w:val="18"/>
          <w:szCs w:val="18"/>
          <w:color w:val="auto"/>
        </w:rPr>
        <w:t>EXHIBIT 13.2</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CERTIFICATION PURSUANT TO 18 U.S.C. SECTION 1350,</w:t>
      </w:r>
    </w:p>
    <w:p>
      <w:pPr>
        <w:spacing w:after="0" w:line="29"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AS ADOPTED PURSUANT TO</w:t>
      </w:r>
    </w:p>
    <w:p>
      <w:pPr>
        <w:jc w:val="center"/>
        <w:ind w:right="1879"/>
        <w:spacing w:after="0"/>
        <w:rPr>
          <w:sz w:val="20"/>
          <w:szCs w:val="20"/>
          <w:color w:val="auto"/>
        </w:rPr>
      </w:pPr>
      <w:r>
        <w:rPr>
          <w:rFonts w:ascii="Courier New" w:cs="Courier New" w:eastAsia="Courier New" w:hAnsi="Courier New"/>
          <w:sz w:val="18"/>
          <w:szCs w:val="18"/>
          <w:color w:val="auto"/>
        </w:rPr>
        <w:t>SECTION 906 OF THE SARBANES-OXLEY ACT OF 2002</w:t>
      </w:r>
    </w:p>
    <w:p>
      <w:pPr>
        <w:spacing w:after="0" w:line="169" w:lineRule="exact"/>
        <w:rPr>
          <w:sz w:val="20"/>
          <w:szCs w:val="20"/>
          <w:color w:val="auto"/>
        </w:rPr>
      </w:pPr>
    </w:p>
    <w:p>
      <w:pPr>
        <w:ind w:right="1779" w:firstLine="527"/>
        <w:spacing w:after="0" w:line="278" w:lineRule="auto"/>
        <w:rPr>
          <w:sz w:val="20"/>
          <w:szCs w:val="20"/>
          <w:color w:val="auto"/>
        </w:rPr>
      </w:pPr>
      <w:r>
        <w:rPr>
          <w:rFonts w:ascii="Courier New" w:cs="Courier New" w:eastAsia="Courier New" w:hAnsi="Courier New"/>
          <w:sz w:val="16"/>
          <w:szCs w:val="16"/>
          <w:color w:val="auto"/>
        </w:rPr>
        <w:t>In connection with the annual report on Form 20-F of Amdocs Limited (the "Company") for the period ended September 30, 2003 as filed with the Securities and Exchange Commission on the date hereof (the "Report"), the undersigned, Ron Moskovitz, Chief Financial Officer of the Company, hereby certifies, pursuant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18 U.S.C. Section 1350, that to the best of his knowledge and belief:</w:t>
      </w:r>
    </w:p>
    <w:p>
      <w:pPr>
        <w:spacing w:after="0" w:line="169" w:lineRule="exact"/>
        <w:rPr>
          <w:sz w:val="20"/>
          <w:szCs w:val="20"/>
          <w:color w:val="auto"/>
        </w:rPr>
      </w:pPr>
    </w:p>
    <w:p>
      <w:pPr>
        <w:ind w:left="540" w:right="1999" w:firstLine="521"/>
        <w:spacing w:after="0" w:line="347" w:lineRule="auto"/>
        <w:tabs>
          <w:tab w:leader="none" w:pos="1488" w:val="left"/>
        </w:tabs>
        <w:numPr>
          <w:ilvl w:val="0"/>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 fully complies with the requirements of Section 13(a) or 15(d) of the Securities Exchange Act of 1934; and</w:t>
      </w:r>
    </w:p>
    <w:p>
      <w:pPr>
        <w:spacing w:after="0" w:line="18" w:lineRule="exact"/>
        <w:rPr>
          <w:rFonts w:ascii="Courier New" w:cs="Courier New" w:eastAsia="Courier New" w:hAnsi="Courier New"/>
          <w:sz w:val="18"/>
          <w:szCs w:val="18"/>
          <w:color w:val="auto"/>
        </w:rPr>
      </w:pPr>
    </w:p>
    <w:p>
      <w:pPr>
        <w:ind w:left="540" w:right="1779" w:firstLine="521"/>
        <w:spacing w:after="0" w:line="292" w:lineRule="auto"/>
        <w:tabs>
          <w:tab w:leader="none" w:pos="1488" w:val="left"/>
        </w:tabs>
        <w:numPr>
          <w:ilvl w:val="0"/>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contained in the Report fairly presents, in all material respects, the financial condition and results of operations of the Company.</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December 24, 2003</w:t>
      </w: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RON MOSKOVITZ</w:t>
      </w:r>
    </w:p>
    <w:p>
      <w:pPr>
        <w:spacing w:after="0" w:line="29" w:lineRule="exact"/>
        <w:rPr>
          <w:sz w:val="20"/>
          <w:szCs w:val="20"/>
          <w:color w:val="auto"/>
        </w:rPr>
      </w:pPr>
    </w:p>
    <w:p>
      <w:pPr>
        <w:ind w:left="220" w:hanging="212"/>
        <w:spacing w:after="0"/>
        <w:tabs>
          <w:tab w:leader="none" w:pos="220" w:val="left"/>
        </w:tabs>
        <w:numPr>
          <w:ilvl w:val="0"/>
          <w:numId w:val="1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Ron Moskovitz,</w:t>
      </w:r>
    </w:p>
    <w:p>
      <w:pPr>
        <w:ind w:right="7579"/>
        <w:spacing w:after="0" w:line="37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Chief Financial Officer, Amdocs Management Limited</w:t>
      </w:r>
    </w:p>
    <w:p>
      <w:pPr>
        <w:sectPr>
          <w:pgSz w:w="11900" w:h="16838" w:orient="portrait"/>
          <w:cols w:equalWidth="0" w:num="1">
            <w:col w:w="10219"/>
          </w:cols>
          <w:pgMar w:left="240" w:top="515" w:right="1440" w:bottom="1440" w:gutter="0" w:footer="0" w:header="0"/>
        </w:sectPr>
      </w:pPr>
    </w:p>
    <w:bookmarkStart w:id="150" w:name="page151"/>
    <w:bookmarkEnd w:id="150"/>
    <w:p>
      <w:pPr>
        <w:jc w:val="right"/>
        <w:ind w:right="1779"/>
        <w:spacing w:after="0"/>
        <w:rPr>
          <w:sz w:val="20"/>
          <w:szCs w:val="20"/>
          <w:color w:val="auto"/>
        </w:rPr>
      </w:pPr>
      <w:r>
        <w:rPr>
          <w:rFonts w:ascii="Courier New" w:cs="Courier New" w:eastAsia="Courier New" w:hAnsi="Courier New"/>
          <w:sz w:val="18"/>
          <w:szCs w:val="18"/>
          <w:color w:val="auto"/>
        </w:rPr>
        <w:t>EXHIBIT 14.1</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CONSENT OF ERNST &amp; YOUNG LLP</w:t>
      </w:r>
    </w:p>
    <w:p>
      <w:pPr>
        <w:spacing w:after="0" w:line="201" w:lineRule="exact"/>
        <w:rPr>
          <w:sz w:val="20"/>
          <w:szCs w:val="20"/>
          <w:color w:val="auto"/>
        </w:rPr>
      </w:pPr>
    </w:p>
    <w:p>
      <w:pPr>
        <w:ind w:right="1779"/>
        <w:spacing w:after="0" w:line="265" w:lineRule="auto"/>
        <w:rPr>
          <w:sz w:val="20"/>
          <w:szCs w:val="20"/>
          <w:color w:val="auto"/>
        </w:rPr>
      </w:pPr>
      <w:r>
        <w:rPr>
          <w:rFonts w:ascii="Courier New" w:cs="Courier New" w:eastAsia="Courier New" w:hAnsi="Courier New"/>
          <w:sz w:val="18"/>
          <w:szCs w:val="18"/>
          <w:color w:val="auto"/>
        </w:rPr>
        <w:t>We consent to the use of our report dated October 30, 2003 with respect to the consolidated financial statements and financial statement schedule of Amdocs Limited included in this Annual Report on Form 20-F for the year ended September 30, 2003 filed with the Securities and Exchange Commission and incorporated by reference in the following registration statements:</w:t>
      </w:r>
    </w:p>
    <w:p>
      <w:pPr>
        <w:spacing w:after="0" w:line="90"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COMMISSION FILE NO.</w:t>
      </w:r>
    </w:p>
    <w:p>
      <w:pPr>
        <w:spacing w:after="0" w:line="200" w:lineRule="exact"/>
        <w:rPr>
          <w:sz w:val="20"/>
          <w:szCs w:val="20"/>
          <w:color w:val="auto"/>
        </w:rPr>
      </w:pPr>
    </w:p>
    <w:tbl>
      <w:tblPr>
        <w:tblLayout w:type="fixed"/>
        <w:tblInd w:w="1700" w:type="dxa"/>
        <w:tblCellMar>
          <w:top w:w="0" w:type="dxa"/>
          <w:left w:w="0" w:type="dxa"/>
          <w:bottom w:w="0" w:type="dxa"/>
          <w:right w:w="0" w:type="dxa"/>
        </w:tblCellMar>
      </w:tblPr>
      <w:tr>
        <w:trPr>
          <w:trHeight w:val="204"/>
        </w:trPr>
        <w:tc>
          <w:tcPr>
            <w:tcW w:w="8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Form S-8,</w:t>
            </w:r>
          </w:p>
        </w:tc>
        <w:tc>
          <w:tcPr>
            <w:tcW w:w="2780" w:type="dxa"/>
            <w:vAlign w:val="bottom"/>
          </w:tcPr>
          <w:p>
            <w:pPr>
              <w:ind w:left="60"/>
              <w:spacing w:after="0"/>
              <w:rPr>
                <w:sz w:val="20"/>
                <w:szCs w:val="20"/>
                <w:color w:val="auto"/>
              </w:rPr>
            </w:pPr>
            <w:r>
              <w:rPr>
                <w:rFonts w:ascii="Courier New" w:cs="Courier New" w:eastAsia="Courier New" w:hAnsi="Courier New"/>
                <w:sz w:val="18"/>
                <w:szCs w:val="18"/>
                <w:color w:val="auto"/>
              </w:rPr>
              <w:t>No. 333-91847</w:t>
            </w: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Form S-8,</w:t>
            </w:r>
          </w:p>
        </w:tc>
        <w:tc>
          <w:tcPr>
            <w:tcW w:w="27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 333-92705</w:t>
            </w: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Form S-8,</w:t>
            </w:r>
          </w:p>
        </w:tc>
        <w:tc>
          <w:tcPr>
            <w:tcW w:w="27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 333-31506</w:t>
            </w: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Form S-8,</w:t>
            </w:r>
          </w:p>
        </w:tc>
        <w:tc>
          <w:tcPr>
            <w:tcW w:w="27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 333-34104</w:t>
            </w:r>
          </w:p>
        </w:tc>
        <w:tc>
          <w:tcPr>
            <w:tcW w:w="0" w:type="dxa"/>
            <w:vAlign w:val="bottom"/>
          </w:tcPr>
          <w:p>
            <w:pPr>
              <w:spacing w:after="0"/>
              <w:rPr>
                <w:sz w:val="1"/>
                <w:szCs w:val="1"/>
                <w:color w:val="auto"/>
              </w:rPr>
            </w:pPr>
          </w:p>
        </w:tc>
      </w:tr>
      <w:tr>
        <w:trPr>
          <w:trHeight w:val="203"/>
        </w:trPr>
        <w:tc>
          <w:tcPr>
            <w:tcW w:w="880" w:type="dxa"/>
            <w:vAlign w:val="bottom"/>
            <w:vMerge w:val="restart"/>
          </w:tcPr>
          <w:p>
            <w:pPr>
              <w:spacing w:after="0"/>
              <w:rPr>
                <w:sz w:val="20"/>
                <w:szCs w:val="20"/>
                <w:color w:val="auto"/>
              </w:rPr>
            </w:pPr>
            <w:r>
              <w:rPr>
                <w:rFonts w:ascii="Courier New" w:cs="Courier New" w:eastAsia="Courier New" w:hAnsi="Courier New"/>
                <w:sz w:val="18"/>
                <w:szCs w:val="18"/>
                <w:color w:val="auto"/>
                <w:w w:val="99"/>
              </w:rPr>
              <w:t>Form F-3</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Form S-8,</w:t>
            </w:r>
          </w:p>
        </w:tc>
        <w:tc>
          <w:tcPr>
            <w:tcW w:w="27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 333-58454</w:t>
            </w:r>
          </w:p>
        </w:tc>
        <w:tc>
          <w:tcPr>
            <w:tcW w:w="0" w:type="dxa"/>
            <w:vAlign w:val="bottom"/>
          </w:tcPr>
          <w:p>
            <w:pPr>
              <w:spacing w:after="0"/>
              <w:rPr>
                <w:sz w:val="1"/>
                <w:szCs w:val="1"/>
                <w:color w:val="auto"/>
              </w:rPr>
            </w:pPr>
          </w:p>
        </w:tc>
      </w:tr>
      <w:tr>
        <w:trPr>
          <w:trHeight w:val="203"/>
        </w:trPr>
        <w:tc>
          <w:tcPr>
            <w:tcW w:w="880" w:type="dxa"/>
            <w:vAlign w:val="bottom"/>
            <w:vMerge w:val="continue"/>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(and related</w:t>
            </w:r>
          </w:p>
        </w:tc>
        <w:tc>
          <w:tcPr>
            <w:tcW w:w="27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Prospectus), No. 333-39278</w:t>
            </w:r>
          </w:p>
        </w:tc>
        <w:tc>
          <w:tcPr>
            <w:tcW w:w="0" w:type="dxa"/>
            <w:vAlign w:val="bottom"/>
          </w:tcPr>
          <w:p>
            <w:pPr>
              <w:spacing w:after="0"/>
              <w:rPr>
                <w:sz w:val="1"/>
                <w:szCs w:val="1"/>
                <w:color w:val="auto"/>
              </w:rPr>
            </w:pPr>
          </w:p>
        </w:tc>
      </w:tr>
      <w:tr>
        <w:trPr>
          <w:trHeight w:val="203"/>
        </w:trPr>
        <w:tc>
          <w:tcPr>
            <w:tcW w:w="8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Form F-3</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(and related</w:t>
            </w:r>
          </w:p>
        </w:tc>
        <w:tc>
          <w:tcPr>
            <w:tcW w:w="27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Prospectus), No. 333-44994</w:t>
            </w:r>
          </w:p>
        </w:tc>
        <w:tc>
          <w:tcPr>
            <w:tcW w:w="0" w:type="dxa"/>
            <w:vAlign w:val="bottom"/>
          </w:tcPr>
          <w:p>
            <w:pPr>
              <w:spacing w:after="0"/>
              <w:rPr>
                <w:sz w:val="1"/>
                <w:szCs w:val="1"/>
                <w:color w:val="auto"/>
              </w:rPr>
            </w:pPr>
          </w:p>
        </w:tc>
      </w:tr>
      <w:tr>
        <w:trPr>
          <w:trHeight w:val="203"/>
        </w:trPr>
        <w:tc>
          <w:tcPr>
            <w:tcW w:w="8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Form F-3</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(and related</w:t>
            </w:r>
          </w:p>
        </w:tc>
        <w:tc>
          <w:tcPr>
            <w:tcW w:w="27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Prospectus), No. 333-57036</w:t>
            </w:r>
          </w:p>
        </w:tc>
        <w:tc>
          <w:tcPr>
            <w:tcW w:w="0" w:type="dxa"/>
            <w:vAlign w:val="bottom"/>
          </w:tcPr>
          <w:p>
            <w:pPr>
              <w:spacing w:after="0"/>
              <w:rPr>
                <w:sz w:val="1"/>
                <w:szCs w:val="1"/>
                <w:color w:val="auto"/>
              </w:rPr>
            </w:pPr>
          </w:p>
        </w:tc>
      </w:tr>
      <w:tr>
        <w:trPr>
          <w:trHeight w:val="296"/>
        </w:trPr>
        <w:tc>
          <w:tcPr>
            <w:tcW w:w="880" w:type="dxa"/>
            <w:vAlign w:val="bottom"/>
          </w:tcPr>
          <w:p>
            <w:pPr>
              <w:spacing w:after="0"/>
              <w:rPr>
                <w:sz w:val="20"/>
                <w:szCs w:val="20"/>
                <w:color w:val="auto"/>
              </w:rPr>
            </w:pPr>
            <w:r>
              <w:rPr>
                <w:rFonts w:ascii="Courier New" w:cs="Courier New" w:eastAsia="Courier New" w:hAnsi="Courier New"/>
                <w:sz w:val="18"/>
                <w:szCs w:val="18"/>
                <w:color w:val="auto"/>
                <w:w w:val="99"/>
              </w:rPr>
              <w:t>Form F-3</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(and related</w:t>
            </w:r>
          </w:p>
        </w:tc>
        <w:tc>
          <w:tcPr>
            <w:tcW w:w="2780" w:type="dxa"/>
            <w:vAlign w:val="bottom"/>
          </w:tcPr>
          <w:p>
            <w:pPr>
              <w:ind w:left="60"/>
              <w:spacing w:after="0"/>
              <w:rPr>
                <w:sz w:val="20"/>
                <w:szCs w:val="20"/>
                <w:color w:val="auto"/>
              </w:rPr>
            </w:pPr>
            <w:r>
              <w:rPr>
                <w:rFonts w:ascii="Courier New" w:cs="Courier New" w:eastAsia="Courier New" w:hAnsi="Courier New"/>
                <w:sz w:val="18"/>
                <w:szCs w:val="18"/>
                <w:color w:val="auto"/>
                <w:w w:val="96"/>
              </w:rPr>
              <w:t>Prospectus), No. 333-67572</w:t>
            </w:r>
          </w:p>
        </w:tc>
        <w:tc>
          <w:tcPr>
            <w:tcW w:w="0" w:type="dxa"/>
            <w:vAlign w:val="bottom"/>
          </w:tcPr>
          <w:p>
            <w:pPr>
              <w:spacing w:after="0"/>
              <w:rPr>
                <w:sz w:val="1"/>
                <w:szCs w:val="1"/>
                <w:color w:val="auto"/>
              </w:rPr>
            </w:pPr>
          </w:p>
        </w:tc>
      </w:tr>
    </w:tbl>
    <w:p>
      <w:pPr>
        <w:spacing w:after="0" w:line="109"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/s/ Ernst &amp; Young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New York</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December 24, 2003</w:t>
      </w:r>
    </w:p>
    <w:p>
      <w:pPr>
        <w:sectPr>
          <w:pgSz w:w="11900" w:h="16838" w:orient="portrait"/>
          <w:cols w:equalWidth="0" w:num="1">
            <w:col w:w="10219"/>
          </w:cols>
          <w:pgMar w:left="240" w:top="515" w:right="1440" w:bottom="1440" w:gutter="0" w:footer="0" w:header="0"/>
        </w:sectPr>
      </w:pPr>
    </w:p>
    <w:bookmarkStart w:id="151" w:name="page152"/>
    <w:bookmarkEnd w:id="151"/>
    <w:p>
      <w:pPr>
        <w:jc w:val="right"/>
        <w:ind w:right="1779"/>
        <w:spacing w:after="0"/>
        <w:rPr>
          <w:sz w:val="20"/>
          <w:szCs w:val="20"/>
          <w:color w:val="auto"/>
        </w:rPr>
      </w:pPr>
      <w:r>
        <w:rPr>
          <w:rFonts w:ascii="Courier New" w:cs="Courier New" w:eastAsia="Courier New" w:hAnsi="Courier New"/>
          <w:sz w:val="18"/>
          <w:szCs w:val="18"/>
          <w:color w:val="auto"/>
        </w:rPr>
        <w:t>EXHIBIT 14.2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Deloitte &amp; Touche, LLP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Assurance and Advisory Services</w:t>
      </w:r>
    </w:p>
    <w:p>
      <w:pPr>
        <w:spacing w:after="0" w:line="238" w:lineRule="auto"/>
        <w:rPr>
          <w:sz w:val="20"/>
          <w:szCs w:val="20"/>
          <w:color w:val="auto"/>
        </w:rPr>
      </w:pPr>
      <w:r>
        <w:rPr>
          <w:rFonts w:ascii="Courier New" w:cs="Courier New" w:eastAsia="Courier New" w:hAnsi="Courier New"/>
          <w:sz w:val="18"/>
          <w:szCs w:val="18"/>
          <w:color w:val="auto"/>
        </w:rPr>
        <w:t>1 Place Ville-Marie</w:t>
      </w:r>
    </w:p>
    <w:p>
      <w:pPr>
        <w:spacing w:after="0"/>
        <w:rPr>
          <w:sz w:val="20"/>
          <w:szCs w:val="20"/>
          <w:color w:val="auto"/>
        </w:rPr>
      </w:pPr>
      <w:r>
        <w:rPr>
          <w:rFonts w:ascii="Courier New" w:cs="Courier New" w:eastAsia="Courier New" w:hAnsi="Courier New"/>
          <w:sz w:val="18"/>
          <w:szCs w:val="18"/>
          <w:color w:val="auto"/>
        </w:rPr>
        <w:t>Suite 3000</w:t>
      </w:r>
    </w:p>
    <w:p>
      <w:pPr>
        <w:spacing w:after="0" w:line="238" w:lineRule="auto"/>
        <w:rPr>
          <w:sz w:val="20"/>
          <w:szCs w:val="20"/>
          <w:color w:val="auto"/>
        </w:rPr>
      </w:pPr>
      <w:r>
        <w:rPr>
          <w:rFonts w:ascii="Courier New" w:cs="Courier New" w:eastAsia="Courier New" w:hAnsi="Courier New"/>
          <w:sz w:val="18"/>
          <w:szCs w:val="18"/>
          <w:color w:val="auto"/>
        </w:rPr>
        <w:t>Montreal QC H3B-4T9</w:t>
      </w:r>
    </w:p>
    <w:p>
      <w:pPr>
        <w:spacing w:after="0"/>
        <w:rPr>
          <w:sz w:val="20"/>
          <w:szCs w:val="20"/>
          <w:color w:val="auto"/>
        </w:rPr>
      </w:pPr>
      <w:r>
        <w:rPr>
          <w:rFonts w:ascii="Courier New" w:cs="Courier New" w:eastAsia="Courier New" w:hAnsi="Courier New"/>
          <w:sz w:val="18"/>
          <w:szCs w:val="18"/>
          <w:color w:val="auto"/>
        </w:rPr>
        <w:t>Canada</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Tel.: (514) 393-7115</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Fax: (514) 390-4113</w:t>
      </w:r>
    </w:p>
    <w:p>
      <w:pPr>
        <w:spacing w:after="0"/>
        <w:rPr>
          <w:sz w:val="20"/>
          <w:szCs w:val="20"/>
          <w:color w:val="auto"/>
        </w:rPr>
      </w:pPr>
      <w:r>
        <w:rPr>
          <w:rFonts w:ascii="Courier New" w:cs="Courier New" w:eastAsia="Courier New" w:hAnsi="Courier New"/>
          <w:sz w:val="18"/>
          <w:szCs w:val="18"/>
          <w:color w:val="auto"/>
        </w:rPr>
        <w:t>www.deloitte.ca</w:t>
      </w:r>
    </w:p>
    <w:p>
      <w:pPr>
        <w:spacing w:after="0" w:line="169"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INDEPENDENT AUDITORS' CONSENT</w:t>
      </w:r>
    </w:p>
    <w:p>
      <w:pPr>
        <w:spacing w:after="0" w:line="201" w:lineRule="exact"/>
        <w:rPr>
          <w:sz w:val="20"/>
          <w:szCs w:val="20"/>
          <w:color w:val="auto"/>
        </w:rPr>
      </w:pPr>
    </w:p>
    <w:p>
      <w:pPr>
        <w:ind w:right="1779"/>
        <w:spacing w:after="0" w:line="256" w:lineRule="auto"/>
        <w:rPr>
          <w:sz w:val="20"/>
          <w:szCs w:val="20"/>
          <w:color w:val="auto"/>
        </w:rPr>
      </w:pPr>
      <w:r>
        <w:rPr>
          <w:rFonts w:ascii="Courier New" w:cs="Courier New" w:eastAsia="Courier New" w:hAnsi="Courier New"/>
          <w:sz w:val="18"/>
          <w:szCs w:val="18"/>
          <w:color w:val="auto"/>
        </w:rPr>
        <w:t>We consent to the incorporation by reference in the following Registration Statements of Amdocs Limited of our report dated March 19, 2003 (except for Note 17 which is as of July 2, 2003), related to the consolidated financial statements of Certen Inc., as of and for the years ended December 31, 2001 and 2002, appearing in this Annual Report of Amdocs Limited on Form 20-F for the year ended September 30, 2003 filed with the Securities Exchange Commission on December 24, 2003:</w:t>
      </w:r>
    </w:p>
    <w:p>
      <w:pPr>
        <w:spacing w:after="0" w:line="98"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8"/>
          <w:szCs w:val="18"/>
          <w:color w:val="auto"/>
        </w:rPr>
        <w:t>COMMISSION</w:t>
      </w:r>
    </w:p>
    <w:p>
      <w:pPr>
        <w:spacing w:after="0" w:line="29"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8"/>
          <w:szCs w:val="18"/>
          <w:color w:val="auto"/>
        </w:rPr>
        <w:t>FILE NO.</w:t>
      </w:r>
    </w:p>
    <w:p>
      <w:pPr>
        <w:jc w:val="center"/>
        <w:ind w:right="9059"/>
        <w:spacing w:after="0"/>
        <w:rPr>
          <w:sz w:val="20"/>
          <w:szCs w:val="20"/>
          <w:color w:val="auto"/>
        </w:rPr>
      </w:pPr>
      <w:r>
        <w:rPr>
          <w:rFonts w:ascii="Courier New" w:cs="Courier New" w:eastAsia="Courier New" w:hAnsi="Courier New"/>
          <w:sz w:val="16"/>
          <w:szCs w:val="16"/>
          <w:color w:val="auto"/>
        </w:rPr>
        <w:t>DESCRIPTION</w:t>
      </w:r>
    </w:p>
    <w:p>
      <w:pPr>
        <w:spacing w:after="0" w:line="20"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8"/>
          <w:szCs w:val="18"/>
          <w:color w:val="auto"/>
        </w:rPr>
        <w:t>OF FILING</w:t>
      </w:r>
    </w:p>
    <w:p>
      <w:pPr>
        <w:jc w:val="center"/>
        <w:ind w:right="9059"/>
        <w:spacing w:after="0" w:line="238" w:lineRule="auto"/>
        <w:rPr>
          <w:sz w:val="20"/>
          <w:szCs w:val="20"/>
          <w:color w:val="auto"/>
        </w:rPr>
      </w:pPr>
      <w:r>
        <w:rPr>
          <w:rFonts w:ascii="Courier New" w:cs="Courier New" w:eastAsia="Courier New" w:hAnsi="Courier New"/>
          <w:sz w:val="18"/>
          <w:szCs w:val="18"/>
          <w:color w:val="auto"/>
        </w:rPr>
        <w:t>333-91847</w:t>
      </w:r>
    </w:p>
    <w:p>
      <w:pPr>
        <w:jc w:val="center"/>
        <w:ind w:right="9059"/>
        <w:spacing w:after="0"/>
        <w:rPr>
          <w:sz w:val="20"/>
          <w:szCs w:val="20"/>
          <w:color w:val="auto"/>
        </w:rPr>
      </w:pPr>
      <w:r>
        <w:rPr>
          <w:rFonts w:ascii="Courier New" w:cs="Courier New" w:eastAsia="Courier New" w:hAnsi="Courier New"/>
          <w:sz w:val="18"/>
          <w:szCs w:val="18"/>
          <w:color w:val="auto"/>
        </w:rPr>
        <w:t>Form S-8</w:t>
      </w:r>
    </w:p>
    <w:p>
      <w:pPr>
        <w:jc w:val="center"/>
        <w:ind w:right="9059"/>
        <w:spacing w:after="0" w:line="238" w:lineRule="auto"/>
        <w:rPr>
          <w:sz w:val="20"/>
          <w:szCs w:val="20"/>
          <w:color w:val="auto"/>
        </w:rPr>
      </w:pPr>
      <w:r>
        <w:rPr>
          <w:rFonts w:ascii="Courier New" w:cs="Courier New" w:eastAsia="Courier New" w:hAnsi="Courier New"/>
          <w:sz w:val="18"/>
          <w:szCs w:val="18"/>
          <w:color w:val="auto"/>
        </w:rPr>
        <w:t>333-92705</w:t>
      </w:r>
    </w:p>
    <w:p>
      <w:pPr>
        <w:jc w:val="center"/>
        <w:ind w:right="9059"/>
        <w:spacing w:after="0"/>
        <w:rPr>
          <w:sz w:val="20"/>
          <w:szCs w:val="20"/>
          <w:color w:val="auto"/>
        </w:rPr>
      </w:pPr>
      <w:r>
        <w:rPr>
          <w:rFonts w:ascii="Courier New" w:cs="Courier New" w:eastAsia="Courier New" w:hAnsi="Courier New"/>
          <w:sz w:val="18"/>
          <w:szCs w:val="18"/>
          <w:color w:val="auto"/>
        </w:rPr>
        <w:t>Form S-8</w:t>
      </w:r>
    </w:p>
    <w:p>
      <w:pPr>
        <w:jc w:val="center"/>
        <w:ind w:right="9059"/>
        <w:spacing w:after="0" w:line="238" w:lineRule="auto"/>
        <w:rPr>
          <w:sz w:val="20"/>
          <w:szCs w:val="20"/>
          <w:color w:val="auto"/>
        </w:rPr>
      </w:pPr>
      <w:r>
        <w:rPr>
          <w:rFonts w:ascii="Courier New" w:cs="Courier New" w:eastAsia="Courier New" w:hAnsi="Courier New"/>
          <w:sz w:val="18"/>
          <w:szCs w:val="18"/>
          <w:color w:val="auto"/>
        </w:rPr>
        <w:t>333-31506</w:t>
      </w:r>
    </w:p>
    <w:p>
      <w:pPr>
        <w:jc w:val="center"/>
        <w:ind w:right="9059"/>
        <w:spacing w:after="0"/>
        <w:rPr>
          <w:sz w:val="20"/>
          <w:szCs w:val="20"/>
          <w:color w:val="auto"/>
        </w:rPr>
      </w:pPr>
      <w:r>
        <w:rPr>
          <w:rFonts w:ascii="Courier New" w:cs="Courier New" w:eastAsia="Courier New" w:hAnsi="Courier New"/>
          <w:sz w:val="18"/>
          <w:szCs w:val="18"/>
          <w:color w:val="auto"/>
        </w:rPr>
        <w:t>Form S-8</w:t>
      </w:r>
    </w:p>
    <w:p>
      <w:pPr>
        <w:jc w:val="center"/>
        <w:ind w:right="9059"/>
        <w:spacing w:after="0" w:line="238" w:lineRule="auto"/>
        <w:rPr>
          <w:sz w:val="20"/>
          <w:szCs w:val="20"/>
          <w:color w:val="auto"/>
        </w:rPr>
      </w:pPr>
      <w:r>
        <w:rPr>
          <w:rFonts w:ascii="Courier New" w:cs="Courier New" w:eastAsia="Courier New" w:hAnsi="Courier New"/>
          <w:sz w:val="18"/>
          <w:szCs w:val="18"/>
          <w:color w:val="auto"/>
        </w:rPr>
        <w:t>333-34104</w:t>
      </w:r>
    </w:p>
    <w:p>
      <w:pPr>
        <w:jc w:val="center"/>
        <w:ind w:right="9059"/>
        <w:spacing w:after="0"/>
        <w:rPr>
          <w:sz w:val="20"/>
          <w:szCs w:val="20"/>
          <w:color w:val="auto"/>
        </w:rPr>
      </w:pPr>
      <w:r>
        <w:rPr>
          <w:rFonts w:ascii="Courier New" w:cs="Courier New" w:eastAsia="Courier New" w:hAnsi="Courier New"/>
          <w:sz w:val="18"/>
          <w:szCs w:val="18"/>
          <w:color w:val="auto"/>
        </w:rPr>
        <w:t>Form S-8</w:t>
      </w:r>
    </w:p>
    <w:p>
      <w:pPr>
        <w:jc w:val="center"/>
        <w:ind w:right="9059"/>
        <w:spacing w:after="0" w:line="238" w:lineRule="auto"/>
        <w:rPr>
          <w:sz w:val="20"/>
          <w:szCs w:val="20"/>
          <w:color w:val="auto"/>
        </w:rPr>
      </w:pPr>
      <w:r>
        <w:rPr>
          <w:rFonts w:ascii="Courier New" w:cs="Courier New" w:eastAsia="Courier New" w:hAnsi="Courier New"/>
          <w:sz w:val="18"/>
          <w:szCs w:val="18"/>
          <w:color w:val="auto"/>
        </w:rPr>
        <w:t>333-58454</w:t>
      </w:r>
    </w:p>
    <w:p>
      <w:pPr>
        <w:jc w:val="center"/>
        <w:ind w:right="9059"/>
        <w:spacing w:after="0"/>
        <w:rPr>
          <w:sz w:val="20"/>
          <w:szCs w:val="20"/>
          <w:color w:val="auto"/>
        </w:rPr>
      </w:pPr>
      <w:r>
        <w:rPr>
          <w:rFonts w:ascii="Courier New" w:cs="Courier New" w:eastAsia="Courier New" w:hAnsi="Courier New"/>
          <w:sz w:val="18"/>
          <w:szCs w:val="18"/>
          <w:color w:val="auto"/>
        </w:rPr>
        <w:t>Form S-8</w:t>
      </w:r>
    </w:p>
    <w:p>
      <w:pPr>
        <w:jc w:val="center"/>
        <w:ind w:right="9059"/>
        <w:spacing w:after="0" w:line="238" w:lineRule="auto"/>
        <w:rPr>
          <w:sz w:val="20"/>
          <w:szCs w:val="20"/>
          <w:color w:val="auto"/>
        </w:rPr>
      </w:pPr>
      <w:r>
        <w:rPr>
          <w:rFonts w:ascii="Courier New" w:cs="Courier New" w:eastAsia="Courier New" w:hAnsi="Courier New"/>
          <w:sz w:val="18"/>
          <w:szCs w:val="18"/>
          <w:color w:val="auto"/>
        </w:rPr>
        <w:t>333-39278</w:t>
      </w:r>
    </w:p>
    <w:p>
      <w:pPr>
        <w:jc w:val="center"/>
        <w:ind w:right="9059"/>
        <w:spacing w:after="0"/>
        <w:rPr>
          <w:sz w:val="20"/>
          <w:szCs w:val="20"/>
          <w:color w:val="auto"/>
        </w:rPr>
      </w:pPr>
      <w:r>
        <w:rPr>
          <w:rFonts w:ascii="Courier New" w:cs="Courier New" w:eastAsia="Courier New" w:hAnsi="Courier New"/>
          <w:sz w:val="18"/>
          <w:szCs w:val="18"/>
          <w:color w:val="auto"/>
        </w:rPr>
        <w:t>Form F-3</w:t>
      </w:r>
    </w:p>
    <w:p>
      <w:pPr>
        <w:jc w:val="center"/>
        <w:ind w:right="9059"/>
        <w:spacing w:after="0" w:line="238" w:lineRule="auto"/>
        <w:rPr>
          <w:sz w:val="20"/>
          <w:szCs w:val="20"/>
          <w:color w:val="auto"/>
        </w:rPr>
      </w:pPr>
      <w:r>
        <w:rPr>
          <w:rFonts w:ascii="Courier New" w:cs="Courier New" w:eastAsia="Courier New" w:hAnsi="Courier New"/>
          <w:sz w:val="18"/>
          <w:szCs w:val="18"/>
          <w:color w:val="auto"/>
        </w:rPr>
        <w:t>(and</w:t>
      </w:r>
    </w:p>
    <w:p>
      <w:pPr>
        <w:jc w:val="center"/>
        <w:ind w:right="9059"/>
        <w:spacing w:after="0"/>
        <w:rPr>
          <w:sz w:val="20"/>
          <w:szCs w:val="20"/>
          <w:color w:val="auto"/>
        </w:rPr>
      </w:pPr>
      <w:r>
        <w:rPr>
          <w:rFonts w:ascii="Courier New" w:cs="Courier New" w:eastAsia="Courier New" w:hAnsi="Courier New"/>
          <w:sz w:val="18"/>
          <w:szCs w:val="18"/>
          <w:color w:val="auto"/>
        </w:rPr>
        <w:t>related</w:t>
      </w:r>
    </w:p>
    <w:p>
      <w:pPr>
        <w:jc w:val="center"/>
        <w:ind w:right="9059"/>
        <w:spacing w:after="0"/>
        <w:rPr>
          <w:sz w:val="20"/>
          <w:szCs w:val="20"/>
          <w:color w:val="auto"/>
        </w:rPr>
      </w:pPr>
      <w:r>
        <w:rPr>
          <w:rFonts w:ascii="Courier New" w:cs="Courier New" w:eastAsia="Courier New" w:hAnsi="Courier New"/>
          <w:sz w:val="16"/>
          <w:szCs w:val="16"/>
          <w:color w:val="auto"/>
        </w:rPr>
        <w:t>Prospectus)</w:t>
      </w:r>
    </w:p>
    <w:p>
      <w:pPr>
        <w:spacing w:after="0" w:line="20"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8"/>
          <w:szCs w:val="18"/>
          <w:color w:val="auto"/>
        </w:rPr>
        <w:t>333-44994</w:t>
      </w:r>
    </w:p>
    <w:p>
      <w:pPr>
        <w:jc w:val="center"/>
        <w:ind w:right="9059"/>
        <w:spacing w:after="0" w:line="238" w:lineRule="auto"/>
        <w:rPr>
          <w:sz w:val="20"/>
          <w:szCs w:val="20"/>
          <w:color w:val="auto"/>
        </w:rPr>
      </w:pPr>
      <w:r>
        <w:rPr>
          <w:rFonts w:ascii="Courier New" w:cs="Courier New" w:eastAsia="Courier New" w:hAnsi="Courier New"/>
          <w:sz w:val="18"/>
          <w:szCs w:val="18"/>
          <w:color w:val="auto"/>
        </w:rPr>
        <w:t>Form F-3</w:t>
      </w:r>
    </w:p>
    <w:p>
      <w:pPr>
        <w:jc w:val="center"/>
        <w:ind w:right="9059"/>
        <w:spacing w:after="0"/>
        <w:rPr>
          <w:sz w:val="20"/>
          <w:szCs w:val="20"/>
          <w:color w:val="auto"/>
        </w:rPr>
      </w:pPr>
      <w:r>
        <w:rPr>
          <w:rFonts w:ascii="Courier New" w:cs="Courier New" w:eastAsia="Courier New" w:hAnsi="Courier New"/>
          <w:sz w:val="18"/>
          <w:szCs w:val="18"/>
          <w:color w:val="auto"/>
        </w:rPr>
        <w:t>(and</w:t>
      </w:r>
    </w:p>
    <w:p>
      <w:pPr>
        <w:jc w:val="center"/>
        <w:ind w:right="9059"/>
        <w:spacing w:after="0" w:line="238" w:lineRule="auto"/>
        <w:rPr>
          <w:sz w:val="20"/>
          <w:szCs w:val="20"/>
          <w:color w:val="auto"/>
        </w:rPr>
      </w:pPr>
      <w:r>
        <w:rPr>
          <w:rFonts w:ascii="Courier New" w:cs="Courier New" w:eastAsia="Courier New" w:hAnsi="Courier New"/>
          <w:sz w:val="18"/>
          <w:szCs w:val="18"/>
          <w:color w:val="auto"/>
        </w:rPr>
        <w:t>related</w:t>
      </w:r>
    </w:p>
    <w:p>
      <w:pPr>
        <w:jc w:val="center"/>
        <w:ind w:right="9059"/>
        <w:spacing w:after="0"/>
        <w:rPr>
          <w:sz w:val="20"/>
          <w:szCs w:val="20"/>
          <w:color w:val="auto"/>
        </w:rPr>
      </w:pPr>
      <w:r>
        <w:rPr>
          <w:rFonts w:ascii="Courier New" w:cs="Courier New" w:eastAsia="Courier New" w:hAnsi="Courier New"/>
          <w:sz w:val="16"/>
          <w:szCs w:val="16"/>
          <w:color w:val="auto"/>
        </w:rPr>
        <w:t>Prospectus)</w:t>
      </w:r>
    </w:p>
    <w:p>
      <w:pPr>
        <w:spacing w:after="0" w:line="20"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8"/>
          <w:szCs w:val="18"/>
          <w:color w:val="auto"/>
        </w:rPr>
        <w:t>333-57036</w:t>
      </w:r>
    </w:p>
    <w:p>
      <w:pPr>
        <w:jc w:val="center"/>
        <w:ind w:right="9059"/>
        <w:spacing w:after="0" w:line="238" w:lineRule="auto"/>
        <w:rPr>
          <w:sz w:val="20"/>
          <w:szCs w:val="20"/>
          <w:color w:val="auto"/>
        </w:rPr>
      </w:pPr>
      <w:r>
        <w:rPr>
          <w:rFonts w:ascii="Courier New" w:cs="Courier New" w:eastAsia="Courier New" w:hAnsi="Courier New"/>
          <w:sz w:val="18"/>
          <w:szCs w:val="18"/>
          <w:color w:val="auto"/>
        </w:rPr>
        <w:t>Form F-3</w:t>
      </w:r>
    </w:p>
    <w:p>
      <w:pPr>
        <w:jc w:val="center"/>
        <w:ind w:right="9059"/>
        <w:spacing w:after="0"/>
        <w:rPr>
          <w:sz w:val="20"/>
          <w:szCs w:val="20"/>
          <w:color w:val="auto"/>
        </w:rPr>
      </w:pPr>
      <w:r>
        <w:rPr>
          <w:rFonts w:ascii="Courier New" w:cs="Courier New" w:eastAsia="Courier New" w:hAnsi="Courier New"/>
          <w:sz w:val="18"/>
          <w:szCs w:val="18"/>
          <w:color w:val="auto"/>
        </w:rPr>
        <w:t>(and</w:t>
      </w:r>
    </w:p>
    <w:p>
      <w:pPr>
        <w:jc w:val="center"/>
        <w:ind w:right="9059"/>
        <w:spacing w:after="0" w:line="238" w:lineRule="auto"/>
        <w:rPr>
          <w:sz w:val="20"/>
          <w:szCs w:val="20"/>
          <w:color w:val="auto"/>
        </w:rPr>
      </w:pPr>
      <w:r>
        <w:rPr>
          <w:rFonts w:ascii="Courier New" w:cs="Courier New" w:eastAsia="Courier New" w:hAnsi="Courier New"/>
          <w:sz w:val="18"/>
          <w:szCs w:val="18"/>
          <w:color w:val="auto"/>
        </w:rPr>
        <w:t>related</w:t>
      </w:r>
    </w:p>
    <w:p>
      <w:pPr>
        <w:jc w:val="center"/>
        <w:ind w:right="9059"/>
        <w:spacing w:after="0"/>
        <w:rPr>
          <w:sz w:val="20"/>
          <w:szCs w:val="20"/>
          <w:color w:val="auto"/>
        </w:rPr>
      </w:pPr>
      <w:r>
        <w:rPr>
          <w:rFonts w:ascii="Courier New" w:cs="Courier New" w:eastAsia="Courier New" w:hAnsi="Courier New"/>
          <w:sz w:val="16"/>
          <w:szCs w:val="16"/>
          <w:color w:val="auto"/>
        </w:rPr>
        <w:t>Prospectus)</w:t>
      </w:r>
    </w:p>
    <w:p>
      <w:pPr>
        <w:spacing w:after="0" w:line="20"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8"/>
          <w:szCs w:val="18"/>
          <w:color w:val="auto"/>
        </w:rPr>
        <w:t>333-67572</w:t>
      </w:r>
    </w:p>
    <w:p>
      <w:pPr>
        <w:jc w:val="center"/>
        <w:ind w:right="9059"/>
        <w:spacing w:after="0" w:line="238" w:lineRule="auto"/>
        <w:rPr>
          <w:sz w:val="20"/>
          <w:szCs w:val="20"/>
          <w:color w:val="auto"/>
        </w:rPr>
      </w:pPr>
      <w:r>
        <w:rPr>
          <w:rFonts w:ascii="Courier New" w:cs="Courier New" w:eastAsia="Courier New" w:hAnsi="Courier New"/>
          <w:sz w:val="18"/>
          <w:szCs w:val="18"/>
          <w:color w:val="auto"/>
        </w:rPr>
        <w:t>Form F-3</w:t>
      </w:r>
    </w:p>
    <w:p>
      <w:pPr>
        <w:jc w:val="center"/>
        <w:ind w:right="9059"/>
        <w:spacing w:after="0"/>
        <w:rPr>
          <w:sz w:val="20"/>
          <w:szCs w:val="20"/>
          <w:color w:val="auto"/>
        </w:rPr>
      </w:pPr>
      <w:r>
        <w:rPr>
          <w:rFonts w:ascii="Courier New" w:cs="Courier New" w:eastAsia="Courier New" w:hAnsi="Courier New"/>
          <w:sz w:val="18"/>
          <w:szCs w:val="18"/>
          <w:color w:val="auto"/>
        </w:rPr>
        <w:t>(and</w:t>
      </w:r>
    </w:p>
    <w:p>
      <w:pPr>
        <w:jc w:val="center"/>
        <w:ind w:right="9059"/>
        <w:spacing w:after="0" w:line="238" w:lineRule="auto"/>
        <w:rPr>
          <w:sz w:val="20"/>
          <w:szCs w:val="20"/>
          <w:color w:val="auto"/>
        </w:rPr>
      </w:pPr>
      <w:r>
        <w:rPr>
          <w:rFonts w:ascii="Courier New" w:cs="Courier New" w:eastAsia="Courier New" w:hAnsi="Courier New"/>
          <w:sz w:val="18"/>
          <w:szCs w:val="18"/>
          <w:color w:val="auto"/>
        </w:rPr>
        <w:t>related</w:t>
      </w:r>
    </w:p>
    <w:p>
      <w:pPr>
        <w:jc w:val="center"/>
        <w:ind w:right="9059"/>
        <w:spacing w:after="0"/>
        <w:rPr>
          <w:sz w:val="20"/>
          <w:szCs w:val="20"/>
          <w:color w:val="auto"/>
        </w:rPr>
      </w:pPr>
      <w:r>
        <w:rPr>
          <w:rFonts w:ascii="Courier New" w:cs="Courier New" w:eastAsia="Courier New" w:hAnsi="Courier New"/>
          <w:sz w:val="16"/>
          <w:szCs w:val="16"/>
          <w:color w:val="auto"/>
        </w:rPr>
        <w:t>Prospectus)</w:t>
      </w: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Deloitte &amp; Touche,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Montreal, Quebec</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December 24, 2003</w:t>
      </w:r>
    </w:p>
    <w:sectPr>
      <w:pgSz w:w="11900" w:h="16838" w:orient="portrait"/>
      <w:cols w:equalWidth="0" w:num="1">
        <w:col w:w="10219"/>
      </w:cols>
      <w:pgMar w:left="240" w:top="51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7AE35EB"/>
    <w:multiLevelType w:val="hybridMultilevel"/>
    <w:lvl w:ilvl="0">
      <w:lvlJc w:val="left"/>
      <w:lvlText w:val="["/>
      <w:numFmt w:val="bullet"/>
      <w:start w:val="1"/>
    </w:lvl>
  </w:abstractNum>
  <w:abstractNum w:abstractNumId="1">
    <w:nsid w:val="579BE4F1"/>
    <w:multiLevelType w:val="hybridMultilevel"/>
    <w:lvl w:ilvl="0">
      <w:lvlJc w:val="left"/>
      <w:lvlText w:val="[%1]"/>
      <w:numFmt w:val="upperLetter"/>
      <w:start w:val="24"/>
    </w:lvl>
  </w:abstractNum>
  <w:abstractNum w:abstractNumId="2">
    <w:nsid w:val="310C50B3"/>
    <w:multiLevelType w:val="hybridMultilevel"/>
    <w:lvl w:ilvl="0">
      <w:lvlJc w:val="left"/>
      <w:lvlText w:val="["/>
      <w:numFmt w:val="bullet"/>
      <w:start w:val="1"/>
    </w:lvl>
  </w:abstractNum>
  <w:abstractNum w:abstractNumId="3">
    <w:nsid w:val="5FF87E05"/>
    <w:multiLevelType w:val="hybridMultilevel"/>
    <w:lvl w:ilvl="0">
      <w:lvlJc w:val="left"/>
      <w:lvlText w:val="(%1)"/>
      <w:numFmt w:val="decimal"/>
      <w:start w:val="1"/>
    </w:lvl>
  </w:abstractNum>
  <w:abstractNum w:abstractNumId="4">
    <w:nsid w:val="2F305DEF"/>
    <w:multiLevelType w:val="hybridMultilevel"/>
    <w:lvl w:ilvl="0">
      <w:lvlJc w:val="left"/>
      <w:lvlText w:val="---"/>
      <w:numFmt w:val="bullet"/>
      <w:start w:val="1"/>
    </w:lvl>
  </w:abstractNum>
  <w:abstractNum w:abstractNumId="5">
    <w:nsid w:val="25A70BF7"/>
    <w:multiLevelType w:val="hybridMultilevel"/>
    <w:lvl w:ilvl="0">
      <w:lvlJc w:val="left"/>
      <w:lvlText w:val="-----"/>
      <w:numFmt w:val="bullet"/>
      <w:start w:val="1"/>
    </w:lvl>
    <w:lvl w:ilvl="1">
      <w:lvlJc w:val="left"/>
      <w:lvlText w:val="-----"/>
      <w:numFmt w:val="bullet"/>
      <w:start w:val="1"/>
    </w:lvl>
  </w:abstractNum>
  <w:abstractNum w:abstractNumId="6">
    <w:nsid w:val="1DBABF00"/>
    <w:multiLevelType w:val="hybridMultilevel"/>
    <w:lvl w:ilvl="0">
      <w:lvlJc w:val="left"/>
      <w:lvlText w:val="-----"/>
      <w:numFmt w:val="bullet"/>
      <w:start w:val="1"/>
    </w:lvl>
  </w:abstractNum>
  <w:abstractNum w:abstractNumId="7">
    <w:nsid w:val="4AD084E9"/>
    <w:multiLevelType w:val="hybridMultilevel"/>
    <w:lvl w:ilvl="0">
      <w:lvlJc w:val="left"/>
      <w:lvlText w:val="--"/>
      <w:numFmt w:val="bullet"/>
      <w:start w:val="1"/>
    </w:lvl>
    <w:lvl w:ilvl="1">
      <w:lvlJc w:val="left"/>
      <w:lvlText w:val="--"/>
      <w:numFmt w:val="bullet"/>
      <w:start w:val="1"/>
    </w:lvl>
  </w:abstractNum>
  <w:abstractNum w:abstractNumId="8">
    <w:nsid w:val="1F48EAA1"/>
    <w:multiLevelType w:val="hybridMultilevel"/>
    <w:lvl w:ilvl="0">
      <w:lvlJc w:val="left"/>
      <w:lvlText w:val="--"/>
      <w:numFmt w:val="bullet"/>
      <w:start w:val="1"/>
    </w:lvl>
    <w:lvl w:ilvl="1">
      <w:lvlJc w:val="left"/>
      <w:lvlText w:val="--"/>
      <w:numFmt w:val="bullet"/>
      <w:start w:val="1"/>
    </w:lvl>
  </w:abstractNum>
  <w:abstractNum w:abstractNumId="9">
    <w:nsid w:val="1381823A"/>
    <w:multiLevelType w:val="hybridMultilevel"/>
    <w:lvl w:ilvl="0">
      <w:lvlJc w:val="left"/>
      <w:lvlText w:val="--"/>
      <w:numFmt w:val="bullet"/>
      <w:start w:val="1"/>
    </w:lvl>
  </w:abstractNum>
  <w:abstractNum w:abstractNumId="10">
    <w:nsid w:val="5DB70AE5"/>
    <w:multiLevelType w:val="hybridMultilevel"/>
    <w:lvl w:ilvl="0">
      <w:lvlJc w:val="left"/>
      <w:lvlText w:val="--"/>
      <w:numFmt w:val="bullet"/>
      <w:start w:val="1"/>
    </w:lvl>
    <w:lvl w:ilvl="1">
      <w:lvlJc w:val="left"/>
      <w:lvlText w:val="--"/>
      <w:numFmt w:val="bullet"/>
      <w:start w:val="1"/>
    </w:lvl>
  </w:abstractNum>
  <w:abstractNum w:abstractNumId="11">
    <w:nsid w:val="100F8FCA"/>
    <w:multiLevelType w:val="hybridMultilevel"/>
    <w:lvl w:ilvl="0">
      <w:lvlJc w:val="left"/>
      <w:lvlText w:val="(%1)"/>
      <w:numFmt w:val="decimal"/>
      <w:start w:val="1"/>
    </w:lvl>
  </w:abstractNum>
  <w:abstractNum w:abstractNumId="12">
    <w:nsid w:val="6590700B"/>
    <w:multiLevelType w:val="hybridMultilevel"/>
    <w:lvl w:ilvl="0">
      <w:lvlJc w:val="left"/>
      <w:lvlText w:val="(%1)"/>
      <w:numFmt w:val="decimal"/>
      <w:start w:val="3"/>
    </w:lvl>
  </w:abstractNum>
  <w:abstractNum w:abstractNumId="13">
    <w:nsid w:val="15014ACB"/>
    <w:multiLevelType w:val="hybridMultilevel"/>
    <w:lvl w:ilvl="0">
      <w:lvlJc w:val="left"/>
      <w:lvlText w:val="(%1)"/>
      <w:numFmt w:val="decimal"/>
      <w:start w:val="5"/>
    </w:lvl>
  </w:abstractNum>
  <w:abstractNum w:abstractNumId="14">
    <w:nsid w:val="5F5E7FD0"/>
    <w:multiLevelType w:val="hybridMultilevel"/>
    <w:lvl w:ilvl="0">
      <w:lvlJc w:val="left"/>
      <w:lvlText w:val="-"/>
      <w:numFmt w:val="bullet"/>
      <w:start w:val="1"/>
    </w:lvl>
  </w:abstractNum>
  <w:abstractNum w:abstractNumId="15">
    <w:nsid w:val="98A3148"/>
    <w:multiLevelType w:val="hybridMultilevel"/>
    <w:lvl w:ilvl="0">
      <w:lvlJc w:val="left"/>
      <w:lvlText w:val="-"/>
      <w:numFmt w:val="bullet"/>
      <w:start w:val="1"/>
    </w:lvl>
  </w:abstractNum>
  <w:abstractNum w:abstractNumId="16">
    <w:nsid w:val="799D0247"/>
    <w:multiLevelType w:val="hybridMultilevel"/>
    <w:lvl w:ilvl="0">
      <w:lvlJc w:val="left"/>
      <w:lvlText w:val="-"/>
      <w:numFmt w:val="bullet"/>
      <w:start w:val="1"/>
    </w:lvl>
  </w:abstractNum>
  <w:abstractNum w:abstractNumId="17">
    <w:nsid w:val="6B94764"/>
    <w:multiLevelType w:val="hybridMultilevel"/>
    <w:lvl w:ilvl="0">
      <w:lvlJc w:val="left"/>
      <w:lvlText w:val="-"/>
      <w:numFmt w:val="bullet"/>
      <w:start w:val="1"/>
    </w:lvl>
  </w:abstractNum>
  <w:abstractNum w:abstractNumId="18">
    <w:nsid w:val="42C296BD"/>
    <w:multiLevelType w:val="hybridMultilevel"/>
    <w:lvl w:ilvl="0">
      <w:lvlJc w:val="left"/>
      <w:lvlText w:val="-"/>
      <w:numFmt w:val="bullet"/>
      <w:start w:val="1"/>
    </w:lvl>
  </w:abstractNum>
  <w:abstractNum w:abstractNumId="19">
    <w:nsid w:val="168E121F"/>
    <w:multiLevelType w:val="hybridMultilevel"/>
    <w:lvl w:ilvl="0">
      <w:lvlJc w:val="left"/>
      <w:lvlText w:val="-"/>
      <w:numFmt w:val="bullet"/>
      <w:start w:val="1"/>
    </w:lvl>
  </w:abstractNum>
  <w:abstractNum w:abstractNumId="20">
    <w:nsid w:val="1EBA5D23"/>
    <w:multiLevelType w:val="hybridMultilevel"/>
    <w:lvl w:ilvl="0">
      <w:lvlJc w:val="left"/>
      <w:lvlText w:val="-"/>
      <w:numFmt w:val="bullet"/>
      <w:start w:val="1"/>
    </w:lvl>
  </w:abstractNum>
  <w:abstractNum w:abstractNumId="21">
    <w:nsid w:val="661E3F1E"/>
    <w:multiLevelType w:val="hybridMultilevel"/>
    <w:lvl w:ilvl="0">
      <w:lvlJc w:val="left"/>
      <w:lvlText w:val="-"/>
      <w:numFmt w:val="bullet"/>
      <w:start w:val="1"/>
    </w:lvl>
  </w:abstractNum>
  <w:abstractNum w:abstractNumId="22">
    <w:nsid w:val="5DC79EA8"/>
    <w:multiLevelType w:val="hybridMultilevel"/>
    <w:lvl w:ilvl="0">
      <w:lvlJc w:val="left"/>
      <w:lvlText w:val="-"/>
      <w:numFmt w:val="bullet"/>
      <w:start w:val="1"/>
    </w:lvl>
  </w:abstractNum>
  <w:abstractNum w:abstractNumId="23">
    <w:nsid w:val="540A471C"/>
    <w:multiLevelType w:val="hybridMultilevel"/>
    <w:lvl w:ilvl="0">
      <w:lvlJc w:val="left"/>
      <w:lvlText w:val="-"/>
      <w:numFmt w:val="bullet"/>
      <w:start w:val="1"/>
    </w:lvl>
  </w:abstractNum>
  <w:abstractNum w:abstractNumId="24">
    <w:nsid w:val="7BD3EE7B"/>
    <w:multiLevelType w:val="hybridMultilevel"/>
    <w:lvl w:ilvl="0">
      <w:lvlJc w:val="left"/>
      <w:lvlText w:val="-"/>
      <w:numFmt w:val="bullet"/>
      <w:start w:val="1"/>
    </w:lvl>
  </w:abstractNum>
  <w:abstractNum w:abstractNumId="25">
    <w:nsid w:val="51D9C564"/>
    <w:multiLevelType w:val="hybridMultilevel"/>
    <w:lvl w:ilvl="0">
      <w:lvlJc w:val="left"/>
      <w:lvlText w:val="-"/>
      <w:numFmt w:val="bullet"/>
      <w:start w:val="1"/>
    </w:lvl>
  </w:abstractNum>
  <w:abstractNum w:abstractNumId="26">
    <w:nsid w:val="613EFDC5"/>
    <w:multiLevelType w:val="hybridMultilevel"/>
    <w:lvl w:ilvl="0">
      <w:lvlJc w:val="left"/>
      <w:lvlText w:val="-"/>
      <w:numFmt w:val="bullet"/>
      <w:start w:val="1"/>
    </w:lvl>
  </w:abstractNum>
  <w:abstractNum w:abstractNumId="27">
    <w:nsid w:val="BF72B14"/>
    <w:multiLevelType w:val="hybridMultilevel"/>
    <w:lvl w:ilvl="0">
      <w:lvlJc w:val="left"/>
      <w:lvlText w:val="-"/>
      <w:numFmt w:val="bullet"/>
      <w:start w:val="1"/>
    </w:lvl>
  </w:abstractNum>
  <w:abstractNum w:abstractNumId="28">
    <w:nsid w:val="11447B73"/>
    <w:multiLevelType w:val="hybridMultilevel"/>
    <w:lvl w:ilvl="0">
      <w:lvlJc w:val="left"/>
      <w:lvlText w:val="(**)"/>
      <w:numFmt w:val="bullet"/>
      <w:start w:val="1"/>
    </w:lvl>
  </w:abstractNum>
  <w:abstractNum w:abstractNumId="29">
    <w:nsid w:val="42963E5A"/>
    <w:multiLevelType w:val="hybridMultilevel"/>
    <w:lvl w:ilvl="0">
      <w:lvlJc w:val="left"/>
      <w:lvlText w:val="-"/>
      <w:numFmt w:val="bullet"/>
      <w:start w:val="1"/>
    </w:lvl>
  </w:abstractNum>
  <w:abstractNum w:abstractNumId="30">
    <w:nsid w:val="A0382C5"/>
    <w:multiLevelType w:val="hybridMultilevel"/>
    <w:lvl w:ilvl="0">
      <w:lvlJc w:val="left"/>
      <w:lvlText w:val="-"/>
      <w:numFmt w:val="bullet"/>
      <w:start w:val="1"/>
    </w:lvl>
  </w:abstractNum>
  <w:abstractNum w:abstractNumId="31">
    <w:nsid w:val="8F2B15E"/>
    <w:multiLevelType w:val="hybridMultilevel"/>
    <w:lvl w:ilvl="0">
      <w:lvlJc w:val="left"/>
      <w:lvlText w:val="-"/>
      <w:numFmt w:val="bullet"/>
      <w:start w:val="1"/>
    </w:lvl>
  </w:abstractNum>
  <w:abstractNum w:abstractNumId="32">
    <w:nsid w:val="1A32234B"/>
    <w:multiLevelType w:val="hybridMultilevel"/>
    <w:lvl w:ilvl="0">
      <w:lvlJc w:val="left"/>
      <w:lvlText w:val="$"/>
      <w:numFmt w:val="bullet"/>
      <w:start w:val="1"/>
    </w:lvl>
  </w:abstractNum>
  <w:abstractNum w:abstractNumId="33">
    <w:nsid w:val="3B0FD379"/>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4">
    <w:nsid w:val="68EB2F63"/>
    <w:multiLevelType w:val="hybridMultilevel"/>
    <w:lvl w:ilvl="0">
      <w:lvlJc w:val="left"/>
      <w:lvlText w:val="(*)"/>
      <w:numFmt w:val="bullet"/>
      <w:start w:val="1"/>
    </w:lvl>
  </w:abstractNum>
  <w:abstractNum w:abstractNumId="35">
    <w:nsid w:val="4962813B"/>
    <w:multiLevelType w:val="hybridMultilevel"/>
    <w:lvl w:ilvl="0">
      <w:lvlJc w:val="left"/>
      <w:lvlText w:val="%1."/>
      <w:numFmt w:val="decimal"/>
      <w:start w:val="142"/>
    </w:lvl>
  </w:abstractNum>
  <w:abstractNum w:abstractNumId="36">
    <w:nsid w:val="60B6DF70"/>
    <w:multiLevelType w:val="hybridMultilevel"/>
    <w:lvl w:ilvl="0">
      <w:lvlJc w:val="left"/>
      <w:lvlText w:val="-"/>
      <w:numFmt w:val="bullet"/>
      <w:start w:val="1"/>
    </w:lvl>
  </w:abstractNum>
  <w:abstractNum w:abstractNumId="37">
    <w:nsid w:val="6A5EE64"/>
    <w:multiLevelType w:val="hybridMultilevel"/>
    <w:lvl w:ilvl="0">
      <w:lvlJc w:val="left"/>
      <w:lvlText w:val="-"/>
      <w:numFmt w:val="bullet"/>
      <w:start w:val="1"/>
    </w:lvl>
    <w:lvl w:ilvl="1">
      <w:lvlJc w:val="left"/>
      <w:lvlText w:val="(%2)"/>
      <w:numFmt w:val="decimal"/>
      <w:start w:val="1"/>
    </w:lvl>
  </w:abstractNum>
  <w:abstractNum w:abstractNumId="38">
    <w:nsid w:val="14330624"/>
    <w:multiLevelType w:val="hybridMultilevel"/>
    <w:lvl w:ilvl="0">
      <w:lvlJc w:val="left"/>
      <w:lvlText w:val="(%1)"/>
      <w:numFmt w:val="decimal"/>
      <w:start w:val="1"/>
    </w:lvl>
  </w:abstractNum>
  <w:abstractNum w:abstractNumId="39">
    <w:nsid w:val="7FFFCA11"/>
    <w:multiLevelType w:val="hybridMultilevel"/>
    <w:lvl w:ilvl="0">
      <w:lvlJc w:val="left"/>
      <w:lvlText w:val="-"/>
      <w:numFmt w:val="bullet"/>
      <w:start w:val="1"/>
    </w:lvl>
  </w:abstractNum>
  <w:abstractNum w:abstractNumId="40">
    <w:nsid w:val="1A27709E"/>
    <w:multiLevelType w:val="hybridMultilevel"/>
    <w:lvl w:ilvl="0">
      <w:lvlJc w:val="left"/>
      <w:lvlText w:val="-"/>
      <w:numFmt w:val="bullet"/>
      <w:start w:val="1"/>
    </w:lvl>
  </w:abstractNum>
  <w:abstractNum w:abstractNumId="41">
    <w:nsid w:val="71EA1109"/>
    <w:multiLevelType w:val="hybridMultilevel"/>
    <w:lvl w:ilvl="0">
      <w:lvlJc w:val="left"/>
      <w:lvlText w:val="-"/>
      <w:numFmt w:val="bullet"/>
      <w:start w:val="1"/>
    </w:lvl>
  </w:abstractNum>
  <w:abstractNum w:abstractNumId="42">
    <w:nsid w:val="100F59DC"/>
    <w:multiLevelType w:val="hybridMultilevel"/>
    <w:lvl w:ilvl="0">
      <w:lvlJc w:val="left"/>
      <w:lvlText w:val="-"/>
      <w:numFmt w:val="bullet"/>
      <w:start w:val="1"/>
    </w:lvl>
  </w:abstractNum>
  <w:abstractNum w:abstractNumId="43">
    <w:nsid w:val="7FB7E0AA"/>
    <w:multiLevelType w:val="hybridMultilevel"/>
    <w:lvl w:ilvl="0">
      <w:lvlJc w:val="left"/>
      <w:lvlText w:val="-"/>
      <w:numFmt w:val="bullet"/>
      <w:start w:val="1"/>
    </w:lvl>
  </w:abstractNum>
  <w:abstractNum w:abstractNumId="44">
    <w:nsid w:val="6EB5BD4"/>
    <w:multiLevelType w:val="hybridMultilevel"/>
    <w:lvl w:ilvl="0">
      <w:lvlJc w:val="left"/>
      <w:lvlText w:val="(%1)"/>
      <w:numFmt w:val="lowerRoman"/>
      <w:start w:val="1"/>
    </w:lvl>
  </w:abstractNum>
  <w:abstractNum w:abstractNumId="45">
    <w:nsid w:val="6F6DD9AC"/>
    <w:multiLevelType w:val="hybridMultilevel"/>
    <w:lvl w:ilvl="0">
      <w:lvlJc w:val="left"/>
      <w:lvlText w:val="-"/>
      <w:numFmt w:val="bullet"/>
      <w:start w:val="1"/>
    </w:lvl>
    <w:lvl w:ilvl="1">
      <w:lvlJc w:val="left"/>
      <w:lvlText w:val="----"/>
      <w:numFmt w:val="bullet"/>
      <w:start w:val="1"/>
    </w:lvl>
  </w:abstractNum>
  <w:abstractNum w:abstractNumId="46">
    <w:nsid w:val="94211F2"/>
    <w:multiLevelType w:val="hybridMultilevel"/>
    <w:lvl w:ilvl="0">
      <w:lvlJc w:val="left"/>
      <w:lvlText w:val="(*)"/>
      <w:numFmt w:val="bullet"/>
      <w:start w:val="1"/>
    </w:lvl>
  </w:abstractNum>
  <w:abstractNum w:abstractNumId="47">
    <w:nsid w:val="885E1B"/>
    <w:multiLevelType w:val="hybridMultilevel"/>
    <w:lvl w:ilvl="0">
      <w:lvlJc w:val="left"/>
      <w:lvlText w:val="-----"/>
      <w:numFmt w:val="bullet"/>
      <w:start w:val="1"/>
    </w:lvl>
  </w:abstractNum>
  <w:abstractNum w:abstractNumId="48">
    <w:nsid w:val="76272110"/>
    <w:multiLevelType w:val="hybridMultilevel"/>
    <w:lvl w:ilvl="0">
      <w:lvlJc w:val="left"/>
      <w:lvlText w:val="&amp;"/>
      <w:numFmt w:val="bullet"/>
      <w:start w:val="1"/>
    </w:lvl>
  </w:abstractNum>
  <w:abstractNum w:abstractNumId="49">
    <w:nsid w:val="4C04A8AF"/>
    <w:multiLevelType w:val="hybridMultilevel"/>
    <w:lvl w:ilvl="0">
      <w:lvlJc w:val="left"/>
      <w:lvlText w:val="%1."/>
      <w:numFmt w:val="upperLetter"/>
      <w:start w:val="61"/>
    </w:lvl>
  </w:abstractNum>
  <w:abstractNum w:abstractNumId="50">
    <w:nsid w:val="1716703B"/>
    <w:multiLevelType w:val="hybridMultilevel"/>
    <w:lvl w:ilvl="0">
      <w:lvlJc w:val="left"/>
      <w:lvlText w:val="-"/>
      <w:numFmt w:val="bullet"/>
      <w:start w:val="1"/>
    </w:lvl>
  </w:abstractNum>
  <w:abstractNum w:abstractNumId="51">
    <w:nsid w:val="14E17E33"/>
    <w:multiLevelType w:val="hybridMultilevel"/>
    <w:lvl w:ilvl="0">
      <w:lvlJc w:val="left"/>
      <w:lvlText w:val="-"/>
      <w:numFmt w:val="bullet"/>
      <w:start w:val="1"/>
    </w:lvl>
  </w:abstractNum>
  <w:abstractNum w:abstractNumId="52">
    <w:nsid w:val="3222E7CD"/>
    <w:multiLevelType w:val="hybridMultilevel"/>
    <w:lvl w:ilvl="0">
      <w:lvlJc w:val="left"/>
      <w:lvlText w:val="--"/>
      <w:numFmt w:val="bullet"/>
      <w:start w:val="1"/>
    </w:lvl>
  </w:abstractNum>
  <w:abstractNum w:abstractNumId="53">
    <w:nsid w:val="74DE0EE3"/>
    <w:multiLevelType w:val="hybridMultilevel"/>
    <w:lvl w:ilvl="0">
      <w:lvlJc w:val="left"/>
      <w:lvlText w:val="--"/>
      <w:numFmt w:val="bullet"/>
      <w:start w:val="1"/>
    </w:lvl>
  </w:abstractNum>
  <w:abstractNum w:abstractNumId="54">
    <w:nsid w:val="68EBC550"/>
    <w:multiLevelType w:val="hybridMultilevel"/>
    <w:lvl w:ilvl="0">
      <w:lvlJc w:val="left"/>
      <w:lvlText w:val="-"/>
      <w:numFmt w:val="bullet"/>
      <w:start w:val="1"/>
    </w:lvl>
  </w:abstractNum>
  <w:abstractNum w:abstractNumId="55">
    <w:nsid w:val="2DF6D648"/>
    <w:multiLevelType w:val="hybridMultilevel"/>
    <w:lvl w:ilvl="0">
      <w:lvlJc w:val="left"/>
      <w:lvlText w:val="-"/>
      <w:numFmt w:val="bullet"/>
      <w:start w:val="1"/>
    </w:lvl>
  </w:abstractNum>
  <w:abstractNum w:abstractNumId="56">
    <w:nsid w:val="46B7D447"/>
    <w:multiLevelType w:val="hybridMultilevel"/>
    <w:lvl w:ilvl="0">
      <w:lvlJc w:val="left"/>
      <w:lvlText w:val="-"/>
      <w:numFmt w:val="bullet"/>
      <w:start w:val="1"/>
    </w:lvl>
  </w:abstractNum>
  <w:abstractNum w:abstractNumId="57">
    <w:nsid w:val="4A2AC315"/>
    <w:multiLevelType w:val="hybridMultilevel"/>
    <w:lvl w:ilvl="0">
      <w:lvlJc w:val="left"/>
      <w:lvlText w:val="-"/>
      <w:numFmt w:val="bullet"/>
      <w:start w:val="1"/>
    </w:lvl>
  </w:abstractNum>
  <w:abstractNum w:abstractNumId="58">
    <w:nsid w:val="39EE015C"/>
    <w:multiLevelType w:val="hybridMultilevel"/>
    <w:lvl w:ilvl="0">
      <w:lvlJc w:val="left"/>
      <w:lvlText w:val="--"/>
      <w:numFmt w:val="bullet"/>
      <w:start w:val="1"/>
    </w:lvl>
  </w:abstractNum>
  <w:abstractNum w:abstractNumId="59">
    <w:nsid w:val="57FC4FBB"/>
    <w:multiLevelType w:val="hybridMultilevel"/>
    <w:lvl w:ilvl="0">
      <w:lvlJc w:val="left"/>
      <w:lvlText w:val="--"/>
      <w:numFmt w:val="bullet"/>
      <w:start w:val="1"/>
    </w:lvl>
  </w:abstractNum>
  <w:abstractNum w:abstractNumId="60">
    <w:nsid w:val="CC1016F"/>
    <w:multiLevelType w:val="hybridMultilevel"/>
    <w:lvl w:ilvl="0">
      <w:lvlJc w:val="left"/>
      <w:lvlText w:val="-"/>
      <w:numFmt w:val="bullet"/>
      <w:start w:val="1"/>
    </w:lvl>
  </w:abstractNum>
  <w:abstractNum w:abstractNumId="61">
    <w:nsid w:val="43F18422"/>
    <w:multiLevelType w:val="hybridMultilevel"/>
    <w:lvl w:ilvl="0">
      <w:lvlJc w:val="left"/>
      <w:lvlText w:val="----"/>
      <w:numFmt w:val="bullet"/>
      <w:start w:val="1"/>
    </w:lvl>
  </w:abstractNum>
  <w:abstractNum w:abstractNumId="62">
    <w:nsid w:val="60EF0119"/>
    <w:multiLevelType w:val="hybridMultilevel"/>
    <w:lvl w:ilvl="0">
      <w:lvlJc w:val="left"/>
      <w:lvlText w:val="-"/>
      <w:numFmt w:val="bullet"/>
      <w:start w:val="1"/>
    </w:lvl>
  </w:abstractNum>
  <w:abstractNum w:abstractNumId="63">
    <w:nsid w:val="26F324BA"/>
    <w:multiLevelType w:val="hybridMultilevel"/>
    <w:lvl w:ilvl="0">
      <w:lvlJc w:val="left"/>
      <w:lvlText w:val="-"/>
      <w:numFmt w:val="bullet"/>
      <w:start w:val="1"/>
    </w:lvl>
  </w:abstractNum>
  <w:abstractNum w:abstractNumId="64">
    <w:nsid w:val="7F01579B"/>
    <w:multiLevelType w:val="hybridMultilevel"/>
    <w:lvl w:ilvl="0">
      <w:lvlJc w:val="left"/>
      <w:lvlText w:val="--"/>
      <w:numFmt w:val="bullet"/>
      <w:start w:val="1"/>
    </w:lvl>
    <w:lvl w:ilvl="1">
      <w:lvlJc w:val="left"/>
      <w:lvlText w:val="--"/>
      <w:numFmt w:val="bullet"/>
      <w:start w:val="1"/>
    </w:lvl>
  </w:abstractNum>
  <w:abstractNum w:abstractNumId="65">
    <w:nsid w:val="49DA307D"/>
    <w:multiLevelType w:val="hybridMultilevel"/>
    <w:lvl w:ilvl="0">
      <w:lvlJc w:val="left"/>
      <w:lvlText w:val="-"/>
      <w:numFmt w:val="bullet"/>
      <w:start w:val="1"/>
    </w:lvl>
  </w:abstractNum>
  <w:abstractNum w:abstractNumId="66">
    <w:nsid w:val="7055A5F5"/>
    <w:multiLevelType w:val="hybridMultilevel"/>
    <w:lvl w:ilvl="0">
      <w:lvlJc w:val="left"/>
      <w:lvlText w:val="--"/>
      <w:numFmt w:val="bullet"/>
      <w:start w:val="1"/>
    </w:lvl>
    <w:lvl w:ilvl="1">
      <w:lvlJc w:val="left"/>
      <w:lvlText w:val="---"/>
      <w:numFmt w:val="bullet"/>
      <w:start w:val="1"/>
    </w:lvl>
  </w:abstractNum>
  <w:abstractNum w:abstractNumId="67">
    <w:nsid w:val="5FB8370B"/>
    <w:multiLevelType w:val="hybridMultilevel"/>
    <w:lvl w:ilvl="0">
      <w:lvlJc w:val="left"/>
      <w:lvlText w:val="-"/>
      <w:numFmt w:val="bullet"/>
      <w:start w:val="1"/>
    </w:lvl>
  </w:abstractNum>
  <w:abstractNum w:abstractNumId="68">
    <w:nsid w:val="50801EE1"/>
    <w:multiLevelType w:val="hybridMultilevel"/>
    <w:lvl w:ilvl="0">
      <w:lvlJc w:val="left"/>
      <w:lvlText w:val="(%1)"/>
      <w:numFmt w:val="decimal"/>
      <w:start w:val="1"/>
    </w:lvl>
  </w:abstractNum>
  <w:abstractNum w:abstractNumId="69">
    <w:nsid w:val="488AC1A"/>
    <w:multiLevelType w:val="hybridMultilevel"/>
    <w:lvl w:ilvl="0">
      <w:lvlJc w:val="left"/>
      <w:lvlText w:val="-----"/>
      <w:numFmt w:val="bullet"/>
      <w:start w:val="1"/>
    </w:lvl>
  </w:abstractNum>
  <w:abstractNum w:abstractNumId="70">
    <w:nsid w:val="5FB8011C"/>
    <w:multiLevelType w:val="hybridMultilevel"/>
    <w:lvl w:ilvl="0">
      <w:lvlJc w:val="left"/>
      <w:lvlText w:val="(%1)"/>
      <w:numFmt w:val="decimal"/>
      <w:start w:val="1"/>
    </w:lvl>
  </w:abstractNum>
  <w:abstractNum w:abstractNumId="71">
    <w:nsid w:val="6AA78F7F"/>
    <w:multiLevelType w:val="hybridMultilevel"/>
    <w:lvl w:ilvl="0">
      <w:lvlJc w:val="left"/>
      <w:lvlText w:val="----"/>
      <w:numFmt w:val="bullet"/>
      <w:start w:val="1"/>
    </w:lvl>
  </w:abstractNum>
  <w:abstractNum w:abstractNumId="72">
    <w:nsid w:val="7672BD23"/>
    <w:multiLevelType w:val="hybridMultilevel"/>
    <w:lvl w:ilvl="0">
      <w:lvlJc w:val="left"/>
      <w:lvlText w:val="(%1)"/>
      <w:numFmt w:val="decimal"/>
      <w:start w:val="1"/>
    </w:lvl>
  </w:abstractNum>
  <w:abstractNum w:abstractNumId="73">
    <w:nsid w:val="6FC75AF8"/>
    <w:multiLevelType w:val="hybridMultilevel"/>
    <w:lvl w:ilvl="0">
      <w:lvlJc w:val="left"/>
      <w:lvlText w:val="-"/>
      <w:numFmt w:val="bullet"/>
      <w:start w:val="1"/>
    </w:lvl>
  </w:abstractNum>
  <w:abstractNum w:abstractNumId="74">
    <w:nsid w:val="6A5F7029"/>
    <w:multiLevelType w:val="hybridMultilevel"/>
    <w:lvl w:ilvl="0">
      <w:lvlJc w:val="left"/>
      <w:lvlText w:val="(%1)"/>
      <w:numFmt w:val="decimal"/>
      <w:start w:val="2"/>
    </w:lvl>
  </w:abstractNum>
  <w:abstractNum w:abstractNumId="75">
    <w:nsid w:val="7D5E18F8"/>
    <w:multiLevelType w:val="hybridMultilevel"/>
    <w:lvl w:ilvl="0">
      <w:lvlJc w:val="left"/>
      <w:lvlText w:val="(%1)"/>
      <w:numFmt w:val="decimal"/>
      <w:start w:val="4"/>
    </w:lvl>
  </w:abstractNum>
  <w:abstractNum w:abstractNumId="76">
    <w:nsid w:val="5F3534A4"/>
    <w:multiLevelType w:val="hybridMultilevel"/>
    <w:lvl w:ilvl="0">
      <w:lvlJc w:val="left"/>
      <w:lvlText w:val="-"/>
      <w:numFmt w:val="bullet"/>
      <w:start w:val="1"/>
    </w:lvl>
  </w:abstractNum>
  <w:abstractNum w:abstractNumId="77">
    <w:nsid w:val="73A1821B"/>
    <w:multiLevelType w:val="hybridMultilevel"/>
    <w:lvl w:ilvl="0">
      <w:lvlJc w:val="left"/>
      <w:lvlText w:val="--"/>
      <w:numFmt w:val="bullet"/>
      <w:start w:val="1"/>
    </w:lvl>
  </w:abstractNum>
  <w:abstractNum w:abstractNumId="78">
    <w:nsid w:val="7DE67713"/>
    <w:multiLevelType w:val="hybridMultilevel"/>
    <w:lvl w:ilvl="0">
      <w:lvlJc w:val="left"/>
      <w:lvlText w:val="-"/>
      <w:numFmt w:val="bullet"/>
      <w:start w:val="1"/>
    </w:lvl>
    <w:lvl w:ilvl="1">
      <w:lvlJc w:val="left"/>
      <w:lvlText w:val="(%2)"/>
      <w:numFmt w:val="decimal"/>
      <w:start w:val="844"/>
    </w:lvl>
  </w:abstractNum>
  <w:abstractNum w:abstractNumId="79">
    <w:nsid w:val="555C55B5"/>
    <w:multiLevelType w:val="hybridMultilevel"/>
    <w:lvl w:ilvl="0">
      <w:lvlJc w:val="left"/>
      <w:lvlText w:val="-"/>
      <w:numFmt w:val="bullet"/>
      <w:start w:val="1"/>
    </w:lvl>
  </w:abstractNum>
  <w:abstractNum w:abstractNumId="80">
    <w:nsid w:val="3FA62ACA"/>
    <w:multiLevelType w:val="hybridMultilevel"/>
    <w:lvl w:ilvl="0">
      <w:lvlJc w:val="left"/>
      <w:lvlText w:val="-"/>
      <w:numFmt w:val="bullet"/>
      <w:start w:val="1"/>
    </w:lvl>
  </w:abstractNum>
  <w:abstractNum w:abstractNumId="81">
    <w:nsid w:val="14FCE74E"/>
    <w:multiLevelType w:val="hybridMultilevel"/>
    <w:lvl w:ilvl="0">
      <w:lvlJc w:val="left"/>
      <w:lvlText w:val="-"/>
      <w:numFmt w:val="bullet"/>
      <w:start w:val="1"/>
    </w:lvl>
  </w:abstractNum>
  <w:abstractNum w:abstractNumId="82">
    <w:nsid w:val="6A3DD3E8"/>
    <w:multiLevelType w:val="hybridMultilevel"/>
    <w:lvl w:ilvl="0">
      <w:lvlJc w:val="left"/>
      <w:lvlText w:val="--"/>
      <w:numFmt w:val="bullet"/>
      <w:start w:val="1"/>
    </w:lvl>
  </w:abstractNum>
  <w:abstractNum w:abstractNumId="83">
    <w:nsid w:val="71C91298"/>
    <w:multiLevelType w:val="hybridMultilevel"/>
    <w:lvl w:ilvl="0">
      <w:lvlJc w:val="left"/>
      <w:lvlText w:val="(%1)"/>
      <w:numFmt w:val="decimal"/>
      <w:start w:val="1"/>
    </w:lvl>
  </w:abstractNum>
  <w:abstractNum w:abstractNumId="84">
    <w:nsid w:val="9DAF632"/>
    <w:multiLevelType w:val="hybridMultilevel"/>
    <w:lvl w:ilvl="0">
      <w:lvlJc w:val="left"/>
      <w:lvlText w:val="(%1)"/>
      <w:numFmt w:val="decimal"/>
      <w:start w:val="1"/>
    </w:lvl>
  </w:abstractNum>
  <w:abstractNum w:abstractNumId="85">
    <w:nsid w:val="53299938"/>
    <w:multiLevelType w:val="hybridMultilevel"/>
    <w:lvl w:ilvl="0">
      <w:lvlJc w:val="left"/>
      <w:lvlText w:val="(%1)"/>
      <w:numFmt w:val="decimal"/>
      <w:start w:val="1"/>
    </w:lvl>
  </w:abstractNum>
  <w:abstractNum w:abstractNumId="86">
    <w:nsid w:val="1FBFE8E0"/>
    <w:multiLevelType w:val="hybridMultilevel"/>
    <w:lvl w:ilvl="0">
      <w:lvlJc w:val="left"/>
      <w:lvlText w:val="(%1)"/>
      <w:numFmt w:val="decimal"/>
      <w:start w:val="1"/>
    </w:lvl>
  </w:abstractNum>
  <w:abstractNum w:abstractNumId="87">
    <w:nsid w:val="5092CA79"/>
    <w:multiLevelType w:val="hybridMultilevel"/>
    <w:lvl w:ilvl="0">
      <w:lvlJc w:val="left"/>
      <w:lvlText w:val="(%1)"/>
      <w:numFmt w:val="decimal"/>
      <w:start w:val="1"/>
    </w:lvl>
  </w:abstractNum>
  <w:abstractNum w:abstractNumId="88">
    <w:nsid w:val="1D545C4D"/>
    <w:multiLevelType w:val="hybridMultilevel"/>
    <w:lvl w:ilvl="0">
      <w:lvlJc w:val="left"/>
      <w:lvlText w:val="(%1)"/>
      <w:numFmt w:val="decimal"/>
      <w:start w:val="1"/>
    </w:lvl>
  </w:abstractNum>
  <w:abstractNum w:abstractNumId="89">
    <w:nsid w:val="59ADEA3D"/>
    <w:multiLevelType w:val="hybridMultilevel"/>
    <w:lvl w:ilvl="0">
      <w:lvlJc w:val="left"/>
      <w:lvlText w:val="---"/>
      <w:numFmt w:val="bullet"/>
      <w:start w:val="1"/>
    </w:lvl>
  </w:abstractNum>
  <w:abstractNum w:abstractNumId="90">
    <w:nsid w:val="288F1A34"/>
    <w:multiLevelType w:val="hybridMultilevel"/>
    <w:lvl w:ilvl="0">
      <w:lvlJc w:val="left"/>
      <w:lvlText w:val="-"/>
      <w:numFmt w:val="bullet"/>
      <w:start w:val="1"/>
    </w:lvl>
  </w:abstractNum>
  <w:abstractNum w:abstractNumId="91">
    <w:nsid w:val="2A155DBC"/>
    <w:multiLevelType w:val="hybridMultilevel"/>
    <w:lvl w:ilvl="0">
      <w:lvlJc w:val="left"/>
      <w:lvlText w:val="%1."/>
      <w:numFmt w:val="decimal"/>
      <w:start w:val="1"/>
    </w:lvl>
  </w:abstractNum>
  <w:abstractNum w:abstractNumId="92">
    <w:nsid w:val="1D9F6E5F"/>
    <w:multiLevelType w:val="hybridMultilevel"/>
    <w:lvl w:ilvl="0">
      <w:lvlJc w:val="left"/>
      <w:lvlText w:val="%1."/>
      <w:numFmt w:val="decimal"/>
      <w:start w:val="2"/>
    </w:lvl>
  </w:abstractNum>
  <w:abstractNum w:abstractNumId="93">
    <w:nsid w:val="97E1B4E"/>
    <w:multiLevelType w:val="hybridMultilevel"/>
    <w:lvl w:ilvl="0">
      <w:lvlJc w:val="left"/>
      <w:lvlText w:val="%1."/>
      <w:numFmt w:val="decimal"/>
      <w:start w:val="3"/>
    </w:lvl>
  </w:abstractNum>
  <w:abstractNum w:abstractNumId="94">
    <w:nsid w:val="51088277"/>
    <w:multiLevelType w:val="hybridMultilevel"/>
    <w:lvl w:ilvl="0">
      <w:lvlJc w:val="left"/>
      <w:lvlText w:val="%1."/>
      <w:numFmt w:val="decimal"/>
      <w:start w:val="4"/>
    </w:lvl>
  </w:abstractNum>
  <w:abstractNum w:abstractNumId="95">
    <w:nsid w:val="1CA0C5FA"/>
    <w:multiLevelType w:val="hybridMultilevel"/>
    <w:lvl w:ilvl="0">
      <w:lvlJc w:val="left"/>
      <w:lvlText w:val="-"/>
      <w:numFmt w:val="bullet"/>
      <w:start w:val="1"/>
    </w:lvl>
  </w:abstractNum>
  <w:abstractNum w:abstractNumId="96">
    <w:nsid w:val="53584BCB"/>
    <w:multiLevelType w:val="hybridMultilevel"/>
    <w:lvl w:ilvl="0">
      <w:lvlJc w:val="left"/>
      <w:lvlText w:val="---"/>
      <w:numFmt w:val="bullet"/>
      <w:start w:val="1"/>
    </w:lvl>
  </w:abstractNum>
  <w:abstractNum w:abstractNumId="97">
    <w:nsid w:val="415E286C"/>
    <w:multiLevelType w:val="hybridMultilevel"/>
    <w:lvl w:ilvl="0">
      <w:lvlJc w:val="left"/>
      <w:lvlText w:val="%1."/>
      <w:numFmt w:val="decimal"/>
      <w:start w:val="5"/>
    </w:lvl>
  </w:abstractNum>
  <w:abstractNum w:abstractNumId="98">
    <w:nsid w:val="7C58FD05"/>
    <w:multiLevelType w:val="hybridMultilevel"/>
    <w:lvl w:ilvl="0">
      <w:lvlJc w:val="left"/>
      <w:lvlText w:val="---"/>
      <w:numFmt w:val="bullet"/>
      <w:start w:val="1"/>
    </w:lvl>
  </w:abstractNum>
  <w:abstractNum w:abstractNumId="99">
    <w:nsid w:val="23D86AAC"/>
    <w:multiLevelType w:val="hybridMultilevel"/>
    <w:lvl w:ilvl="0">
      <w:lvlJc w:val="left"/>
      <w:lvlText w:val="----"/>
      <w:numFmt w:val="bullet"/>
      <w:start w:val="1"/>
    </w:lvl>
  </w:abstractNum>
  <w:abstractNum w:abstractNumId="100">
    <w:nsid w:val="45E6D486"/>
    <w:multiLevelType w:val="hybridMultilevel"/>
    <w:lvl w:ilvl="0">
      <w:lvlJc w:val="left"/>
      <w:lvlText w:val="%1."/>
      <w:numFmt w:val="decimal"/>
      <w:start w:val="6"/>
    </w:lvl>
  </w:abstractNum>
  <w:abstractNum w:abstractNumId="101">
    <w:nsid w:val="5C10FE21"/>
    <w:multiLevelType w:val="hybridMultilevel"/>
    <w:lvl w:ilvl="0">
      <w:lvlJc w:val="left"/>
      <w:lvlText w:val="%1."/>
      <w:numFmt w:val="decimal"/>
      <w:start w:val="7"/>
    </w:lvl>
  </w:abstractNum>
  <w:abstractNum w:abstractNumId="102">
    <w:nsid w:val="E7FFA2B"/>
    <w:multiLevelType w:val="hybridMultilevel"/>
    <w:lvl w:ilvl="0">
      <w:lvlJc w:val="left"/>
      <w:lvlText w:val="%1."/>
      <w:numFmt w:val="decimal"/>
      <w:start w:val="8"/>
    </w:lvl>
  </w:abstractNum>
  <w:abstractNum w:abstractNumId="103">
    <w:nsid w:val="3C5991AA"/>
    <w:multiLevelType w:val="hybridMultilevel"/>
    <w:lvl w:ilvl="0">
      <w:lvlJc w:val="left"/>
      <w:lvlText w:val="%1."/>
      <w:numFmt w:val="decimal"/>
      <w:start w:val="8"/>
    </w:lvl>
    <w:lvl w:ilvl="1">
      <w:lvlJc w:val="left"/>
      <w:lvlText w:val="-----"/>
      <w:numFmt w:val="bullet"/>
      <w:start w:val="1"/>
    </w:lvl>
  </w:abstractNum>
  <w:abstractNum w:abstractNumId="104">
    <w:nsid w:val="4BD8591A"/>
    <w:multiLevelType w:val="hybridMultilevel"/>
    <w:lvl w:ilvl="0">
      <w:lvlJc w:val="left"/>
      <w:lvlText w:val="%1."/>
      <w:numFmt w:val="decimal"/>
      <w:start w:val="10"/>
    </w:lvl>
  </w:abstractNum>
  <w:abstractNum w:abstractNumId="105">
    <w:nsid w:val="78DF6A55"/>
    <w:multiLevelType w:val="hybridMultilevel"/>
    <w:lvl w:ilvl="0">
      <w:lvlJc w:val="left"/>
      <w:lvlText w:val="%1."/>
      <w:numFmt w:val="decimal"/>
      <w:start w:val="11"/>
    </w:lvl>
  </w:abstractNum>
  <w:abstractNum w:abstractNumId="106">
    <w:nsid w:val="39B7AAA2"/>
    <w:multiLevelType w:val="hybridMultilevel"/>
    <w:lvl w:ilvl="0">
      <w:lvlJc w:val="left"/>
      <w:lvlText w:val="%1."/>
      <w:numFmt w:val="decimal"/>
      <w:start w:val="12"/>
    </w:lvl>
  </w:abstractNum>
  <w:abstractNum w:abstractNumId="107">
    <w:nsid w:val="2B0D8DBE"/>
    <w:multiLevelType w:val="hybridMultilevel"/>
    <w:lvl w:ilvl="0">
      <w:lvlJc w:val="left"/>
      <w:lvlText w:val="--"/>
      <w:numFmt w:val="bullet"/>
      <w:start w:val="1"/>
    </w:lvl>
  </w:abstractNum>
  <w:abstractNum w:abstractNumId="108">
    <w:nsid w:val="6C80EC70"/>
    <w:multiLevelType w:val="hybridMultilevel"/>
    <w:lvl w:ilvl="0">
      <w:lvlJc w:val="left"/>
      <w:lvlText w:val="--"/>
      <w:numFmt w:val="bullet"/>
      <w:start w:val="1"/>
    </w:lvl>
  </w:abstractNum>
  <w:abstractNum w:abstractNumId="109">
    <w:nsid w:val="379E21B5"/>
    <w:multiLevelType w:val="hybridMultilevel"/>
    <w:lvl w:ilvl="0">
      <w:lvlJc w:val="left"/>
      <w:lvlText w:val="---"/>
      <w:numFmt w:val="bullet"/>
      <w:start w:val="1"/>
    </w:lvl>
  </w:abstractNum>
  <w:abstractNum w:abstractNumId="110">
    <w:nsid w:val="69E373"/>
    <w:multiLevelType w:val="hybridMultilevel"/>
    <w:lvl w:ilvl="0">
      <w:lvlJc w:val="left"/>
      <w:lvlText w:val="-"/>
      <w:numFmt w:val="bullet"/>
      <w:start w:val="1"/>
    </w:lvl>
  </w:abstractNum>
  <w:abstractNum w:abstractNumId="111">
    <w:nsid w:val="2C27173B"/>
    <w:multiLevelType w:val="hybridMultilevel"/>
    <w:lvl w:ilvl="0">
      <w:lvlJc w:val="left"/>
      <w:lvlText w:val="---"/>
      <w:numFmt w:val="bullet"/>
      <w:start w:val="1"/>
    </w:lvl>
  </w:abstractNum>
  <w:abstractNum w:abstractNumId="112">
    <w:nsid w:val="4C9B0904"/>
    <w:multiLevelType w:val="hybridMultilevel"/>
    <w:lvl w:ilvl="0">
      <w:lvlJc w:val="left"/>
      <w:lvlText w:val="%1."/>
      <w:numFmt w:val="decimal"/>
      <w:start w:val="14"/>
    </w:lvl>
  </w:abstractNum>
  <w:abstractNum w:abstractNumId="113">
    <w:nsid w:val="6AA7B75C"/>
    <w:multiLevelType w:val="hybridMultilevel"/>
    <w:lvl w:ilvl="0">
      <w:lvlJc w:val="left"/>
      <w:lvlText w:val="%1."/>
      <w:numFmt w:val="decimal"/>
      <w:start w:val="15"/>
    </w:lvl>
  </w:abstractNum>
  <w:abstractNum w:abstractNumId="114">
    <w:nsid w:val="1DF029D3"/>
    <w:multiLevelType w:val="hybridMultilevel"/>
    <w:lvl w:ilvl="0">
      <w:lvlJc w:val="left"/>
      <w:lvlText w:val="%1."/>
      <w:numFmt w:val="decimal"/>
      <w:start w:val="16"/>
    </w:lvl>
  </w:abstractNum>
  <w:abstractNum w:abstractNumId="115">
    <w:nsid w:val="5675FF36"/>
    <w:multiLevelType w:val="hybridMultilevel"/>
    <w:lvl w:ilvl="0">
      <w:lvlJc w:val="left"/>
      <w:lvlText w:val="%1."/>
      <w:numFmt w:val="decimal"/>
      <w:start w:val="17"/>
    </w:lvl>
  </w:abstractNum>
  <w:abstractNum w:abstractNumId="116">
    <w:nsid w:val="3DD15094"/>
    <w:multiLevelType w:val="hybridMultilevel"/>
    <w:lvl w:ilvl="0">
      <w:lvlJc w:val="left"/>
      <w:lvlText w:val="$"/>
      <w:numFmt w:val="bullet"/>
      <w:start w:val="1"/>
    </w:lvl>
  </w:abstractNum>
  <w:abstractNum w:abstractNumId="117">
    <w:nsid w:val="3DB012B3"/>
    <w:multiLevelType w:val="hybridMultilevel"/>
    <w:lvl w:ilvl="0">
      <w:lvlJc w:val="left"/>
      <w:lvlText w:val="%1."/>
      <w:numFmt w:val="decimal"/>
      <w:start w:val="1"/>
    </w:lvl>
    <w:lvl w:ilvl="1">
      <w:lvlJc w:val="left"/>
      <w:lvlText w:val="(%2)"/>
      <w:numFmt w:val="lowerLetter"/>
      <w:start w:val="1"/>
    </w:lvl>
  </w:abstractNum>
  <w:abstractNum w:abstractNumId="118">
    <w:nsid w:val="2708C9AF"/>
    <w:multiLevelType w:val="hybridMultilevel"/>
    <w:lvl w:ilvl="0">
      <w:lvlJc w:val="left"/>
      <w:lvlText w:val="-"/>
      <w:numFmt w:val="bullet"/>
      <w:start w:val="1"/>
    </w:lvl>
  </w:abstractNum>
  <w:abstractNum w:abstractNumId="119">
    <w:nsid w:val="5B25ACE2"/>
    <w:multiLevelType w:val="hybridMultilevel"/>
    <w:lvl w:ilvl="0">
      <w:lvlJc w:val="left"/>
      <w:lvlText w:val="%1."/>
      <w:numFmt w:val="decimal"/>
      <w:start w:val="1"/>
    </w:lvl>
    <w:lvl w:ilvl="1">
      <w:lvlJc w:val="left"/>
      <w:lvlText w:val="(%2)"/>
      <w:numFmt w:val="lowerLetter"/>
      <w:start w:val="1"/>
    </w:lvl>
  </w:abstractNum>
  <w:abstractNum w:abstractNumId="120">
    <w:nsid w:val="175DFCF0"/>
    <w:multiLevelType w:val="hybridMultilevel"/>
    <w:lvl w:ilvl="0">
      <w:lvlJc w:val="left"/>
      <w:lvlText w:val="-"/>
      <w:numFmt w:val="bullet"/>
      <w:start w:val="1"/>
    </w:lvl>
  </w:abstractNum>
  <w:abstractNum w:abstractNumId="121">
    <w:nsid w:val="4F97E3E4"/>
    <w:multiLevelType w:val="hybridMultilevel"/>
    <w:lvl w:ilvl="0">
      <w:lvlJc w:val="left"/>
      <w:lvlText w:val="(%1)"/>
      <w:numFmt w:val="decimal"/>
      <w:start w:val="1"/>
    </w:lvl>
  </w:abstractNum>
  <w:abstractNum w:abstractNumId="122">
    <w:nsid w:val="53B0A9E"/>
    <w:multiLevelType w:val="hybridMultilevel"/>
    <w:lvl w:ilvl="0">
      <w:lvlJc w:val="left"/>
      <w:lvlText w:val="-"/>
      <w:numFmt w:val="bullet"/>
      <w:start w:val="1"/>
    </w:lvl>
  </w:abstractNum>
  <w:abstractNum w:abstractNumId="123">
    <w:nsid w:val="34FD6B4F"/>
    <w:multiLevelType w:val="hybridMultilevel"/>
    <w:lvl w:ilvl="0">
      <w:lvlJc w:val="left"/>
      <w:lvlText w:val="(%1)"/>
      <w:numFmt w:val="decimal"/>
      <w:start w:val="1"/>
    </w:lvl>
  </w:abstractNum>
  <w:abstractNum w:abstractNumId="124">
    <w:nsid w:val="5915FF3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2019-12-14T21:20:14Z</dcterms:created>
  <dcterms:modified xsi:type="dcterms:W3CDTF">2019-12-14T21:20:14Z</dcterms:modified>
</cp:coreProperties>
</file>