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May,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4, 2016, Amdocs Limited (“Amdocs”) issued a press release announcing financial results for the quarter ended March 31, 2016. A copy of the press release is furnished as Exhibit 99.1 to this Report of Foreign Private Issuer on Form 6-K.</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40"/>
          </w:cols>
          <w:pgMar w:left="240" w:top="27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Amdocs Limited Press Release dated May 4, 2016.</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172085</wp:posOffset>
            </wp:positionV>
            <wp:extent cx="608901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$926M, at the Midpoint of Guidance on a Constant Currency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FY16 Non-GAAP Diluted EPS Growth Outlook of 3.5%-7.5% YoY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40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revenue of $926 million, within the $905-$945 million guidance range, including foreign currency movements that negatively affected revenue by approximately $1 million relative to the first quarter of fiscal 2016. Revenue was at the midpoint of Amdocs’ guidance, excluding foreign currency movements</w:t>
      </w:r>
    </w:p>
    <w:p>
      <w:pPr>
        <w:spacing w:after="0" w:line="86" w:lineRule="exact"/>
        <w:rPr>
          <w:rFonts w:ascii="Arial" w:cs="Arial" w:eastAsia="Arial" w:hAnsi="Arial"/>
          <w:sz w:val="18"/>
          <w:szCs w:val="18"/>
          <w:color w:val="auto"/>
        </w:rPr>
      </w:pPr>
    </w:p>
    <w:p>
      <w:pPr>
        <w:ind w:left="900" w:right="320" w:hanging="325"/>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diluted non-GAAP EPS of $0.92, above the $0.84-$0.90 guidance range (non-GAAP EPS excludes amortization of purchased intangible assets and other acquisition-related costs, and equity-based compensation expense, net of related tax effects). Foreign exchange gains, included under the interest and other income (expense), net line item, coupled with a lower non-GAAP effective tax rate positively impacted diluted non-GAAP EPS. Adjusting for these items, diluted non-GAAP EPS was within the guidance range for the second quarter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$0.71 for the second fiscal quarter, at the high-end of the $0.63-$0.71 guidance range</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non-GAAP operating income of $158 million; non-GAAP operating margin of 17.1%; GAAP operating income of $120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$91 million for the second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$101 million of ordinary shares during the second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$3.10 billion at the end of the second fiscal quarter, up $10 million from the end of the first quarter of fiscal 2016</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$0.195 per share quarterly cash dividend to be paid on July 15, 2016</w:t>
      </w:r>
    </w:p>
    <w:p>
      <w:pPr>
        <w:sectPr>
          <w:pgSz w:w="11900" w:h="16838" w:orient="portrait"/>
          <w:cols w:equalWidth="0" w:num="1">
            <w:col w:w="11420"/>
          </w:cols>
          <w:pgMar w:left="240" w:top="121" w:right="239" w:bottom="1440" w:gutter="0" w:footer="0" w:header="0"/>
        </w:sectPr>
      </w:pPr>
    </w:p>
    <w:bookmarkStart w:id="5" w:name="page6"/>
    <w:bookmarkEnd w:id="5"/>
    <w:p>
      <w:pPr>
        <w:jc w:val="both"/>
        <w:ind w:left="900" w:right="18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quarter fiscal 2016 guidance: Expected revenue of approximately $910-$950 million. Expected diluted non-GAAP EPS of approximately $0.84-$0.90 (which excludes amortization of purchased intangible assets and other acquisition-related costs and approximately $0.05-$0.06 per share of equity-based compensation expense, net of related tax effects). Expected diluted GAAP EPS of approximately $0.63-$0.71</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fiscal 2016 guidance: Expects fiscal 2016 non-GAAP diluted earnings per share growth towards the midpoint of the guidance range of 3.5-7.5% year-over-year, including the impact of share repurchase activity anticipated over the course of the fiscal year. Expects fiscal 2016 revenue growth, on a constant currency basis, slightly below the midpoint of the guidance range of 2.0-6.0% year-over-year, and reported revenue growth slightly below the midpoint of the guidance range of 0.5-4.5% year-over-year, including a negative impact from foreign currency movements of approximately 1.5% year-over-year</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ST. LOUIS – May 4, 2016 </w:t>
      </w:r>
      <w:r>
        <w:rPr>
          <w:rFonts w:ascii="Arial" w:cs="Arial" w:eastAsia="Arial" w:hAnsi="Arial"/>
          <w:sz w:val="18"/>
          <w:szCs w:val="18"/>
          <w:color w:val="auto"/>
        </w:rPr>
        <w:t>– Amdocs Limited (NASDAQ: DOX) today reported that for its second fiscal quarter ended March 31, 2016, revenue was $925.9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0.5% or $4.4 million sequentially from the first fiscal quarter of 2016 and up 2.6% as compared to last year’s second fiscal quarter. Revenue for the second fiscal quarter of 2016 includes a negative impact from foreign currency movements of approximately $1 million relative to the first quarter of fiscal 2016. Net income on a non-GAAP basis was $140.2 million, or $0.92 per diluted share, compared to non-GAAP net income of $128.6 million, or $0.82 per diluted share, in the second quarter of fiscal 2015. Non-GAAP net income excludes amortization of purchased intangible assets and other acquisition-related costs and equity-based compensation expenses of $32.4 million, net of related tax effects, in the second quarter of fiscal 2016, and excludes such amortization and other acquisition-related costs, changes in fair value of certain acquisition-related liabilities and equity-based compensation expenses of $12.4 million, net of related tax effects, in the second quarter of fiscal 2015. The Company’s GAAP net income for the second quarter of fiscal 2016 was $107.7 million, or $0.71 per diluted share, compared to GAAP net income of $116.3 million, or $0.74 per diluted share, in the prior fiscal year’s second quarter.</w:t>
      </w:r>
    </w:p>
    <w:p>
      <w:pPr>
        <w:sectPr>
          <w:pgSz w:w="11900" w:h="16838" w:orient="portrait"/>
          <w:cols w:equalWidth="0" w:num="1">
            <w:col w:w="11420"/>
          </w:cols>
          <w:pgMar w:left="240" w:top="274" w:right="239" w:bottom="1440" w:gutter="0" w:footer="0" w:header="0"/>
        </w:sectPr>
      </w:pPr>
    </w:p>
    <w:bookmarkStart w:id="6" w:name="page7"/>
    <w:bookmarkEnd w:id="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pleased to report solid results for the second fiscal quarter, which included revenue at the midpoint of our guidance on a constant currency basis, encouraging signs of stabilization in North America, and sustained growth in Europe. During the quarter, we launched Amdocs CES 10, a major new product stack release specifically designed to accelerate service providers’ transition from traditional to digital business models. At the same time, we delivered non-GAAP operating margins at the high-end of our long-term target range of 16.2% to 17.2%. This performance is in line with our guidance from the start of the fiscal year and reflects our focus on maintaining consistent execution as we deploy a record number of transformation projects worldwide,” said Eli Gelman, president and chief executive officer of Amdocs Management Limited.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Gelman continued, “Our managed services capabilities continue to gain acceptance with leading service providers in Europe and Rest of World. In March, Three Ireland announced a five-year managed services contract with Amdocs to support its IT digital transformation across all lines of business. Additionally, Amdocs has been selected to assume responsibility for Vodafone India’s postpaid billing systems under a five-year managed services model which we believe demonstrates our growing strategic relationship with the Vodafone group. Our service offerings are also resonating with former Comverse customers. For instance, Botswana Telecommunications has awarded Amdocs a five-year managed services contract for business support systems modernization, while Sky Italia has upgraded its billing system to the latest Amdocs Kenan release and assigned Amdocs end-to-end responsibility of the program with a multi-year maintenance contract.”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Gelman concluded, “Along the lines we discussed last quarter, our outlook includes a stronger contribution from AT&amp;T in the second half of the year and continued business momentum with former Comverse customers. Nevertheless, our forecast reflects many moving parts and unknowns, including those resulting from consolidation activity among wireless and Pay TV operators. With these factors in mind, we expect to deliver revenue growth for the full fiscal year 2016 slightly below the midpoint of our guidance range of 2% to 6% on a constant currency basis. Additionally, we are on track to meet our full year target for non-GAAP earnings per share growth of 3.5% to 7.5% and our cash balance is healthy as a result of robust free cash flow generation and recent stock option exercises.</w:t>
      </w:r>
    </w:p>
    <w:p>
      <w:pPr>
        <w:sectPr>
          <w:pgSz w:w="11900" w:h="16838" w:orient="portrait"/>
          <w:cols w:equalWidth="0" w:num="1">
            <w:col w:w="11380"/>
          </w:cols>
          <w:pgMar w:left="240" w:top="274" w:right="27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therefore plan to increase the capital we return to shareholders to roughly 100% of free cash flow through the second half of fiscal 2016, which we believe we can do while retaining significant capacity to execute M&amp;A as another vehicle to support our strategy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Free cash flow was $91 million for the second quarter of fiscal 2016, comprised of cash flow from operations of $118 million, less $27 million in net capital expenditures and other.</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$3.10 billion at the end of the second quarter of fiscal 2016,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Amdocs expects that revenue for the third quarter of fiscal 2016 will be approximately $910-$950 million. Embedded within this guidance is a positive sequential impact of approximately $5 million from foreign currency fluctuations as compared to the second quarter of fiscal 2016. This outlook takes into consideration the company’s expectations regarding macro and industry specific risks and various uncertainties resulting from current and potential customer consolidation activity in North America. However, Amdocs notes that it cannot predict all possible outcomes.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Diluted earnings per share on a non-GAAP basis for the third quarter of fiscal 2016 is expected to be $0.84-$0.90, excluding amortization of purchased intangible assets and other acquisition-related costs and approximately $0.05-$0.06 per share of equity-based compensation expense, net of related tax effects. Amdocs estimates GAAP diluted earnings per share for the third fiscal quarter of 2016 will be $0.63-$0.71.</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May 4, 2016, the Board approved the Company’s next quarterly cash dividend payment of $0.195 per share and set June 30, 2016 as the record date for determining the shareholders entitled to receive the dividend, which will be payable on July 15,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will host a conference call on May 4, 2016 at 5:00 p.m. Eastern Time to discuss the Company’s second quarter of fiscal 2016. To participate, please dial +1 (855) 870-4313, or +1 (330) 863-3318 outside the United States, approximately 15 minutes before the call and enter passcode 81097784.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1380"/>
          </w:cols>
          <w:pgMar w:left="240" w:top="270" w:right="279" w:bottom="1440" w:gutter="0" w:footer="0" w:header="0"/>
        </w:sectPr>
      </w:pPr>
    </w:p>
    <w:bookmarkStart w:id="9" w:name="page10"/>
    <w:bookmarkEnd w:id="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Amdocs is the market leader in customer experience software solutions and services for the world’s largest communications, entertainment and media service providers. For more than 30 years, Amdocs solutions, which include BSS, OSS, network control, optimization and network functions virtualization, coupled with professional and managed services, have accelerated business value for its customers by simplifying business complexity, reducing costs and delivering a world-class customer experience.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Amdocs portfolio enables service providers to capture the world of digital immediacy by operating across digital dimensions to engage customers with personalized, omni-channel experiences; creating a diversified business to capture new revenue streams; becoming data empowered to make business and operational decisions based on insight-based and predictive analytics; and achieving service agility to accelerate the fast rollout of new technologies and hybrid network services.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Amdocs and its 24,000 employees serve customers in over 90 countries. Listed on the NASDAQ Global Select Market, Amdocs had revenue of $3.6 billion in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w:t>
      </w:r>
    </w:p>
    <w:p>
      <w:pPr>
        <w:sectPr>
          <w:pgSz w:w="11900" w:h="16838" w:orient="portrait"/>
          <w:cols w:equalWidth="0" w:num="1">
            <w:col w:w="11360"/>
          </w:cols>
          <w:pgMar w:left="240" w:top="270" w:right="29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2015 filed on December 10, 2015 and our Form 6-K furnished for the first quarter of fiscal 2016 on February 16,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180"/>
          </w:cols>
          <w:pgMar w:left="240" w:top="274" w:right="4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600,116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580,571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1,195,684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62,805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805,788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764,578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1,607,758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1,529,344</w:t>
            </w:r>
          </w:p>
        </w:tc>
        <w:tc>
          <w:tcPr>
            <w:tcW w:w="0" w:type="dxa"/>
            <w:vAlign w:val="bottom"/>
          </w:tcPr>
          <w:p>
            <w:pPr>
              <w:spacing w:after="0"/>
              <w:rPr>
                <w:sz w:val="1"/>
                <w:szCs w:val="1"/>
                <w:color w:val="auto"/>
              </w:rPr>
            </w:pPr>
          </w:p>
        </w:tc>
      </w:tr>
      <w:tr>
        <w:trPr>
          <w:trHeight w:val="224"/>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120,147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138,000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4"/>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116,261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149,924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155,506</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151,948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157,357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1,808,865</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157,950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153,491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314,822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306,453</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140,165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128,647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268,132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151,948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157,357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157,738</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wp:posOffset>
            </wp:positionV>
            <wp:extent cx="3456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796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$ 600,116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(4,917)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$ 595,199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114,474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805,788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(27,487)</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107,720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Equity based</w:t>
            </w:r>
          </w:p>
        </w:tc>
        <w:tc>
          <w:tcPr>
            <w:tcW w:w="180" w:type="dxa"/>
            <w:vAlign w:val="bottom"/>
          </w:tcPr>
          <w:p>
            <w:pPr>
              <w:spacing w:after="0"/>
              <w:rPr>
                <w:sz w:val="10"/>
                <w:szCs w:val="10"/>
                <w:color w:val="auto"/>
              </w:rPr>
            </w:pPr>
          </w:p>
        </w:tc>
        <w:tc>
          <w:tcPr>
            <w:tcW w:w="12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Changes in 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5"/>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related liabilities</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$580,571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(3,737)</w:t>
            </w:r>
          </w:p>
        </w:tc>
        <w:tc>
          <w:tcPr>
            <w:tcW w:w="62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62,805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107,186</w:t>
            </w: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(5,271)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Amortization of purchased intangible assets and</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14,016</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(14,016)</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764,578</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(14,016)</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14,016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116,261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9,825</w:t>
            </w:r>
          </w:p>
        </w:tc>
        <w:tc>
          <w:tcPr>
            <w:tcW w:w="62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wp:posOffset>
            </wp:positionV>
            <wp:extent cx="3636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ind w:left="784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Equity based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purchased</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expense</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1,195,684</w:t>
            </w:r>
          </w:p>
        </w:tc>
        <w:tc>
          <w:tcPr>
            <w:tcW w:w="20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1,186,643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(12,385)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1,607,758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1,532,618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11,517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208,562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51,854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Six months ended</w:t>
      </w:r>
    </w:p>
    <w:p>
      <w:pPr>
        <w:jc w:val="center"/>
        <w:ind w:left="4620"/>
        <w:spacing w:after="0" w:line="236"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w w:val="99"/>
              </w:rPr>
              <w:t>Reconciliation items</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Pr>
          <w:p>
            <w:pPr>
              <w:spacing w:after="0"/>
              <w:rPr>
                <w:sz w:val="10"/>
                <w:szCs w:val="10"/>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Equity based</w:t>
            </w:r>
          </w:p>
        </w:tc>
        <w:tc>
          <w:tcPr>
            <w:tcW w:w="120" w:type="dxa"/>
            <w:vAlign w:val="bottom"/>
          </w:tcPr>
          <w:p>
            <w:pPr>
              <w:spacing w:after="0"/>
              <w:rPr>
                <w:sz w:val="10"/>
                <w:szCs w:val="10"/>
                <w:color w:val="auto"/>
              </w:rPr>
            </w:pPr>
          </w:p>
        </w:tc>
        <w:tc>
          <w:tcPr>
            <w:tcW w:w="13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Changes in fair</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purchased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assets 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related liabilities</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1,154,017</w:t>
            </w:r>
          </w:p>
        </w:tc>
        <w:tc>
          <w:tcPr>
            <w:tcW w:w="14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1,170,942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1,529,344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24,906</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1,502,412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(2,130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1,150,085</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$92,812 and $80,197,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755,381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202,144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2,107,610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311,723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309,320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2,269,272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402,922</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5,091,527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936,417</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205,786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1,142,203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474,341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3,474,983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5,091,527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Due to the early adoption of Accounting Standard Update 2015-17, starting the first quarter of fiscal 2016, all deferred tax assets and liabilities are classified as noncurrent on the balance sheet. Prior balance sheets were not retrospectively adjusted.</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Six months ended March 31,</w:t>
            </w: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208,562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247,251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104,225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83,303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23,723</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(27,260)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(3,628)</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(14,623)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18,762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18,363</w:t>
            </w: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(29,388)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343,634</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(59,334)</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191,648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123,073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(121,585)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(121,224)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(212,195)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59,060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58,116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(48,377)</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(407,566)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(408,833)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(130,635)</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823,456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972,634</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115.3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460.6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$883.7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Directory</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27.4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926.8</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2019-12-06T22:44:21Z</dcterms:created>
  <dcterms:modified xsi:type="dcterms:W3CDTF">2019-12-06T22:44:21Z</dcterms:modified>
</cp:coreProperties>
</file>